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18166"/>
      <w:r>
        <w:rPr>
          <w:rFonts w:hint="eastAsia" w:ascii="黑体" w:hAnsi="黑体"/>
          <w:color w:val="auto"/>
        </w:rPr>
        <w:t>1.3.21.4财务报表报送与信息采集（政府会计准则制度）</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财务报表报送与信息采集（政府会计准则制度）</w:t>
      </w:r>
    </w:p>
    <w:p>
      <w:pPr>
        <w:pStyle w:val="3"/>
        <w:ind w:firstLine="552"/>
        <w:rPr>
          <w:color w:val="auto"/>
        </w:rPr>
      </w:pPr>
      <w:r>
        <w:rPr>
          <w:color w:val="auto"/>
        </w:rPr>
        <w:t>二、事项类别</w:t>
      </w:r>
    </w:p>
    <w:p>
      <w:pPr>
        <w:pStyle w:val="50"/>
        <w:numPr>
          <w:ilvl w:val="0"/>
          <w:numId w:val="3"/>
        </w:numPr>
        <w:ind w:left="0" w:firstLine="472"/>
        <w:rPr>
          <w:color w:val="auto"/>
        </w:rPr>
      </w:pPr>
      <w:r>
        <w:rPr>
          <w:rFonts w:hint="eastAsia"/>
          <w:color w:val="auto"/>
        </w:rPr>
        <w:t>发起方式：人工发起（纳税人）</w:t>
      </w:r>
    </w:p>
    <w:p>
      <w:pPr>
        <w:pStyle w:val="50"/>
        <w:numPr>
          <w:ilvl w:val="0"/>
          <w:numId w:val="3"/>
        </w:numPr>
        <w:ind w:left="0" w:firstLine="472"/>
        <w:rPr>
          <w:color w:val="auto"/>
        </w:rPr>
      </w:pPr>
      <w:r>
        <w:rPr>
          <w:rFonts w:hint="eastAsia"/>
          <w:color w:val="auto"/>
        </w:rPr>
        <w:t>办结方式：即办</w:t>
      </w:r>
    </w:p>
    <w:p>
      <w:pPr>
        <w:pStyle w:val="50"/>
        <w:numPr>
          <w:ilvl w:val="0"/>
          <w:numId w:val="3"/>
        </w:numPr>
        <w:ind w:left="0" w:firstLine="472"/>
        <w:rPr>
          <w:color w:val="auto"/>
        </w:rPr>
      </w:pPr>
      <w:r>
        <w:rPr>
          <w:rFonts w:hint="eastAsia"/>
          <w:color w:val="auto"/>
        </w:rPr>
        <w:t>全省通办：是</w:t>
      </w:r>
    </w:p>
    <w:p>
      <w:pPr>
        <w:pStyle w:val="50"/>
        <w:numPr>
          <w:ilvl w:val="0"/>
          <w:numId w:val="3"/>
        </w:numPr>
        <w:ind w:left="0" w:firstLine="472"/>
        <w:rPr>
          <w:color w:val="auto"/>
        </w:rPr>
      </w:pPr>
      <w:r>
        <w:rPr>
          <w:rFonts w:hint="eastAsia"/>
          <w:color w:val="auto"/>
        </w:rPr>
        <w:t>网上办理：是</w:t>
      </w:r>
    </w:p>
    <w:p>
      <w:pPr>
        <w:pStyle w:val="50"/>
        <w:numPr>
          <w:ilvl w:val="0"/>
          <w:numId w:val="3"/>
        </w:numPr>
        <w:ind w:left="0" w:firstLine="472"/>
        <w:rPr>
          <w:color w:val="auto"/>
        </w:rPr>
      </w:pPr>
      <w:r>
        <w:rPr>
          <w:rFonts w:hint="eastAsia"/>
          <w:color w:val="auto"/>
        </w:rPr>
        <w:t>适用层级：县(市、区)级</w:t>
      </w:r>
    </w:p>
    <w:p>
      <w:pPr>
        <w:pStyle w:val="48"/>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rFonts w:hint="eastAsia" w:ascii="宋体" w:hAnsi="宋体"/>
          <w:color w:val="auto"/>
          <w:sz w:val="24"/>
          <w:szCs w:val="24"/>
        </w:rPr>
      </w:pPr>
      <w:r>
        <w:rPr>
          <w:rFonts w:hint="eastAsia" w:ascii="宋体" w:hAnsi="宋体"/>
          <w:color w:val="auto"/>
          <w:sz w:val="24"/>
          <w:szCs w:val="24"/>
        </w:rPr>
        <w:t>各级各类执行政府会计准则制度的行政单位和事业单位，应依照《政府会计制度——行政事业单位会计科目和报表》，编制《资产负债表》、《收入费用表》、《净资产变动表》、《现金流量表》。</w:t>
      </w:r>
    </w:p>
    <w:p>
      <w:pPr>
        <w:ind w:firstLine="472"/>
        <w:rPr>
          <w:rFonts w:hint="eastAsia" w:ascii="宋体" w:hAnsi="宋体"/>
          <w:color w:val="auto"/>
          <w:sz w:val="24"/>
          <w:szCs w:val="24"/>
        </w:rPr>
      </w:pPr>
      <w:r>
        <w:rPr>
          <w:rFonts w:hint="eastAsia" w:ascii="宋体" w:hAnsi="宋体"/>
          <w:color w:val="auto"/>
          <w:sz w:val="24"/>
          <w:szCs w:val="24"/>
        </w:rPr>
        <w:t>1.执行政府会计准则制度的纳税人原则上仅需报送《资产负债表》和《收入费用表》，需进行企业所得税汇算清缴的，企业所得税年度汇算清缴申报时报送《净资产变动表》、《现金流量表》。</w:t>
      </w:r>
    </w:p>
    <w:p>
      <w:pPr>
        <w:ind w:firstLine="472"/>
        <w:rPr>
          <w:rFonts w:hint="eastAsia" w:ascii="宋体" w:hAnsi="宋体"/>
          <w:color w:val="auto"/>
          <w:sz w:val="24"/>
          <w:szCs w:val="24"/>
        </w:rPr>
      </w:pPr>
      <w:r>
        <w:rPr>
          <w:rFonts w:hint="eastAsia" w:ascii="宋体" w:hAnsi="宋体"/>
          <w:color w:val="auto"/>
          <w:sz w:val="24"/>
          <w:szCs w:val="24"/>
        </w:rPr>
        <w:t>2.纳税人财务会计报表报送期间原则上按季度和年度报送。</w:t>
      </w:r>
    </w:p>
    <w:p>
      <w:pPr>
        <w:ind w:firstLine="472"/>
        <w:rPr>
          <w:color w:val="auto"/>
          <w:szCs w:val="24"/>
        </w:rPr>
      </w:pPr>
      <w:r>
        <w:rPr>
          <w:rFonts w:hint="eastAsia" w:ascii="宋体" w:hAnsi="宋体"/>
          <w:color w:val="auto"/>
          <w:sz w:val="24"/>
          <w:szCs w:val="24"/>
        </w:rPr>
        <w:t>企业根据执行的《政府会计准则制度》，应在税务机关进行财务会计制度及核算软件备案。</w:t>
      </w:r>
    </w:p>
    <w:p>
      <w:pPr>
        <w:pStyle w:val="3"/>
        <w:ind w:firstLine="552"/>
        <w:rPr>
          <w:color w:val="auto"/>
        </w:rPr>
      </w:pPr>
      <w:r>
        <w:rPr>
          <w:rFonts w:hint="eastAsia"/>
          <w:color w:val="auto"/>
        </w:rPr>
        <w:t>四、设定依据</w:t>
      </w:r>
    </w:p>
    <w:p>
      <w:pPr>
        <w:pStyle w:val="77"/>
        <w:spacing w:line="578" w:lineRule="exact"/>
        <w:ind w:firstLine="472" w:firstLineChars="200"/>
        <w:rPr>
          <w:rFonts w:hint="eastAsia" w:ascii="宋体" w:hAnsi="宋体"/>
          <w:color w:val="auto"/>
          <w:sz w:val="24"/>
          <w:szCs w:val="24"/>
        </w:rPr>
      </w:pPr>
      <w:r>
        <w:rPr>
          <w:rFonts w:hint="eastAsia" w:ascii="宋体" w:hAnsi="宋体"/>
          <w:color w:val="auto"/>
          <w:sz w:val="24"/>
          <w:szCs w:val="24"/>
        </w:rPr>
        <w:t>1.《中华人民共和国税收征收管理法》第二十五条第（一）款</w:t>
      </w:r>
    </w:p>
    <w:p>
      <w:pPr>
        <w:pStyle w:val="77"/>
        <w:spacing w:line="578" w:lineRule="exact"/>
        <w:ind w:firstLine="472" w:firstLineChars="200"/>
        <w:rPr>
          <w:rFonts w:hint="eastAsia" w:ascii="宋体" w:hAnsi="宋体"/>
          <w:color w:val="auto"/>
          <w:sz w:val="24"/>
          <w:szCs w:val="24"/>
        </w:rPr>
      </w:pPr>
      <w:r>
        <w:rPr>
          <w:rFonts w:hint="eastAsia" w:ascii="宋体" w:hAnsi="宋体"/>
          <w:color w:val="auto"/>
          <w:sz w:val="24"/>
          <w:szCs w:val="24"/>
          <w:lang w:eastAsia="zh-CN"/>
        </w:rPr>
        <w:t>“</w:t>
      </w:r>
      <w:r>
        <w:rPr>
          <w:rFonts w:hint="eastAsia" w:ascii="宋体" w:hAnsi="宋体"/>
          <w:color w:val="auto"/>
          <w:sz w:val="24"/>
          <w:szCs w:val="24"/>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r>
        <w:rPr>
          <w:rFonts w:hint="eastAsia" w:ascii="宋体" w:hAnsi="宋体"/>
          <w:color w:val="auto"/>
          <w:sz w:val="24"/>
          <w:szCs w:val="24"/>
          <w:lang w:eastAsia="zh-CN"/>
        </w:rPr>
        <w:t>”</w:t>
      </w:r>
    </w:p>
    <w:p>
      <w:pPr>
        <w:pStyle w:val="77"/>
        <w:spacing w:line="578" w:lineRule="exact"/>
        <w:ind w:firstLine="472" w:firstLineChars="200"/>
        <w:rPr>
          <w:rFonts w:hint="eastAsia" w:ascii="宋体" w:hAnsi="宋体"/>
          <w:color w:val="auto"/>
          <w:sz w:val="24"/>
          <w:szCs w:val="24"/>
        </w:rPr>
      </w:pPr>
      <w:r>
        <w:rPr>
          <w:rFonts w:hint="eastAsia" w:ascii="宋体" w:hAnsi="宋体"/>
          <w:color w:val="auto"/>
          <w:sz w:val="24"/>
          <w:szCs w:val="24"/>
        </w:rPr>
        <w:t>2.《中华人民共和国税收征收管理法实施细则》（中华人民共和国国务院令第362号）第三十四条第（一）款</w:t>
      </w:r>
    </w:p>
    <w:p>
      <w:pPr>
        <w:pStyle w:val="77"/>
        <w:spacing w:line="578" w:lineRule="exact"/>
        <w:ind w:firstLine="472" w:firstLineChars="200"/>
        <w:rPr>
          <w:rFonts w:hint="eastAsia" w:ascii="宋体" w:hAnsi="宋体"/>
          <w:color w:val="auto"/>
          <w:sz w:val="24"/>
          <w:szCs w:val="24"/>
        </w:rPr>
      </w:pPr>
      <w:r>
        <w:rPr>
          <w:rFonts w:hint="eastAsia" w:ascii="宋体" w:hAnsi="宋体"/>
          <w:color w:val="auto"/>
          <w:sz w:val="24"/>
          <w:szCs w:val="24"/>
          <w:lang w:eastAsia="zh-CN"/>
        </w:rPr>
        <w:t>“</w:t>
      </w:r>
      <w:r>
        <w:rPr>
          <w:rFonts w:hint="eastAsia" w:ascii="宋体" w:hAnsi="宋体"/>
          <w:color w:val="auto"/>
          <w:sz w:val="24"/>
          <w:szCs w:val="24"/>
        </w:rPr>
        <w:t>纳税人办理纳税申报时，应当如实填写纳税申报表，并根据不同的情况相应报送下列有关证件、资料：</w:t>
      </w:r>
    </w:p>
    <w:p>
      <w:pPr>
        <w:pStyle w:val="77"/>
        <w:spacing w:line="578" w:lineRule="exact"/>
        <w:ind w:firstLine="472" w:firstLineChars="200"/>
        <w:rPr>
          <w:rFonts w:hint="eastAsia" w:ascii="宋体" w:hAnsi="宋体"/>
          <w:color w:val="auto"/>
          <w:sz w:val="24"/>
          <w:szCs w:val="24"/>
        </w:rPr>
      </w:pPr>
      <w:r>
        <w:rPr>
          <w:rFonts w:hint="eastAsia" w:ascii="宋体" w:hAnsi="宋体"/>
          <w:color w:val="auto"/>
          <w:sz w:val="24"/>
          <w:szCs w:val="24"/>
        </w:rPr>
        <w:t>（一）财务会计报表及其说明材料；</w:t>
      </w:r>
      <w:r>
        <w:rPr>
          <w:rFonts w:hint="eastAsia" w:ascii="宋体" w:hAnsi="宋体"/>
          <w:color w:val="auto"/>
          <w:sz w:val="24"/>
          <w:szCs w:val="24"/>
          <w:lang w:eastAsia="zh-CN"/>
        </w:rPr>
        <w:t>”</w:t>
      </w:r>
    </w:p>
    <w:p>
      <w:pPr>
        <w:pStyle w:val="77"/>
        <w:spacing w:line="578" w:lineRule="exact"/>
        <w:ind w:firstLine="472" w:firstLineChars="200"/>
        <w:rPr>
          <w:rFonts w:ascii="宋体" w:hAnsi="宋体"/>
          <w:color w:val="auto"/>
          <w:sz w:val="24"/>
          <w:szCs w:val="24"/>
        </w:rPr>
      </w:pPr>
      <w:r>
        <w:rPr>
          <w:rFonts w:hint="eastAsia" w:ascii="宋体" w:hAnsi="宋体"/>
          <w:color w:val="auto"/>
          <w:sz w:val="24"/>
          <w:szCs w:val="24"/>
        </w:rPr>
        <w:t>3.《国家税务总局关于印发〈纳税人财务会计报表报送管理办法〉的通知》（国税发〔2005〕20号）全文（附件2失效）</w:t>
      </w:r>
    </w:p>
    <w:p>
      <w:pPr>
        <w:pStyle w:val="77"/>
        <w:spacing w:line="578" w:lineRule="exact"/>
        <w:ind w:firstLine="472" w:firstLineChars="200"/>
        <w:rPr>
          <w:rFonts w:hint="eastAsia" w:ascii="宋体" w:hAnsi="宋体" w:eastAsia="宋体"/>
          <w:color w:val="auto"/>
          <w:sz w:val="24"/>
          <w:szCs w:val="24"/>
          <w:lang w:val="en-US" w:eastAsia="zh-CN"/>
        </w:rPr>
      </w:pPr>
      <w:r>
        <w:rPr>
          <w:rFonts w:hint="eastAsia" w:ascii="宋体" w:hAnsi="宋体"/>
          <w:color w:val="auto"/>
          <w:sz w:val="24"/>
          <w:szCs w:val="24"/>
        </w:rPr>
        <w:t>4.《政府会计准则基本准则》（中华人民共和国财政部令第78号）全文（自2017年1月1日起施行）</w:t>
      </w:r>
      <w:r>
        <w:rPr>
          <w:rFonts w:hint="eastAsia" w:ascii="宋体" w:hAnsi="宋体"/>
          <w:color w:val="auto"/>
          <w:sz w:val="24"/>
          <w:szCs w:val="24"/>
          <w:lang w:val="en-US" w:eastAsia="zh-CN"/>
        </w:rPr>
        <w:t>全文</w:t>
      </w:r>
    </w:p>
    <w:p>
      <w:pPr>
        <w:pStyle w:val="77"/>
        <w:spacing w:line="578" w:lineRule="exact"/>
        <w:ind w:firstLine="472" w:firstLineChars="200"/>
        <w:rPr>
          <w:rFonts w:hint="eastAsia" w:ascii="宋体" w:hAnsi="宋体" w:eastAsia="宋体"/>
          <w:color w:val="auto"/>
          <w:sz w:val="24"/>
          <w:szCs w:val="24"/>
          <w:lang w:val="en-US" w:eastAsia="zh-CN"/>
        </w:rPr>
      </w:pPr>
      <w:r>
        <w:rPr>
          <w:rFonts w:hint="eastAsia" w:ascii="宋体" w:hAnsi="宋体"/>
          <w:color w:val="auto"/>
          <w:sz w:val="24"/>
          <w:szCs w:val="24"/>
        </w:rPr>
        <w:t>5.《财政部关于印发</w:t>
      </w:r>
      <w:r>
        <w:rPr>
          <w:rFonts w:ascii="宋体" w:hAnsi="宋体"/>
          <w:color w:val="auto"/>
          <w:sz w:val="24"/>
          <w:szCs w:val="24"/>
        </w:rPr>
        <w:t>&lt;</w:t>
      </w:r>
      <w:r>
        <w:rPr>
          <w:rFonts w:hint="eastAsia" w:ascii="宋体" w:hAnsi="宋体"/>
          <w:color w:val="auto"/>
          <w:sz w:val="24"/>
          <w:szCs w:val="24"/>
        </w:rPr>
        <w:t>政府会计制度——行政事业单位会计科目和报表</w:t>
      </w:r>
      <w:r>
        <w:rPr>
          <w:rFonts w:ascii="宋体" w:hAnsi="宋体"/>
          <w:color w:val="auto"/>
          <w:sz w:val="24"/>
          <w:szCs w:val="24"/>
        </w:rPr>
        <w:t>&gt;</w:t>
      </w:r>
      <w:r>
        <w:rPr>
          <w:rFonts w:hint="eastAsia" w:ascii="宋体" w:hAnsi="宋体"/>
          <w:color w:val="auto"/>
          <w:sz w:val="24"/>
          <w:szCs w:val="24"/>
        </w:rPr>
        <w:t>的通知》（财会〔</w:t>
      </w:r>
      <w:r>
        <w:rPr>
          <w:rFonts w:ascii="宋体" w:hAnsi="宋体"/>
          <w:color w:val="auto"/>
          <w:sz w:val="24"/>
          <w:szCs w:val="24"/>
        </w:rPr>
        <w:t>2017</w:t>
      </w:r>
      <w:r>
        <w:rPr>
          <w:rFonts w:hint="eastAsia" w:ascii="宋体" w:hAnsi="宋体"/>
          <w:color w:val="auto"/>
          <w:sz w:val="24"/>
          <w:szCs w:val="24"/>
        </w:rPr>
        <w:t>〕</w:t>
      </w:r>
      <w:r>
        <w:rPr>
          <w:rFonts w:ascii="宋体" w:hAnsi="宋体"/>
          <w:color w:val="auto"/>
          <w:sz w:val="24"/>
          <w:szCs w:val="24"/>
        </w:rPr>
        <w:t>25</w:t>
      </w:r>
      <w:r>
        <w:rPr>
          <w:rFonts w:hint="eastAsia" w:ascii="宋体" w:hAnsi="宋体"/>
          <w:color w:val="auto"/>
          <w:sz w:val="24"/>
          <w:szCs w:val="24"/>
        </w:rPr>
        <w:t>号）</w:t>
      </w:r>
      <w:r>
        <w:rPr>
          <w:rFonts w:hint="eastAsia" w:ascii="宋体" w:hAnsi="宋体"/>
          <w:color w:val="auto"/>
          <w:sz w:val="24"/>
          <w:szCs w:val="24"/>
          <w:lang w:val="en-US" w:eastAsia="zh-CN"/>
        </w:rPr>
        <w:t>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8"/>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8"/>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ind w:firstLine="352" w:firstLineChars="0"/>
              <w:rPr>
                <w:rFonts w:cs="宋体"/>
                <w:color w:val="auto"/>
                <w:kern w:val="0"/>
                <w:sz w:val="18"/>
                <w:szCs w:val="18"/>
              </w:rPr>
            </w:pPr>
            <w:r>
              <w:rPr>
                <w:rFonts w:ascii="宋体" w:hAnsi="宋体" w:eastAsia="宋体" w:cs="微软雅黑"/>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Arial"/>
                <w:sz w:val="18"/>
              </w:rPr>
              <w:t>《资产负债表（适用执行政府会计准则制度的单位）》</w:t>
            </w:r>
          </w:p>
        </w:tc>
        <w:tc>
          <w:tcPr>
            <w:tcW w:w="709" w:type="dxa"/>
            <w:shd w:val="clear" w:color="auto" w:fill="auto"/>
            <w:vAlign w:val="center"/>
          </w:tcPr>
          <w:p>
            <w:pPr>
              <w:pStyle w:val="13"/>
              <w:widowControl/>
              <w:spacing w:beforeAutospacing="0" w:afterAutospacing="0" w:line="280" w:lineRule="exact"/>
              <w:ind w:firstLine="352" w:firstLineChars="0"/>
              <w:rPr>
                <w:rFonts w:cs="宋体"/>
                <w:color w:val="auto"/>
                <w:kern w:val="0"/>
                <w:sz w:val="18"/>
                <w:szCs w:val="18"/>
              </w:rPr>
            </w:pPr>
            <w:r>
              <w:rPr>
                <w:rStyle w:val="18"/>
                <w:rFonts w:hint="eastAsia" w:ascii="宋体" w:hAnsi="宋体" w:eastAsia="宋体" w:cs="微软雅黑"/>
                <w:b w:val="0"/>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宋体"/>
                <w:sz w:val="18"/>
                <w:szCs w:val="18"/>
              </w:rPr>
              <w:t>条件报送</w:t>
            </w:r>
          </w:p>
        </w:tc>
        <w:tc>
          <w:tcPr>
            <w:tcW w:w="1134" w:type="dxa"/>
            <w:shd w:val="clear" w:color="auto" w:fill="auto"/>
            <w:vAlign w:val="center"/>
          </w:tcPr>
          <w:p>
            <w:pPr>
              <w:pStyle w:val="13"/>
              <w:widowControl/>
              <w:spacing w:beforeAutospacing="0" w:afterAutospacing="0" w:line="280" w:lineRule="exact"/>
              <w:rPr>
                <w:rFonts w:cs="宋体"/>
                <w:color w:val="auto"/>
                <w:kern w:val="0"/>
                <w:sz w:val="18"/>
                <w:szCs w:val="18"/>
              </w:rPr>
            </w:pPr>
            <w:r>
              <w:rPr>
                <w:rFonts w:hint="eastAsia" w:ascii="宋体" w:hAnsi="宋体" w:eastAsia="宋体" w:cs="Arial"/>
                <w:kern w:val="2"/>
                <w:sz w:val="18"/>
                <w:szCs w:val="22"/>
              </w:rPr>
              <w:t>除彩票机构、基层医疗卫生机构、国有林场和苗圃外的执行政府会计准则制度的单位</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352" w:firstLineChars="0"/>
              <w:rPr>
                <w:rFonts w:cs="宋体"/>
                <w:color w:val="auto"/>
                <w:kern w:val="0"/>
                <w:sz w:val="18"/>
                <w:szCs w:val="18"/>
              </w:rPr>
            </w:pPr>
            <w:r>
              <w:rPr>
                <w:rFonts w:ascii="宋体" w:hAnsi="宋体" w:eastAsia="宋体" w:cs="微软雅黑"/>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Arial"/>
                <w:sz w:val="18"/>
                <w:szCs w:val="18"/>
              </w:rPr>
              <w:t>《资产负债表（适用执行政府会计准则制度的彩票机构）》</w:t>
            </w:r>
          </w:p>
        </w:tc>
        <w:tc>
          <w:tcPr>
            <w:tcW w:w="709" w:type="dxa"/>
            <w:shd w:val="clear" w:color="auto" w:fill="auto"/>
            <w:vAlign w:val="center"/>
          </w:tcPr>
          <w:p>
            <w:pPr>
              <w:pStyle w:val="13"/>
              <w:widowControl/>
              <w:spacing w:beforeAutospacing="0" w:afterAutospacing="0" w:line="280" w:lineRule="exact"/>
              <w:ind w:firstLine="352" w:firstLineChars="0"/>
              <w:rPr>
                <w:rFonts w:cs="宋体"/>
                <w:color w:val="auto"/>
                <w:kern w:val="0"/>
                <w:sz w:val="18"/>
                <w:szCs w:val="18"/>
              </w:rPr>
            </w:pPr>
            <w:r>
              <w:rPr>
                <w:rStyle w:val="18"/>
                <w:rFonts w:hint="eastAsia" w:ascii="宋体" w:hAnsi="宋体" w:eastAsia="宋体" w:cs="微软雅黑"/>
                <w:b w:val="0"/>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宋体"/>
                <w:sz w:val="18"/>
                <w:szCs w:val="18"/>
              </w:rPr>
              <w:t>条件报送</w:t>
            </w:r>
          </w:p>
        </w:tc>
        <w:tc>
          <w:tcPr>
            <w:tcW w:w="1134" w:type="dxa"/>
            <w:shd w:val="clear" w:color="auto" w:fill="auto"/>
            <w:vAlign w:val="center"/>
          </w:tcPr>
          <w:p>
            <w:pPr>
              <w:pStyle w:val="13"/>
              <w:widowControl/>
              <w:spacing w:beforeAutospacing="0" w:afterAutospacing="0" w:line="280" w:lineRule="exact"/>
              <w:rPr>
                <w:rFonts w:cs="宋体"/>
                <w:color w:val="auto"/>
                <w:kern w:val="0"/>
                <w:sz w:val="18"/>
                <w:szCs w:val="18"/>
              </w:rPr>
            </w:pPr>
            <w:r>
              <w:rPr>
                <w:rFonts w:hint="eastAsia" w:ascii="宋体" w:hAnsi="宋体" w:eastAsia="宋体" w:cs="Arial"/>
                <w:kern w:val="2"/>
                <w:sz w:val="18"/>
                <w:szCs w:val="22"/>
              </w:rPr>
              <w:t>适用执行政府会计准则制度的彩票机构</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352" w:firstLineChars="0"/>
              <w:rPr>
                <w:rFonts w:hint="eastAsia" w:cs="宋体"/>
                <w:color w:val="auto"/>
                <w:kern w:val="0"/>
                <w:sz w:val="18"/>
                <w:szCs w:val="18"/>
              </w:rPr>
            </w:pPr>
            <w:r>
              <w:rPr>
                <w:rFonts w:ascii="宋体" w:hAnsi="宋体" w:eastAsia="宋体" w:cs="宋体"/>
                <w:sz w:val="18"/>
                <w:szCs w:val="18"/>
              </w:rPr>
              <w:t>3</w:t>
            </w:r>
          </w:p>
        </w:tc>
        <w:tc>
          <w:tcPr>
            <w:tcW w:w="2551" w:type="dxa"/>
            <w:shd w:val="clear" w:color="auto" w:fill="auto"/>
            <w:vAlign w:val="center"/>
          </w:tcPr>
          <w:p>
            <w:pPr>
              <w:pStyle w:val="13"/>
              <w:widowControl/>
              <w:spacing w:beforeAutospacing="0" w:afterAutospacing="0" w:line="280" w:lineRule="exact"/>
              <w:ind w:firstLine="0" w:firstLineChars="0"/>
              <w:rPr>
                <w:rFonts w:hint="eastAsia" w:cs="宋体"/>
                <w:color w:val="auto"/>
                <w:kern w:val="0"/>
                <w:sz w:val="18"/>
                <w:szCs w:val="18"/>
              </w:rPr>
            </w:pPr>
            <w:r>
              <w:rPr>
                <w:rFonts w:hint="eastAsia" w:ascii="宋体" w:hAnsi="宋体" w:eastAsia="宋体" w:cs="Arial"/>
                <w:sz w:val="18"/>
                <w:szCs w:val="18"/>
              </w:rPr>
              <w:t>《资产负债表（适用执行政府会计准则制度的基层医疗卫生机构）》</w:t>
            </w:r>
          </w:p>
        </w:tc>
        <w:tc>
          <w:tcPr>
            <w:tcW w:w="709" w:type="dxa"/>
            <w:shd w:val="clear" w:color="auto" w:fill="auto"/>
            <w:vAlign w:val="center"/>
          </w:tcPr>
          <w:p>
            <w:pPr>
              <w:pStyle w:val="13"/>
              <w:widowControl/>
              <w:spacing w:beforeAutospacing="0" w:afterAutospacing="0" w:line="280" w:lineRule="exact"/>
              <w:ind w:firstLine="352" w:firstLineChars="0"/>
              <w:rPr>
                <w:rFonts w:hint="eastAsia" w:cs="宋体"/>
                <w:color w:val="auto"/>
                <w:kern w:val="0"/>
                <w:sz w:val="18"/>
                <w:szCs w:val="18"/>
              </w:rPr>
            </w:pPr>
            <w:r>
              <w:rPr>
                <w:rStyle w:val="18"/>
                <w:rFonts w:hint="eastAsia" w:ascii="宋体" w:hAnsi="宋体" w:eastAsia="宋体" w:cs="微软雅黑"/>
                <w:b w:val="0"/>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eastAsia="宋体" w:cs="宋体"/>
                <w:sz w:val="18"/>
                <w:szCs w:val="18"/>
              </w:rPr>
              <w:t>条件报送</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r>
              <w:rPr>
                <w:rFonts w:hint="eastAsia" w:ascii="宋体" w:hAnsi="宋体" w:eastAsia="宋体" w:cs="Arial"/>
                <w:sz w:val="18"/>
                <w:szCs w:val="18"/>
              </w:rPr>
              <w:t>适用执行政府会计准则制度的基层医疗卫生机构</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352" w:firstLineChars="0"/>
              <w:rPr>
                <w:rFonts w:hint="eastAsia" w:cs="宋体"/>
                <w:color w:val="auto"/>
                <w:kern w:val="0"/>
                <w:sz w:val="18"/>
                <w:szCs w:val="18"/>
              </w:rPr>
            </w:pPr>
            <w:r>
              <w:rPr>
                <w:rFonts w:ascii="宋体" w:hAnsi="宋体" w:eastAsia="宋体" w:cs="微软雅黑"/>
                <w:sz w:val="18"/>
                <w:szCs w:val="18"/>
              </w:rPr>
              <w:t>4</w:t>
            </w:r>
          </w:p>
        </w:tc>
        <w:tc>
          <w:tcPr>
            <w:tcW w:w="2551" w:type="dxa"/>
            <w:shd w:val="clear" w:color="auto" w:fill="auto"/>
            <w:vAlign w:val="center"/>
          </w:tcPr>
          <w:p>
            <w:pPr>
              <w:pStyle w:val="13"/>
              <w:widowControl/>
              <w:spacing w:beforeAutospacing="0" w:afterAutospacing="0" w:line="280" w:lineRule="exact"/>
              <w:ind w:firstLine="0" w:firstLineChars="0"/>
              <w:rPr>
                <w:rFonts w:hint="eastAsia" w:cs="宋体"/>
                <w:color w:val="auto"/>
                <w:kern w:val="0"/>
                <w:sz w:val="18"/>
                <w:szCs w:val="18"/>
              </w:rPr>
            </w:pPr>
            <w:r>
              <w:rPr>
                <w:rFonts w:hint="eastAsia" w:ascii="宋体" w:hAnsi="宋体" w:eastAsia="宋体" w:cs="Arial"/>
                <w:sz w:val="18"/>
                <w:szCs w:val="18"/>
              </w:rPr>
              <w:t>《资产负债表（适用执行政府会计准则制度的国有林场和苗圃）》</w:t>
            </w:r>
          </w:p>
        </w:tc>
        <w:tc>
          <w:tcPr>
            <w:tcW w:w="709" w:type="dxa"/>
            <w:shd w:val="clear" w:color="auto" w:fill="auto"/>
            <w:vAlign w:val="center"/>
          </w:tcPr>
          <w:p>
            <w:pPr>
              <w:pStyle w:val="13"/>
              <w:widowControl/>
              <w:spacing w:beforeAutospacing="0" w:afterAutospacing="0" w:line="280" w:lineRule="exact"/>
              <w:ind w:firstLine="352" w:firstLineChars="0"/>
              <w:rPr>
                <w:rFonts w:hint="eastAsia" w:cs="宋体"/>
                <w:color w:val="auto"/>
                <w:kern w:val="0"/>
                <w:sz w:val="18"/>
                <w:szCs w:val="18"/>
              </w:rPr>
            </w:pPr>
            <w:r>
              <w:rPr>
                <w:rFonts w:hint="eastAsia" w:ascii="宋体" w:hAnsi="宋体" w:eastAsia="宋体" w:cs="微软雅黑"/>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eastAsia="宋体" w:cs="宋体"/>
                <w:sz w:val="18"/>
                <w:szCs w:val="18"/>
              </w:rPr>
              <w:t>条件报送</w:t>
            </w:r>
          </w:p>
        </w:tc>
        <w:tc>
          <w:tcPr>
            <w:tcW w:w="1134" w:type="dxa"/>
            <w:shd w:val="clear" w:color="auto" w:fill="auto"/>
            <w:vAlign w:val="center"/>
          </w:tcPr>
          <w:p>
            <w:pPr>
              <w:pStyle w:val="13"/>
              <w:widowControl/>
              <w:spacing w:beforeAutospacing="0" w:afterAutospacing="0" w:line="280" w:lineRule="exact"/>
              <w:rPr>
                <w:rFonts w:cs="宋体"/>
                <w:color w:val="auto"/>
                <w:kern w:val="0"/>
                <w:sz w:val="18"/>
                <w:szCs w:val="18"/>
              </w:rPr>
            </w:pPr>
            <w:r>
              <w:rPr>
                <w:rFonts w:hint="eastAsia" w:ascii="宋体" w:hAnsi="宋体" w:eastAsia="宋体" w:cs="Arial"/>
                <w:sz w:val="18"/>
                <w:szCs w:val="18"/>
              </w:rPr>
              <w:t>适用执行政府会计准则制度的国有林场和苗圃</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352" w:firstLineChars="0"/>
              <w:rPr>
                <w:rFonts w:hint="eastAsia" w:cs="宋体"/>
                <w:color w:val="auto"/>
                <w:kern w:val="0"/>
                <w:sz w:val="18"/>
                <w:szCs w:val="18"/>
              </w:rPr>
            </w:pPr>
            <w:r>
              <w:rPr>
                <w:rFonts w:hint="eastAsia" w:ascii="宋体" w:hAnsi="宋体" w:eastAsia="宋体" w:cs="微软雅黑"/>
                <w:sz w:val="18"/>
                <w:szCs w:val="18"/>
              </w:rPr>
              <w:t>5</w:t>
            </w:r>
          </w:p>
        </w:tc>
        <w:tc>
          <w:tcPr>
            <w:tcW w:w="2551" w:type="dxa"/>
            <w:shd w:val="clear" w:color="auto" w:fill="auto"/>
            <w:vAlign w:val="center"/>
          </w:tcPr>
          <w:p>
            <w:pPr>
              <w:pStyle w:val="13"/>
              <w:widowControl/>
              <w:spacing w:beforeAutospacing="0" w:afterAutospacing="0" w:line="280" w:lineRule="exact"/>
              <w:ind w:firstLine="0" w:firstLineChars="0"/>
              <w:rPr>
                <w:rFonts w:hint="eastAsia" w:cs="宋体"/>
                <w:color w:val="auto"/>
                <w:kern w:val="0"/>
                <w:sz w:val="18"/>
                <w:szCs w:val="18"/>
              </w:rPr>
            </w:pPr>
            <w:r>
              <w:rPr>
                <w:rFonts w:hint="eastAsia" w:ascii="宋体" w:hAnsi="宋体" w:eastAsia="宋体" w:cs="Arial"/>
                <w:sz w:val="18"/>
                <w:szCs w:val="18"/>
              </w:rPr>
              <w:t>《收入费用表_月报（适用执行政府会计准则制度的单位）》</w:t>
            </w:r>
          </w:p>
        </w:tc>
        <w:tc>
          <w:tcPr>
            <w:tcW w:w="709" w:type="dxa"/>
            <w:shd w:val="clear" w:color="auto" w:fill="auto"/>
            <w:vAlign w:val="center"/>
          </w:tcPr>
          <w:p>
            <w:pPr>
              <w:pStyle w:val="13"/>
              <w:widowControl/>
              <w:spacing w:beforeAutospacing="0" w:afterAutospacing="0" w:line="280" w:lineRule="exact"/>
              <w:ind w:firstLine="352" w:firstLineChars="0"/>
              <w:rPr>
                <w:rFonts w:hint="eastAsia" w:cs="宋体"/>
                <w:color w:val="auto"/>
                <w:kern w:val="0"/>
                <w:sz w:val="18"/>
                <w:szCs w:val="18"/>
              </w:rPr>
            </w:pPr>
            <w:r>
              <w:rPr>
                <w:rFonts w:hint="eastAsia" w:ascii="宋体" w:hAnsi="宋体" w:eastAsia="宋体" w:cs="微软雅黑"/>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eastAsia="宋体" w:cs="宋体"/>
                <w:sz w:val="18"/>
                <w:szCs w:val="18"/>
              </w:rPr>
              <w:t>条件报送</w:t>
            </w:r>
          </w:p>
        </w:tc>
        <w:tc>
          <w:tcPr>
            <w:tcW w:w="1134" w:type="dxa"/>
            <w:shd w:val="clear" w:color="auto" w:fill="auto"/>
            <w:vAlign w:val="center"/>
          </w:tcPr>
          <w:p>
            <w:pPr>
              <w:pStyle w:val="13"/>
              <w:widowControl/>
              <w:spacing w:beforeAutospacing="0" w:afterAutospacing="0" w:line="280" w:lineRule="exact"/>
              <w:rPr>
                <w:rFonts w:cs="宋体"/>
                <w:color w:val="auto"/>
                <w:kern w:val="0"/>
                <w:sz w:val="18"/>
                <w:szCs w:val="18"/>
              </w:rPr>
            </w:pPr>
            <w:r>
              <w:rPr>
                <w:rFonts w:hint="eastAsia" w:ascii="宋体" w:hAnsi="宋体" w:eastAsia="宋体" w:cs="Arial"/>
                <w:sz w:val="18"/>
                <w:szCs w:val="18"/>
              </w:rPr>
              <w:t>财务会计制度及核算软件备案报告</w:t>
            </w:r>
            <w:r>
              <w:rPr>
                <w:rFonts w:ascii="宋体" w:hAnsi="宋体" w:eastAsia="宋体" w:cs="Arial"/>
                <w:sz w:val="18"/>
                <w:szCs w:val="18"/>
              </w:rPr>
              <w:t>”</w:t>
            </w:r>
            <w:r>
              <w:rPr>
                <w:rFonts w:hint="eastAsia" w:ascii="宋体" w:hAnsi="宋体" w:eastAsia="宋体" w:cs="Arial"/>
                <w:sz w:val="18"/>
                <w:szCs w:val="18"/>
              </w:rPr>
              <w:t>中报送期限为月报或季报的纳税人</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352" w:firstLineChars="0"/>
              <w:rPr>
                <w:rFonts w:ascii="宋体" w:hAnsi="宋体" w:eastAsia="宋体" w:cs="微软雅黑"/>
                <w:color w:val="auto"/>
                <w:sz w:val="18"/>
                <w:szCs w:val="18"/>
              </w:rPr>
            </w:pPr>
            <w:r>
              <w:rPr>
                <w:rFonts w:hint="eastAsia" w:ascii="宋体" w:hAnsi="宋体" w:eastAsia="宋体" w:cs="微软雅黑"/>
                <w:sz w:val="18"/>
                <w:szCs w:val="18"/>
              </w:rPr>
              <w:t>6</w:t>
            </w:r>
          </w:p>
        </w:tc>
        <w:tc>
          <w:tcPr>
            <w:tcW w:w="2551" w:type="dxa"/>
            <w:shd w:val="clear" w:color="auto" w:fill="auto"/>
            <w:vAlign w:val="center"/>
          </w:tcPr>
          <w:p>
            <w:pPr>
              <w:pStyle w:val="13"/>
              <w:widowControl/>
              <w:spacing w:beforeAutospacing="0" w:afterAutospacing="0" w:line="280" w:lineRule="exact"/>
              <w:ind w:firstLine="0" w:firstLineChars="0"/>
              <w:rPr>
                <w:rFonts w:hint="eastAsia" w:ascii="宋体" w:hAnsi="宋体" w:eastAsia="宋体" w:cs="Arial"/>
                <w:color w:val="auto"/>
                <w:sz w:val="18"/>
                <w:szCs w:val="18"/>
              </w:rPr>
            </w:pPr>
            <w:r>
              <w:rPr>
                <w:rFonts w:hint="eastAsia" w:ascii="宋体" w:hAnsi="宋体" w:eastAsia="宋体" w:cs="Arial"/>
                <w:sz w:val="18"/>
                <w:szCs w:val="18"/>
              </w:rPr>
              <w:t>《收入费用表_年报（适用执行政府会计准则制度的单位）》</w:t>
            </w:r>
          </w:p>
        </w:tc>
        <w:tc>
          <w:tcPr>
            <w:tcW w:w="709" w:type="dxa"/>
            <w:shd w:val="clear" w:color="auto" w:fill="auto"/>
            <w:vAlign w:val="center"/>
          </w:tcPr>
          <w:p>
            <w:pPr>
              <w:pStyle w:val="13"/>
              <w:widowControl/>
              <w:spacing w:beforeAutospacing="0" w:afterAutospacing="0" w:line="280" w:lineRule="exact"/>
              <w:ind w:firstLine="352" w:firstLineChars="0"/>
              <w:rPr>
                <w:rFonts w:hint="eastAsia" w:ascii="宋体" w:hAnsi="宋体" w:eastAsia="宋体" w:cs="微软雅黑"/>
                <w:color w:val="auto"/>
                <w:sz w:val="18"/>
                <w:szCs w:val="18"/>
              </w:rPr>
            </w:pPr>
            <w:r>
              <w:rPr>
                <w:rFonts w:hint="eastAsia" w:ascii="宋体" w:hAnsi="宋体" w:eastAsia="宋体" w:cs="微软雅黑"/>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rPr>
                <w:rFonts w:hint="eastAsia" w:ascii="宋体" w:hAnsi="宋体" w:eastAsia="宋体" w:cs="宋体"/>
                <w:color w:val="auto"/>
                <w:sz w:val="18"/>
                <w:szCs w:val="18"/>
              </w:rPr>
            </w:pPr>
            <w:r>
              <w:rPr>
                <w:rFonts w:hint="eastAsia" w:ascii="宋体" w:hAnsi="宋体" w:eastAsia="宋体" w:cs="Arial"/>
                <w:sz w:val="18"/>
                <w:szCs w:val="18"/>
              </w:rPr>
              <w:t>条件报送</w:t>
            </w:r>
          </w:p>
        </w:tc>
        <w:tc>
          <w:tcPr>
            <w:tcW w:w="1134" w:type="dxa"/>
            <w:shd w:val="clear" w:color="auto" w:fill="auto"/>
            <w:vAlign w:val="center"/>
          </w:tcPr>
          <w:p>
            <w:pPr>
              <w:pStyle w:val="13"/>
              <w:widowControl/>
              <w:spacing w:beforeAutospacing="0" w:afterAutospacing="0" w:line="280" w:lineRule="exact"/>
              <w:rPr>
                <w:rFonts w:hint="eastAsia" w:ascii="宋体" w:hAnsi="宋体" w:eastAsia="宋体"/>
                <w:color w:val="auto"/>
                <w:sz w:val="18"/>
                <w:szCs w:val="18"/>
              </w:rPr>
            </w:pPr>
            <w:r>
              <w:rPr>
                <w:rFonts w:hint="eastAsia" w:ascii="宋体" w:hAnsi="宋体" w:eastAsia="宋体" w:cs="Arial"/>
                <w:sz w:val="18"/>
                <w:szCs w:val="18"/>
              </w:rPr>
              <w:t>财务会计制度及核算软件备案报告</w:t>
            </w:r>
            <w:r>
              <w:rPr>
                <w:rFonts w:ascii="宋体" w:hAnsi="宋体" w:eastAsia="宋体" w:cs="Arial"/>
                <w:sz w:val="18"/>
                <w:szCs w:val="18"/>
              </w:rPr>
              <w:t>”</w:t>
            </w:r>
            <w:r>
              <w:rPr>
                <w:rFonts w:hint="eastAsia" w:ascii="宋体" w:hAnsi="宋体" w:eastAsia="宋体" w:cs="Arial"/>
                <w:sz w:val="18"/>
                <w:szCs w:val="18"/>
              </w:rPr>
              <w:t>中报送期限为年报的纳税人</w:t>
            </w:r>
          </w:p>
        </w:tc>
        <w:tc>
          <w:tcPr>
            <w:tcW w:w="1134" w:type="dxa"/>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352" w:firstLineChars="0"/>
              <w:rPr>
                <w:rFonts w:ascii="宋体" w:hAnsi="宋体" w:eastAsia="宋体" w:cs="微软雅黑"/>
                <w:color w:val="auto"/>
                <w:sz w:val="18"/>
                <w:szCs w:val="18"/>
              </w:rPr>
            </w:pPr>
            <w:r>
              <w:rPr>
                <w:rFonts w:hint="eastAsia" w:ascii="宋体" w:hAnsi="宋体" w:eastAsia="宋体" w:cs="微软雅黑"/>
                <w:sz w:val="18"/>
                <w:szCs w:val="18"/>
              </w:rPr>
              <w:t>7</w:t>
            </w:r>
          </w:p>
        </w:tc>
        <w:tc>
          <w:tcPr>
            <w:tcW w:w="2551" w:type="dxa"/>
            <w:shd w:val="clear" w:color="auto" w:fill="auto"/>
            <w:vAlign w:val="center"/>
          </w:tcPr>
          <w:p>
            <w:pPr>
              <w:pStyle w:val="13"/>
              <w:widowControl/>
              <w:spacing w:beforeAutospacing="0" w:afterAutospacing="0" w:line="280" w:lineRule="exact"/>
              <w:ind w:firstLine="0" w:firstLineChars="0"/>
              <w:rPr>
                <w:rFonts w:hint="eastAsia" w:ascii="宋体" w:hAnsi="宋体" w:eastAsia="宋体" w:cs="Arial"/>
                <w:color w:val="auto"/>
                <w:sz w:val="18"/>
                <w:szCs w:val="18"/>
              </w:rPr>
            </w:pPr>
            <w:r>
              <w:rPr>
                <w:rFonts w:hint="eastAsia" w:ascii="宋体" w:hAnsi="宋体" w:eastAsia="宋体" w:cs="Arial"/>
                <w:sz w:val="18"/>
                <w:szCs w:val="18"/>
              </w:rPr>
              <w:t>《净资产变动表（适用执行政府会计准则制度的单位）》</w:t>
            </w:r>
          </w:p>
        </w:tc>
        <w:tc>
          <w:tcPr>
            <w:tcW w:w="709" w:type="dxa"/>
            <w:shd w:val="clear" w:color="auto" w:fill="auto"/>
            <w:vAlign w:val="center"/>
          </w:tcPr>
          <w:p>
            <w:pPr>
              <w:pStyle w:val="13"/>
              <w:widowControl/>
              <w:spacing w:beforeAutospacing="0" w:afterAutospacing="0" w:line="280" w:lineRule="exact"/>
              <w:ind w:firstLine="352" w:firstLineChars="0"/>
              <w:rPr>
                <w:rFonts w:hint="eastAsia" w:ascii="宋体" w:hAnsi="宋体" w:eastAsia="宋体" w:cs="微软雅黑"/>
                <w:color w:val="auto"/>
                <w:sz w:val="18"/>
                <w:szCs w:val="18"/>
              </w:rPr>
            </w:pP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sz w:val="18"/>
                <w:szCs w:val="18"/>
              </w:rPr>
              <w:t>条件报送</w:t>
            </w:r>
          </w:p>
        </w:tc>
        <w:tc>
          <w:tcPr>
            <w:tcW w:w="1134" w:type="dxa"/>
            <w:shd w:val="clear" w:color="auto" w:fill="auto"/>
            <w:vAlign w:val="center"/>
          </w:tcPr>
          <w:p>
            <w:pPr>
              <w:pStyle w:val="13"/>
              <w:widowControl/>
              <w:spacing w:beforeAutospacing="0" w:afterAutospacing="0" w:line="280" w:lineRule="exact"/>
              <w:rPr>
                <w:rFonts w:hint="eastAsia" w:ascii="宋体" w:hAnsi="宋体" w:eastAsia="宋体"/>
                <w:color w:val="auto"/>
                <w:sz w:val="18"/>
                <w:szCs w:val="18"/>
              </w:rPr>
            </w:pPr>
            <w:r>
              <w:rPr>
                <w:rFonts w:hint="eastAsia" w:ascii="宋体" w:hAnsi="宋体" w:eastAsia="宋体" w:cs="宋体"/>
                <w:sz w:val="18"/>
                <w:szCs w:val="18"/>
              </w:rPr>
              <w:t>企业所得税年度汇算清缴申报时报送</w:t>
            </w:r>
          </w:p>
        </w:tc>
        <w:tc>
          <w:tcPr>
            <w:tcW w:w="1134" w:type="dxa"/>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352" w:firstLineChars="0"/>
              <w:rPr>
                <w:rFonts w:ascii="宋体" w:hAnsi="宋体" w:eastAsia="宋体" w:cs="微软雅黑"/>
                <w:color w:val="auto"/>
                <w:sz w:val="18"/>
                <w:szCs w:val="18"/>
              </w:rPr>
            </w:pPr>
            <w:r>
              <w:rPr>
                <w:rFonts w:hint="eastAsia" w:ascii="宋体" w:hAnsi="宋体" w:eastAsia="宋体" w:cs="微软雅黑"/>
                <w:sz w:val="18"/>
                <w:szCs w:val="18"/>
              </w:rPr>
              <w:t>8</w:t>
            </w:r>
          </w:p>
        </w:tc>
        <w:tc>
          <w:tcPr>
            <w:tcW w:w="2551" w:type="dxa"/>
            <w:shd w:val="clear" w:color="auto" w:fill="auto"/>
            <w:vAlign w:val="center"/>
          </w:tcPr>
          <w:p>
            <w:pPr>
              <w:pStyle w:val="13"/>
              <w:widowControl/>
              <w:spacing w:beforeAutospacing="0" w:afterAutospacing="0" w:line="280" w:lineRule="exact"/>
              <w:ind w:firstLine="0" w:firstLineChars="0"/>
              <w:rPr>
                <w:rFonts w:hint="eastAsia" w:ascii="宋体" w:hAnsi="宋体" w:eastAsia="宋体" w:cs="Arial"/>
                <w:color w:val="auto"/>
                <w:sz w:val="18"/>
                <w:szCs w:val="18"/>
              </w:rPr>
            </w:pPr>
            <w:r>
              <w:rPr>
                <w:rFonts w:hint="eastAsia" w:ascii="宋体" w:hAnsi="宋体" w:eastAsia="宋体" w:cs="Arial"/>
                <w:sz w:val="18"/>
                <w:szCs w:val="18"/>
              </w:rPr>
              <w:t>《《现金流量表（适用执行政府会计准则制度的单位）》</w:t>
            </w:r>
          </w:p>
        </w:tc>
        <w:tc>
          <w:tcPr>
            <w:tcW w:w="709" w:type="dxa"/>
            <w:shd w:val="clear" w:color="auto" w:fill="auto"/>
            <w:vAlign w:val="center"/>
          </w:tcPr>
          <w:p>
            <w:pPr>
              <w:pStyle w:val="13"/>
              <w:widowControl/>
              <w:spacing w:beforeAutospacing="0" w:afterAutospacing="0" w:line="280" w:lineRule="exact"/>
              <w:ind w:firstLine="352" w:firstLineChars="0"/>
              <w:rPr>
                <w:rFonts w:hint="eastAsia" w:ascii="宋体" w:hAnsi="宋体" w:eastAsia="宋体" w:cs="微软雅黑"/>
                <w:color w:val="auto"/>
                <w:sz w:val="18"/>
                <w:szCs w:val="18"/>
              </w:rPr>
            </w:pPr>
            <w:r>
              <w:rPr>
                <w:rFonts w:hint="eastAsia" w:ascii="宋体" w:hAnsi="宋体" w:eastAsia="宋体" w:cs="微软雅黑"/>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sz w:val="18"/>
                <w:szCs w:val="18"/>
              </w:rPr>
              <w:t>条件报送</w:t>
            </w:r>
          </w:p>
        </w:tc>
        <w:tc>
          <w:tcPr>
            <w:tcW w:w="1134" w:type="dxa"/>
            <w:shd w:val="clear" w:color="auto" w:fill="auto"/>
            <w:vAlign w:val="center"/>
          </w:tcPr>
          <w:p>
            <w:pPr>
              <w:pStyle w:val="13"/>
              <w:widowControl/>
              <w:spacing w:beforeAutospacing="0" w:afterAutospacing="0" w:line="280" w:lineRule="exact"/>
              <w:rPr>
                <w:rFonts w:hint="eastAsia" w:ascii="宋体" w:hAnsi="宋体" w:eastAsia="宋体"/>
                <w:color w:val="auto"/>
                <w:sz w:val="18"/>
                <w:szCs w:val="18"/>
              </w:rPr>
            </w:pPr>
            <w:r>
              <w:rPr>
                <w:rFonts w:hint="eastAsia" w:ascii="宋体" w:hAnsi="宋体" w:eastAsia="宋体" w:cs="宋体"/>
                <w:sz w:val="18"/>
                <w:szCs w:val="18"/>
              </w:rPr>
              <w:t>企业所得税年度汇算清缴申报时报送</w:t>
            </w:r>
          </w:p>
        </w:tc>
        <w:tc>
          <w:tcPr>
            <w:tcW w:w="1134" w:type="dxa"/>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keepNext w:val="0"/>
        <w:keepLines w:val="0"/>
        <w:pageBreakBefore w:val="0"/>
        <w:widowControl w:val="0"/>
        <w:kinsoku/>
        <w:wordWrap/>
        <w:overflowPunct/>
        <w:topLinePunct w:val="0"/>
        <w:autoSpaceDE/>
        <w:autoSpaceDN/>
        <w:bidi w:val="0"/>
        <w:adjustRightInd/>
        <w:snapToGrid/>
        <w:spacing w:line="240" w:lineRule="auto"/>
        <w:ind w:left="471" w:firstLine="0" w:firstLineChars="0"/>
        <w:textAlignment w:val="auto"/>
        <w:rPr>
          <w:color w:val="auto"/>
        </w:rPr>
      </w:pPr>
      <w:r>
        <w:rPr>
          <w:rFonts w:ascii="宋体" w:hAnsi="宋体" w:eastAsia="楷体" w:cs="Times New Roman"/>
          <w:b w:val="0"/>
          <w:bCs w:val="0"/>
          <w:color w:val="auto"/>
          <w:sz w:val="28"/>
        </w:rPr>
        <w:object>
          <v:shape id="_x0000_i1119" o:spt="75" type="#_x0000_t75" style="height:117.75pt;width:440.25pt;" o:ole="t" filled="f" o:preferrelative="t" stroked="f" coordsize="21600,21600">
            <v:path/>
            <v:fill on="f" focussize="0,0"/>
            <v:stroke on="f"/>
            <v:imagedata r:id="rId7" o:title=""/>
            <o:lock v:ext="edit" aspectratio="t"/>
            <w10:wrap type="none"/>
            <w10:anchorlock/>
          </v:shape>
          <o:OLEObject Type="Embed" ProgID="Visio.Drawing.11" ShapeID="_x0000_i1119" DrawAspect="Content" ObjectID="_1468075725" r:id="rId6">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eastAsia="宋体"/>
          <w:color w:val="auto"/>
          <w:lang w:eastAsia="zh-CN"/>
        </w:rPr>
      </w:pPr>
      <w:r>
        <w:rPr>
          <w:rFonts w:hint="eastAsia" w:eastAsia="宋体"/>
          <w:color w:val="auto"/>
          <w:lang w:eastAsia="zh-CN"/>
        </w:rPr>
        <w:t>1</w:t>
      </w:r>
      <w:r>
        <w:rPr>
          <w:rFonts w:hint="eastAsia"/>
          <w:color w:val="auto"/>
          <w:lang w:val="en-US" w:eastAsia="zh-CN"/>
        </w:rPr>
        <w:t>.</w:t>
      </w:r>
      <w:r>
        <w:rPr>
          <w:rFonts w:hint="eastAsia" w:eastAsia="宋体"/>
          <w:color w:val="auto"/>
          <w:lang w:eastAsia="zh-CN"/>
        </w:rPr>
        <w:t>《资产负债表（适用执行政府会计准则制度的单位）》</w:t>
      </w:r>
    </w:p>
    <w:p>
      <w:pPr>
        <w:ind w:firstLine="472"/>
        <w:rPr>
          <w:rFonts w:hint="eastAsia" w:eastAsia="宋体"/>
          <w:color w:val="auto"/>
          <w:lang w:eastAsia="zh-CN"/>
        </w:rPr>
      </w:pPr>
      <w:r>
        <w:rPr>
          <w:rFonts w:hint="eastAsia"/>
          <w:color w:val="auto"/>
          <w:lang w:val="en-US" w:eastAsia="zh-CN"/>
        </w:rPr>
        <w:t>2.</w:t>
      </w:r>
      <w:r>
        <w:rPr>
          <w:rFonts w:hint="eastAsia" w:eastAsia="宋体"/>
          <w:color w:val="auto"/>
          <w:lang w:eastAsia="zh-CN"/>
        </w:rPr>
        <w:t>《资产负债表（适用执行政府会计准则制度的彩票机构）》</w:t>
      </w:r>
    </w:p>
    <w:p>
      <w:pPr>
        <w:ind w:firstLine="472"/>
        <w:rPr>
          <w:rFonts w:hint="eastAsia" w:eastAsia="宋体"/>
          <w:color w:val="auto"/>
          <w:lang w:eastAsia="zh-CN"/>
        </w:rPr>
      </w:pPr>
      <w:r>
        <w:rPr>
          <w:rFonts w:hint="eastAsia"/>
          <w:color w:val="auto"/>
          <w:lang w:val="en-US" w:eastAsia="zh-CN"/>
        </w:rPr>
        <w:t>3.</w:t>
      </w:r>
      <w:r>
        <w:rPr>
          <w:rFonts w:hint="eastAsia" w:eastAsia="宋体"/>
          <w:color w:val="auto"/>
          <w:lang w:eastAsia="zh-CN"/>
        </w:rPr>
        <w:t>《资产负债表（适用执行政府会计准则制度的基层医疗卫生机构）》</w:t>
      </w:r>
    </w:p>
    <w:p>
      <w:pPr>
        <w:ind w:firstLine="472"/>
        <w:rPr>
          <w:rFonts w:hint="eastAsia" w:eastAsia="宋体"/>
          <w:color w:val="auto"/>
          <w:lang w:eastAsia="zh-CN"/>
        </w:rPr>
      </w:pPr>
      <w:r>
        <w:rPr>
          <w:rFonts w:hint="eastAsia"/>
          <w:color w:val="auto"/>
          <w:lang w:val="en-US" w:eastAsia="zh-CN"/>
        </w:rPr>
        <w:t>4.</w:t>
      </w:r>
      <w:r>
        <w:rPr>
          <w:rFonts w:hint="eastAsia" w:eastAsia="宋体"/>
          <w:color w:val="auto"/>
          <w:lang w:eastAsia="zh-CN"/>
        </w:rPr>
        <w:t>《资产负债表（适用执行政府会计准则制度的国有林场和苗圃）》</w:t>
      </w:r>
    </w:p>
    <w:p>
      <w:pPr>
        <w:ind w:firstLine="472"/>
        <w:rPr>
          <w:rFonts w:hint="eastAsia" w:eastAsia="宋体"/>
          <w:color w:val="auto"/>
          <w:lang w:eastAsia="zh-CN"/>
        </w:rPr>
      </w:pPr>
      <w:r>
        <w:rPr>
          <w:rFonts w:hint="eastAsia"/>
          <w:color w:val="auto"/>
          <w:lang w:val="en-US" w:eastAsia="zh-CN"/>
        </w:rPr>
        <w:t>5.</w:t>
      </w:r>
      <w:r>
        <w:rPr>
          <w:rFonts w:hint="eastAsia" w:eastAsia="宋体"/>
          <w:color w:val="auto"/>
          <w:lang w:eastAsia="zh-CN"/>
        </w:rPr>
        <w:t>《收入费用表_月报（适用执行政府会计准则制度的单位）》</w:t>
      </w:r>
    </w:p>
    <w:p>
      <w:pPr>
        <w:ind w:firstLine="472"/>
        <w:rPr>
          <w:rFonts w:hint="eastAsia" w:eastAsia="宋体"/>
          <w:color w:val="auto"/>
          <w:lang w:eastAsia="zh-CN"/>
        </w:rPr>
      </w:pPr>
      <w:r>
        <w:rPr>
          <w:rFonts w:hint="eastAsia"/>
          <w:color w:val="auto"/>
          <w:lang w:val="en-US" w:eastAsia="zh-CN"/>
        </w:rPr>
        <w:t>6.</w:t>
      </w:r>
      <w:r>
        <w:rPr>
          <w:rFonts w:hint="eastAsia" w:eastAsia="宋体"/>
          <w:color w:val="auto"/>
          <w:lang w:eastAsia="zh-CN"/>
        </w:rPr>
        <w:t>《收入费用表_年报（适用执行政府会计准则制度的单位）》</w:t>
      </w:r>
    </w:p>
    <w:p>
      <w:pPr>
        <w:ind w:firstLine="472"/>
        <w:rPr>
          <w:rFonts w:hint="eastAsia" w:eastAsia="宋体"/>
          <w:color w:val="auto"/>
          <w:lang w:eastAsia="zh-CN"/>
        </w:rPr>
      </w:pPr>
      <w:r>
        <w:rPr>
          <w:rFonts w:hint="eastAsia"/>
          <w:color w:val="auto"/>
          <w:lang w:val="en-US" w:eastAsia="zh-CN"/>
        </w:rPr>
        <w:t>7.</w:t>
      </w:r>
      <w:r>
        <w:rPr>
          <w:rFonts w:hint="eastAsia" w:eastAsia="宋体"/>
          <w:color w:val="auto"/>
          <w:lang w:eastAsia="zh-CN"/>
        </w:rPr>
        <w:t>《净资产变动表（适用执行政府会计准则制度的单位）》</w:t>
      </w:r>
    </w:p>
    <w:p>
      <w:pPr>
        <w:ind w:firstLine="472"/>
        <w:rPr>
          <w:rFonts w:hint="eastAsia" w:eastAsia="宋体"/>
          <w:color w:val="auto"/>
          <w:lang w:eastAsia="zh-CN"/>
        </w:rPr>
      </w:pPr>
      <w:r>
        <w:rPr>
          <w:rFonts w:hint="eastAsia"/>
          <w:color w:val="auto"/>
          <w:lang w:val="en-US" w:eastAsia="zh-CN"/>
        </w:rPr>
        <w:t>8.</w:t>
      </w:r>
      <w:r>
        <w:rPr>
          <w:rFonts w:hint="eastAsia" w:eastAsia="宋体"/>
          <w:color w:val="auto"/>
          <w:lang w:eastAsia="zh-CN"/>
        </w:rPr>
        <w:t>《现金流量表（适用执行政府会计准则制度的单位）》</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1.实行定期定额征收增值税、定额征收所得税的纳税人以及实行法定源泉扣缴企业所得税的非居民企业可以不报送财务报表。</w:t>
      </w:r>
    </w:p>
    <w:p>
      <w:pPr>
        <w:ind w:firstLine="472"/>
        <w:rPr>
          <w:rFonts w:hint="eastAsia"/>
          <w:color w:val="auto"/>
        </w:rPr>
      </w:pPr>
      <w:r>
        <w:rPr>
          <w:rFonts w:hint="eastAsia"/>
          <w:color w:val="auto"/>
        </w:rPr>
        <w:t>2.纳税人报送财务报表时，可以报送纸质资料，也可以报送电子信息。</w:t>
      </w:r>
    </w:p>
    <w:p>
      <w:pPr>
        <w:ind w:firstLine="472"/>
        <w:rPr>
          <w:color w:val="auto"/>
        </w:rPr>
      </w:pPr>
      <w:r>
        <w:rPr>
          <w:rFonts w:hint="eastAsia"/>
          <w:color w:val="auto"/>
        </w:rPr>
        <w:t>3.企业所得税纳税人年度汇算清缴时，在年度企业所得税申报期限内报送年度财务会计报表。</w:t>
      </w:r>
    </w:p>
    <w:p>
      <w:pPr>
        <w:ind w:firstLine="472"/>
        <w:rPr>
          <w:color w:val="auto"/>
        </w:rPr>
      </w:pPr>
      <w:r>
        <w:rPr>
          <w:rFonts w:hint="eastAsia"/>
          <w:color w:val="auto"/>
          <w:lang w:val="en-US" w:eastAsia="zh-CN"/>
        </w:rPr>
        <w:t>4</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5</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6.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color w:val="auto"/>
        </w:rPr>
      </w:pPr>
      <w:r>
        <w:rPr>
          <w:color w:val="auto"/>
        </w:rPr>
        <w:br w:type="page"/>
      </w:r>
    </w:p>
    <w:p>
      <w:pPr>
        <w:ind w:left="0" w:leftChars="0" w:firstLine="0" w:firstLineChars="0"/>
        <w:rPr>
          <w:rFonts w:hint="eastAsia"/>
          <w:lang w:val="en-US" w:eastAsia="zh-CN"/>
        </w:rPr>
      </w:pPr>
    </w:p>
    <w:sectPr>
      <w:headerReference r:id="rId3" w:type="default"/>
      <w:footerReference r:id="rId4" w:type="default"/>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4C620A8D"/>
    <w:multiLevelType w:val="multilevel"/>
    <w:tmpl w:val="4C620A8D"/>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2"/>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5"/>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3530FFF"/>
    <w:rsid w:val="05967E4A"/>
    <w:rsid w:val="05B40DDD"/>
    <w:rsid w:val="06106A23"/>
    <w:rsid w:val="0638782F"/>
    <w:rsid w:val="06AE1BDB"/>
    <w:rsid w:val="08B15238"/>
    <w:rsid w:val="09493D2D"/>
    <w:rsid w:val="09B62072"/>
    <w:rsid w:val="0D33691F"/>
    <w:rsid w:val="0DDA3501"/>
    <w:rsid w:val="0E8625A8"/>
    <w:rsid w:val="0EC8321E"/>
    <w:rsid w:val="0EE35C6A"/>
    <w:rsid w:val="0FEE2BE1"/>
    <w:rsid w:val="10BC060D"/>
    <w:rsid w:val="11CF760D"/>
    <w:rsid w:val="17211E0E"/>
    <w:rsid w:val="17A75A69"/>
    <w:rsid w:val="17B62FF6"/>
    <w:rsid w:val="188F0B80"/>
    <w:rsid w:val="199A131B"/>
    <w:rsid w:val="1AA34BFE"/>
    <w:rsid w:val="1ADE6BF9"/>
    <w:rsid w:val="1AFF235C"/>
    <w:rsid w:val="1B573241"/>
    <w:rsid w:val="1D251F4A"/>
    <w:rsid w:val="1D960B7F"/>
    <w:rsid w:val="1EF94F46"/>
    <w:rsid w:val="21DB276B"/>
    <w:rsid w:val="225A45EF"/>
    <w:rsid w:val="281A0092"/>
    <w:rsid w:val="28A27601"/>
    <w:rsid w:val="2DDE7E2B"/>
    <w:rsid w:val="2F0131D6"/>
    <w:rsid w:val="2F4457D3"/>
    <w:rsid w:val="33111FBB"/>
    <w:rsid w:val="331C5A14"/>
    <w:rsid w:val="334451F7"/>
    <w:rsid w:val="334D732D"/>
    <w:rsid w:val="344B05C9"/>
    <w:rsid w:val="36451E83"/>
    <w:rsid w:val="36E04702"/>
    <w:rsid w:val="37707534"/>
    <w:rsid w:val="38385296"/>
    <w:rsid w:val="3956021E"/>
    <w:rsid w:val="3A85035B"/>
    <w:rsid w:val="3C8501AD"/>
    <w:rsid w:val="3D613CAD"/>
    <w:rsid w:val="3E3F009D"/>
    <w:rsid w:val="3F9839ED"/>
    <w:rsid w:val="3FA56B5B"/>
    <w:rsid w:val="400927BD"/>
    <w:rsid w:val="40172240"/>
    <w:rsid w:val="4044017F"/>
    <w:rsid w:val="40504A07"/>
    <w:rsid w:val="405637C3"/>
    <w:rsid w:val="416F27CF"/>
    <w:rsid w:val="421D2AAA"/>
    <w:rsid w:val="435A6C95"/>
    <w:rsid w:val="44150A4D"/>
    <w:rsid w:val="45265061"/>
    <w:rsid w:val="4543745C"/>
    <w:rsid w:val="45EC62DD"/>
    <w:rsid w:val="45F96008"/>
    <w:rsid w:val="46B53A61"/>
    <w:rsid w:val="48034BC9"/>
    <w:rsid w:val="481E512C"/>
    <w:rsid w:val="48686EF2"/>
    <w:rsid w:val="48AC7D03"/>
    <w:rsid w:val="49C37F7C"/>
    <w:rsid w:val="4A397F3C"/>
    <w:rsid w:val="4AFF4944"/>
    <w:rsid w:val="4F52740E"/>
    <w:rsid w:val="4F9D3E6F"/>
    <w:rsid w:val="509A5D46"/>
    <w:rsid w:val="51A90B18"/>
    <w:rsid w:val="522C2F54"/>
    <w:rsid w:val="54F7470C"/>
    <w:rsid w:val="54FD607A"/>
    <w:rsid w:val="56916021"/>
    <w:rsid w:val="586C2504"/>
    <w:rsid w:val="5A072419"/>
    <w:rsid w:val="5AE54CD3"/>
    <w:rsid w:val="5B216442"/>
    <w:rsid w:val="5D065F3F"/>
    <w:rsid w:val="5D6A3E5A"/>
    <w:rsid w:val="5D6E0C42"/>
    <w:rsid w:val="5D773E9F"/>
    <w:rsid w:val="5F8B4C46"/>
    <w:rsid w:val="5FD74134"/>
    <w:rsid w:val="60BB1526"/>
    <w:rsid w:val="60CC3ECE"/>
    <w:rsid w:val="625E5C17"/>
    <w:rsid w:val="62B70711"/>
    <w:rsid w:val="637642DB"/>
    <w:rsid w:val="64030575"/>
    <w:rsid w:val="64805E15"/>
    <w:rsid w:val="65EC4BB9"/>
    <w:rsid w:val="663441E6"/>
    <w:rsid w:val="66695C8C"/>
    <w:rsid w:val="67AB76AD"/>
    <w:rsid w:val="680A0C49"/>
    <w:rsid w:val="695D302A"/>
    <w:rsid w:val="6A635B94"/>
    <w:rsid w:val="6AD13263"/>
    <w:rsid w:val="6BE43543"/>
    <w:rsid w:val="6D0B62B6"/>
    <w:rsid w:val="6D1A3B55"/>
    <w:rsid w:val="6DAA4EC2"/>
    <w:rsid w:val="6DEC482F"/>
    <w:rsid w:val="6E254F50"/>
    <w:rsid w:val="6F025CB3"/>
    <w:rsid w:val="6F373310"/>
    <w:rsid w:val="70E3452D"/>
    <w:rsid w:val="711A24A9"/>
    <w:rsid w:val="724C02BE"/>
    <w:rsid w:val="72826A79"/>
    <w:rsid w:val="75674E1E"/>
    <w:rsid w:val="75F923A2"/>
    <w:rsid w:val="76305414"/>
    <w:rsid w:val="76326672"/>
    <w:rsid w:val="76B7766F"/>
    <w:rsid w:val="76E532E0"/>
    <w:rsid w:val="77B525D6"/>
    <w:rsid w:val="78F309B0"/>
    <w:rsid w:val="79263D87"/>
    <w:rsid w:val="7B4C788A"/>
    <w:rsid w:val="7B7B1562"/>
    <w:rsid w:val="7BDA17C2"/>
    <w:rsid w:val="7BFC5873"/>
    <w:rsid w:val="7C393271"/>
    <w:rsid w:val="7D2150C4"/>
    <w:rsid w:val="7DA8638B"/>
    <w:rsid w:val="7ED938C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4"/>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9"/>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1"/>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2"/>
    <w:semiHidden/>
    <w:unhideWhenUsed/>
    <w:qFormat/>
    <w:uiPriority w:val="0"/>
    <w:pPr>
      <w:keepNext/>
      <w:keepLines/>
      <w:outlineLvl w:val="3"/>
    </w:pPr>
    <w:rPr>
      <w:rFonts w:eastAsia="楷体" w:asciiTheme="majorHAnsi" w:hAnsiTheme="majorHAnsi" w:cstheme="majorBidi"/>
      <w:bCs/>
      <w:sz w:val="28"/>
      <w:szCs w:val="28"/>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3"/>
    <w:qFormat/>
    <w:uiPriority w:val="0"/>
    <w:rPr>
      <w:sz w:val="18"/>
      <w:szCs w:val="18"/>
    </w:rPr>
  </w:style>
  <w:style w:type="paragraph" w:styleId="7">
    <w:name w:val="annotation text"/>
    <w:basedOn w:val="1"/>
    <w:link w:val="79"/>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4"/>
    <w:qFormat/>
    <w:uiPriority w:val="0"/>
    <w:pPr>
      <w:spacing w:line="240" w:lineRule="auto"/>
    </w:pPr>
    <w:rPr>
      <w:rFonts w:eastAsia="仿宋_GB2312"/>
      <w:sz w:val="18"/>
      <w:szCs w:val="18"/>
    </w:rPr>
  </w:style>
  <w:style w:type="paragraph" w:styleId="10">
    <w:name w:val="footer"/>
    <w:basedOn w:val="1"/>
    <w:link w:val="55"/>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6"/>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2"/>
    <w:qFormat/>
    <w:uiPriority w:val="0"/>
    <w:rPr>
      <w:b/>
      <w:bCs/>
    </w:rPr>
  </w:style>
  <w:style w:type="table" w:styleId="16">
    <w:name w:val="Table Grid"/>
    <w:basedOn w:val="1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rPr>
  </w:style>
  <w:style w:type="character" w:styleId="19">
    <w:name w:val="FollowedHyperlink"/>
    <w:basedOn w:val="17"/>
    <w:qFormat/>
    <w:uiPriority w:val="0"/>
    <w:rPr>
      <w:rFonts w:ascii="Times New Roman" w:hAnsi="Times New Roman" w:eastAsia="宋体" w:cs="Times New Roman"/>
      <w:color w:val="333333"/>
      <w:u w:val="none"/>
    </w:rPr>
  </w:style>
  <w:style w:type="character" w:styleId="20">
    <w:name w:val="Emphasis"/>
    <w:basedOn w:val="17"/>
    <w:qFormat/>
    <w:uiPriority w:val="0"/>
    <w:rPr>
      <w:rFonts w:asciiTheme="minorHAnsi" w:hAnsiTheme="minorHAnsi" w:eastAsiaTheme="minorEastAsia" w:cstheme="minorBidi"/>
      <w:i/>
    </w:rPr>
  </w:style>
  <w:style w:type="character" w:styleId="21">
    <w:name w:val="HTML Definition"/>
    <w:basedOn w:val="17"/>
    <w:qFormat/>
    <w:uiPriority w:val="0"/>
    <w:rPr>
      <w:rFonts w:asciiTheme="minorHAnsi" w:hAnsiTheme="minorHAnsi" w:eastAsiaTheme="minorEastAsia" w:cstheme="minorBidi"/>
      <w:i/>
    </w:rPr>
  </w:style>
  <w:style w:type="character" w:styleId="22">
    <w:name w:val="HTML Variable"/>
    <w:basedOn w:val="17"/>
    <w:qFormat/>
    <w:uiPriority w:val="0"/>
    <w:rPr>
      <w:rFonts w:asciiTheme="minorHAnsi" w:hAnsiTheme="minorHAnsi" w:eastAsiaTheme="minorEastAsia" w:cstheme="minorBidi"/>
    </w:rPr>
  </w:style>
  <w:style w:type="character" w:styleId="23">
    <w:name w:val="Hyperlink"/>
    <w:basedOn w:val="17"/>
    <w:qFormat/>
    <w:uiPriority w:val="0"/>
    <w:rPr>
      <w:rFonts w:ascii="Times New Roman" w:hAnsi="Times New Roman" w:eastAsia="宋体" w:cs="Times New Roman"/>
      <w:color w:val="333333"/>
      <w:u w:val="none"/>
    </w:rPr>
  </w:style>
  <w:style w:type="character" w:styleId="24">
    <w:name w:val="HTML Code"/>
    <w:basedOn w:val="17"/>
    <w:qFormat/>
    <w:uiPriority w:val="0"/>
    <w:rPr>
      <w:rFonts w:ascii="Consolas" w:hAnsi="Consolas" w:eastAsia="Consolas" w:cs="Consolas"/>
      <w:sz w:val="21"/>
      <w:szCs w:val="21"/>
    </w:rPr>
  </w:style>
  <w:style w:type="character" w:styleId="25">
    <w:name w:val="annotation reference"/>
    <w:basedOn w:val="17"/>
    <w:qFormat/>
    <w:uiPriority w:val="0"/>
    <w:rPr>
      <w:rFonts w:asciiTheme="minorHAnsi" w:hAnsiTheme="minorHAnsi" w:eastAsiaTheme="minorEastAsia" w:cstheme="minorBidi"/>
      <w:sz w:val="21"/>
      <w:szCs w:val="21"/>
    </w:rPr>
  </w:style>
  <w:style w:type="character" w:styleId="26">
    <w:name w:val="HTML Cite"/>
    <w:basedOn w:val="17"/>
    <w:qFormat/>
    <w:uiPriority w:val="0"/>
    <w:rPr>
      <w:rFonts w:asciiTheme="minorHAnsi" w:hAnsiTheme="minorHAnsi" w:eastAsiaTheme="minorEastAsia" w:cstheme="minorBidi"/>
    </w:rPr>
  </w:style>
  <w:style w:type="character" w:styleId="27">
    <w:name w:val="HTML Keyboard"/>
    <w:basedOn w:val="17"/>
    <w:qFormat/>
    <w:uiPriority w:val="0"/>
    <w:rPr>
      <w:rFonts w:hint="default" w:ascii="serif" w:hAnsi="serif" w:eastAsia="serif" w:cs="serif"/>
      <w:sz w:val="21"/>
      <w:szCs w:val="21"/>
    </w:rPr>
  </w:style>
  <w:style w:type="character" w:styleId="28">
    <w:name w:val="HTML Sample"/>
    <w:basedOn w:val="17"/>
    <w:qFormat/>
    <w:uiPriority w:val="0"/>
    <w:rPr>
      <w:rFonts w:ascii="serif" w:hAnsi="serif" w:eastAsia="serif" w:cs="serif"/>
      <w:sz w:val="21"/>
      <w:szCs w:val="21"/>
    </w:rPr>
  </w:style>
  <w:style w:type="character" w:customStyle="1" w:styleId="29">
    <w:name w:val="标题 1 Char"/>
    <w:basedOn w:val="17"/>
    <w:link w:val="2"/>
    <w:qFormat/>
    <w:uiPriority w:val="9"/>
    <w:rPr>
      <w:rFonts w:eastAsia="黑体"/>
      <w:bCs/>
      <w:kern w:val="44"/>
      <w:sz w:val="28"/>
      <w:szCs w:val="44"/>
    </w:rPr>
  </w:style>
  <w:style w:type="character" w:customStyle="1" w:styleId="30">
    <w:name w:val="标题 2 Char"/>
    <w:basedOn w:val="17"/>
    <w:link w:val="3"/>
    <w:qFormat/>
    <w:uiPriority w:val="9"/>
    <w:rPr>
      <w:rFonts w:eastAsia="黑体" w:asciiTheme="majorHAnsi" w:hAnsiTheme="majorHAnsi" w:cstheme="majorBidi"/>
      <w:bCs/>
      <w:sz w:val="28"/>
      <w:szCs w:val="32"/>
    </w:rPr>
  </w:style>
  <w:style w:type="character" w:customStyle="1" w:styleId="31">
    <w:name w:val="标题 3 Char"/>
    <w:basedOn w:val="17"/>
    <w:link w:val="4"/>
    <w:qFormat/>
    <w:uiPriority w:val="0"/>
    <w:rPr>
      <w:rFonts w:eastAsia="仿宋_GB2312"/>
      <w:b/>
      <w:bCs/>
      <w:sz w:val="32"/>
      <w:szCs w:val="32"/>
    </w:rPr>
  </w:style>
  <w:style w:type="paragraph" w:customStyle="1" w:styleId="32">
    <w:name w:val="编号1"/>
    <w:link w:val="33"/>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3">
    <w:name w:val="编号1 字符"/>
    <w:basedOn w:val="34"/>
    <w:link w:val="32"/>
    <w:qFormat/>
    <w:uiPriority w:val="0"/>
    <w:rPr>
      <w:rFonts w:ascii="宋体" w:hAnsi="宋体" w:eastAsia="宋体" w:cs="Times New Roman"/>
      <w:b/>
      <w:bCs w:val="0"/>
      <w:kern w:val="44"/>
      <w:sz w:val="44"/>
      <w:szCs w:val="44"/>
    </w:rPr>
  </w:style>
  <w:style w:type="character" w:customStyle="1" w:styleId="34">
    <w:name w:val="Heading 1 Char"/>
    <w:basedOn w:val="17"/>
    <w:link w:val="2"/>
    <w:qFormat/>
    <w:locked/>
    <w:uiPriority w:val="99"/>
    <w:rPr>
      <w:rFonts w:ascii="Times New Roman" w:hAnsi="Times New Roman" w:eastAsia="黑体" w:cs="Times New Roman"/>
      <w:bCs/>
      <w:kern w:val="44"/>
      <w:sz w:val="44"/>
      <w:szCs w:val="44"/>
    </w:rPr>
  </w:style>
  <w:style w:type="paragraph" w:customStyle="1" w:styleId="35">
    <w:name w:val="编号2"/>
    <w:link w:val="36"/>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6">
    <w:name w:val="编号2 字符"/>
    <w:basedOn w:val="33"/>
    <w:link w:val="35"/>
    <w:qFormat/>
    <w:uiPriority w:val="0"/>
    <w:rPr>
      <w:rFonts w:ascii="宋体" w:hAnsi="宋体" w:eastAsia="宋体" w:cs="Times New Roman"/>
      <w:bCs/>
      <w:kern w:val="44"/>
      <w:sz w:val="32"/>
      <w:szCs w:val="44"/>
    </w:rPr>
  </w:style>
  <w:style w:type="paragraph" w:customStyle="1" w:styleId="37">
    <w:name w:val="编号3"/>
    <w:link w:val="38"/>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8">
    <w:name w:val="编号3 字符"/>
    <w:basedOn w:val="39"/>
    <w:link w:val="37"/>
    <w:qFormat/>
    <w:uiPriority w:val="0"/>
    <w:rPr>
      <w:rFonts w:eastAsia="宋体" w:asciiTheme="majorHAnsi" w:hAnsiTheme="majorHAnsi" w:cstheme="majorBidi"/>
      <w:kern w:val="44"/>
      <w:sz w:val="28"/>
      <w:szCs w:val="44"/>
    </w:rPr>
  </w:style>
  <w:style w:type="character" w:customStyle="1" w:styleId="39">
    <w:name w:val="Heading 2 Char"/>
    <w:basedOn w:val="17"/>
    <w:link w:val="3"/>
    <w:qFormat/>
    <w:locked/>
    <w:uiPriority w:val="99"/>
    <w:rPr>
      <w:rFonts w:ascii="等线 Light" w:hAnsi="等线 Light" w:eastAsia="黑体" w:cs="Times New Roman"/>
      <w:bCs/>
      <w:sz w:val="32"/>
      <w:szCs w:val="32"/>
    </w:rPr>
  </w:style>
  <w:style w:type="paragraph" w:customStyle="1" w:styleId="40">
    <w:name w:val="标题一"/>
    <w:next w:val="1"/>
    <w:link w:val="41"/>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1">
    <w:name w:val="标题一 字符"/>
    <w:basedOn w:val="34"/>
    <w:link w:val="40"/>
    <w:qFormat/>
    <w:uiPriority w:val="0"/>
    <w:rPr>
      <w:rFonts w:ascii="方正小标宋_GBK" w:hAnsi="宋体" w:eastAsia="黑体" w:cs="Times New Roman"/>
      <w:bCs w:val="0"/>
      <w:kern w:val="44"/>
      <w:sz w:val="32"/>
      <w:szCs w:val="44"/>
    </w:rPr>
  </w:style>
  <w:style w:type="paragraph" w:customStyle="1" w:styleId="42">
    <w:name w:val="标题二"/>
    <w:link w:val="43"/>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3">
    <w:name w:val="标题二 字符"/>
    <w:basedOn w:val="17"/>
    <w:link w:val="42"/>
    <w:qFormat/>
    <w:uiPriority w:val="0"/>
    <w:rPr>
      <w:rFonts w:eastAsia="楷体"/>
      <w:bCs/>
      <w:kern w:val="44"/>
      <w:sz w:val="32"/>
      <w:szCs w:val="44"/>
    </w:rPr>
  </w:style>
  <w:style w:type="character" w:customStyle="1" w:styleId="44">
    <w:name w:val="页眉 Char"/>
    <w:basedOn w:val="17"/>
    <w:link w:val="11"/>
    <w:qFormat/>
    <w:uiPriority w:val="99"/>
    <w:rPr>
      <w:rFonts w:ascii="宋体" w:hAnsi="宋体" w:eastAsia="仿宋_GB2312" w:cs="Times New Roman"/>
      <w:sz w:val="18"/>
      <w:szCs w:val="18"/>
    </w:rPr>
  </w:style>
  <w:style w:type="character" w:customStyle="1" w:styleId="45">
    <w:name w:val="页脚 Char"/>
    <w:basedOn w:val="17"/>
    <w:link w:val="10"/>
    <w:qFormat/>
    <w:uiPriority w:val="99"/>
    <w:rPr>
      <w:rFonts w:ascii="宋体" w:hAnsi="宋体" w:eastAsia="仿宋_GB2312" w:cs="Times New Roman"/>
      <w:sz w:val="18"/>
      <w:szCs w:val="18"/>
    </w:rPr>
  </w:style>
  <w:style w:type="character" w:customStyle="1" w:styleId="46">
    <w:name w:val="标题 4 Char"/>
    <w:basedOn w:val="17"/>
    <w:link w:val="5"/>
    <w:qFormat/>
    <w:uiPriority w:val="9"/>
    <w:rPr>
      <w:rFonts w:eastAsia="楷体" w:asciiTheme="majorHAnsi" w:hAnsiTheme="majorHAnsi" w:cstheme="majorBidi"/>
      <w:bCs/>
      <w:sz w:val="28"/>
      <w:szCs w:val="28"/>
    </w:rPr>
  </w:style>
  <w:style w:type="character" w:customStyle="1" w:styleId="47">
    <w:name w:val="批注框文本 Char"/>
    <w:basedOn w:val="17"/>
    <w:link w:val="9"/>
    <w:semiHidden/>
    <w:qFormat/>
    <w:uiPriority w:val="99"/>
    <w:rPr>
      <w:rFonts w:ascii="宋体" w:hAnsi="宋体" w:eastAsia="仿宋_GB2312" w:cs="Times New Roman"/>
      <w:sz w:val="18"/>
      <w:szCs w:val="18"/>
    </w:rPr>
  </w:style>
  <w:style w:type="paragraph" w:customStyle="1" w:styleId="48">
    <w:name w:val="列出段落1"/>
    <w:basedOn w:val="1"/>
    <w:qFormat/>
    <w:uiPriority w:val="34"/>
    <w:pPr>
      <w:ind w:firstLine="420"/>
    </w:pPr>
  </w:style>
  <w:style w:type="character" w:customStyle="1" w:styleId="49">
    <w:name w:val="文档结构图 Char"/>
    <w:basedOn w:val="17"/>
    <w:link w:val="6"/>
    <w:semiHidden/>
    <w:qFormat/>
    <w:uiPriority w:val="99"/>
    <w:rPr>
      <w:rFonts w:ascii="宋体" w:hAnsi="宋体" w:eastAsia="宋体" w:cs="Times New Roman"/>
      <w:sz w:val="18"/>
      <w:szCs w:val="18"/>
    </w:rPr>
  </w:style>
  <w:style w:type="paragraph" w:styleId="50">
    <w:name w:val="List Paragraph"/>
    <w:basedOn w:val="1"/>
    <w:qFormat/>
    <w:uiPriority w:val="99"/>
    <w:pPr>
      <w:ind w:firstLine="420"/>
    </w:pPr>
  </w:style>
  <w:style w:type="character" w:customStyle="1" w:styleId="51">
    <w:name w:val="Heading 3 Char"/>
    <w:basedOn w:val="17"/>
    <w:link w:val="4"/>
    <w:qFormat/>
    <w:locked/>
    <w:uiPriority w:val="99"/>
    <w:rPr>
      <w:rFonts w:ascii="Times New Roman" w:hAnsi="Times New Roman" w:eastAsia="仿宋_GB2312" w:cs="Times New Roman"/>
      <w:b/>
      <w:bCs/>
      <w:sz w:val="32"/>
      <w:szCs w:val="32"/>
    </w:rPr>
  </w:style>
  <w:style w:type="character" w:customStyle="1" w:styleId="52">
    <w:name w:val="Heading 4 Char"/>
    <w:basedOn w:val="17"/>
    <w:link w:val="5"/>
    <w:qFormat/>
    <w:locked/>
    <w:uiPriority w:val="99"/>
    <w:rPr>
      <w:rFonts w:ascii="等线 Light" w:hAnsi="等线 Light" w:eastAsia="楷体" w:cs="Times New Roman"/>
      <w:bCs/>
      <w:sz w:val="28"/>
      <w:szCs w:val="28"/>
    </w:rPr>
  </w:style>
  <w:style w:type="character" w:customStyle="1" w:styleId="53">
    <w:name w:val="Document Map Char"/>
    <w:basedOn w:val="17"/>
    <w:link w:val="6"/>
    <w:semiHidden/>
    <w:qFormat/>
    <w:locked/>
    <w:uiPriority w:val="99"/>
    <w:rPr>
      <w:rFonts w:ascii="宋体" w:hAnsi="宋体" w:eastAsia="宋体" w:cs="Times New Roman"/>
      <w:sz w:val="18"/>
      <w:szCs w:val="18"/>
    </w:rPr>
  </w:style>
  <w:style w:type="character" w:customStyle="1" w:styleId="54">
    <w:name w:val="Balloon Text Char"/>
    <w:basedOn w:val="17"/>
    <w:link w:val="9"/>
    <w:semiHidden/>
    <w:qFormat/>
    <w:locked/>
    <w:uiPriority w:val="99"/>
    <w:rPr>
      <w:rFonts w:ascii="宋体" w:hAnsi="宋体" w:eastAsia="仿宋_GB2312" w:cs="Times New Roman"/>
      <w:sz w:val="18"/>
      <w:szCs w:val="18"/>
    </w:rPr>
  </w:style>
  <w:style w:type="character" w:customStyle="1" w:styleId="55">
    <w:name w:val="Footer Char"/>
    <w:basedOn w:val="17"/>
    <w:link w:val="10"/>
    <w:qFormat/>
    <w:locked/>
    <w:uiPriority w:val="99"/>
    <w:rPr>
      <w:rFonts w:ascii="宋体" w:hAnsi="宋体" w:eastAsia="仿宋_GB2312" w:cs="Times New Roman"/>
      <w:sz w:val="18"/>
      <w:szCs w:val="18"/>
    </w:rPr>
  </w:style>
  <w:style w:type="character" w:customStyle="1" w:styleId="56">
    <w:name w:val="Header Char"/>
    <w:basedOn w:val="17"/>
    <w:link w:val="11"/>
    <w:qFormat/>
    <w:locked/>
    <w:uiPriority w:val="99"/>
    <w:rPr>
      <w:rFonts w:ascii="宋体" w:hAnsi="宋体" w:eastAsia="仿宋_GB2312" w:cs="Times New Roman"/>
      <w:sz w:val="18"/>
      <w:szCs w:val="18"/>
    </w:rPr>
  </w:style>
  <w:style w:type="character" w:customStyle="1" w:styleId="57">
    <w:name w:val="wz"/>
    <w:basedOn w:val="17"/>
    <w:qFormat/>
    <w:uiPriority w:val="0"/>
    <w:rPr>
      <w:rFonts w:ascii="Times New Roman" w:hAnsi="Times New Roman" w:eastAsia="宋体" w:cs="Times New Roman"/>
      <w:color w:val="808080"/>
    </w:rPr>
  </w:style>
  <w:style w:type="character" w:customStyle="1" w:styleId="58">
    <w:name w:val="hao1"/>
    <w:basedOn w:val="17"/>
    <w:qFormat/>
    <w:uiPriority w:val="0"/>
    <w:rPr>
      <w:rFonts w:ascii="Times New Roman" w:hAnsi="Times New Roman" w:eastAsia="宋体" w:cs="Times New Roman"/>
      <w:b/>
    </w:rPr>
  </w:style>
  <w:style w:type="character" w:customStyle="1" w:styleId="59">
    <w:name w:val="hao12"/>
    <w:basedOn w:val="17"/>
    <w:qFormat/>
    <w:uiPriority w:val="0"/>
    <w:rPr>
      <w:rFonts w:ascii="Times New Roman" w:hAnsi="Times New Roman" w:eastAsia="宋体" w:cs="Times New Roman"/>
      <w:b/>
    </w:rPr>
  </w:style>
  <w:style w:type="character" w:customStyle="1" w:styleId="60">
    <w:name w:val="gwds_nopic"/>
    <w:basedOn w:val="17"/>
    <w:qFormat/>
    <w:uiPriority w:val="0"/>
    <w:rPr>
      <w:rFonts w:ascii="Times New Roman" w:hAnsi="Times New Roman" w:eastAsia="宋体" w:cs="Times New Roman"/>
    </w:rPr>
  </w:style>
  <w:style w:type="character" w:customStyle="1" w:styleId="61">
    <w:name w:val="gwds_nopic1"/>
    <w:basedOn w:val="17"/>
    <w:qFormat/>
    <w:uiPriority w:val="0"/>
    <w:rPr>
      <w:rFonts w:ascii="Times New Roman" w:hAnsi="Times New Roman" w:eastAsia="宋体" w:cs="Times New Roman"/>
    </w:rPr>
  </w:style>
  <w:style w:type="character" w:customStyle="1" w:styleId="62">
    <w:name w:val="gwds_nopic2"/>
    <w:basedOn w:val="17"/>
    <w:qFormat/>
    <w:uiPriority w:val="0"/>
    <w:rPr>
      <w:rFonts w:ascii="Times New Roman" w:hAnsi="Times New Roman" w:eastAsia="宋体" w:cs="Times New Roman"/>
    </w:rPr>
  </w:style>
  <w:style w:type="paragraph" w:customStyle="1" w:styleId="63">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5">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6">
    <w:name w:val="fontstyle01"/>
    <w:basedOn w:val="17"/>
    <w:qFormat/>
    <w:uiPriority w:val="0"/>
    <w:rPr>
      <w:rFonts w:ascii="宋体" w:hAnsi="宋体" w:eastAsia="宋体" w:cs="宋体"/>
      <w:color w:val="000000"/>
      <w:sz w:val="32"/>
      <w:szCs w:val="32"/>
    </w:rPr>
  </w:style>
  <w:style w:type="character" w:customStyle="1" w:styleId="67">
    <w:name w:val="active3"/>
    <w:basedOn w:val="17"/>
    <w:qFormat/>
    <w:uiPriority w:val="0"/>
    <w:rPr>
      <w:rFonts w:asciiTheme="minorHAnsi" w:hAnsiTheme="minorHAnsi" w:eastAsiaTheme="minorEastAsia" w:cstheme="minorBidi"/>
      <w:shd w:val="clear" w:color="auto" w:fill="222222"/>
    </w:rPr>
  </w:style>
  <w:style w:type="character" w:customStyle="1" w:styleId="68">
    <w:name w:val="active4"/>
    <w:basedOn w:val="17"/>
    <w:qFormat/>
    <w:uiPriority w:val="0"/>
    <w:rPr>
      <w:rFonts w:asciiTheme="minorHAnsi" w:hAnsiTheme="minorHAnsi" w:eastAsiaTheme="minorEastAsia" w:cstheme="minorBidi"/>
      <w:color w:val="FFFFFF"/>
      <w:shd w:val="clear" w:color="auto" w:fill="222222"/>
    </w:rPr>
  </w:style>
  <w:style w:type="character" w:customStyle="1" w:styleId="69">
    <w:name w:val="current"/>
    <w:basedOn w:val="17"/>
    <w:qFormat/>
    <w:uiPriority w:val="0"/>
    <w:rPr>
      <w:rFonts w:asciiTheme="minorHAnsi" w:hAnsiTheme="minorHAnsi" w:eastAsiaTheme="minorEastAsia" w:cstheme="minorBidi"/>
      <w:color w:val="FFFFFF"/>
      <w:shd w:val="clear" w:color="auto" w:fill="222222"/>
    </w:rPr>
  </w:style>
  <w:style w:type="character" w:customStyle="1" w:styleId="70">
    <w:name w:val="tmpztreemove_arrow"/>
    <w:basedOn w:val="17"/>
    <w:qFormat/>
    <w:uiPriority w:val="0"/>
    <w:rPr>
      <w:rFonts w:asciiTheme="minorHAnsi" w:hAnsiTheme="minorHAnsi" w:eastAsiaTheme="minorEastAsia" w:cstheme="minorBidi"/>
    </w:rPr>
  </w:style>
  <w:style w:type="character" w:customStyle="1" w:styleId="71">
    <w:name w:val="button"/>
    <w:basedOn w:val="17"/>
    <w:qFormat/>
    <w:uiPriority w:val="0"/>
    <w:rPr>
      <w:rFonts w:asciiTheme="minorHAnsi" w:hAnsiTheme="minorHAnsi" w:eastAsiaTheme="minorEastAsia" w:cstheme="minorBidi"/>
    </w:rPr>
  </w:style>
  <w:style w:type="paragraph" w:customStyle="1" w:styleId="72">
    <w:name w:val="列出段落11"/>
    <w:basedOn w:val="1"/>
    <w:qFormat/>
    <w:uiPriority w:val="34"/>
    <w:pPr>
      <w:ind w:firstLine="420"/>
    </w:pPr>
  </w:style>
  <w:style w:type="character" w:customStyle="1" w:styleId="73">
    <w:name w:val="正文 首行缩进 Char"/>
    <w:link w:val="74"/>
    <w:qFormat/>
    <w:uiPriority w:val="99"/>
    <w:rPr>
      <w:rFonts w:ascii="Arial" w:hAnsi="Arial" w:eastAsiaTheme="minorEastAsia" w:cstheme="minorBidi"/>
      <w:sz w:val="21"/>
    </w:rPr>
  </w:style>
  <w:style w:type="paragraph" w:customStyle="1" w:styleId="74">
    <w:name w:val="正文 首行缩进"/>
    <w:basedOn w:val="1"/>
    <w:link w:val="73"/>
    <w:qFormat/>
    <w:uiPriority w:val="99"/>
    <w:pPr>
      <w:spacing w:line="360" w:lineRule="auto"/>
      <w:ind w:firstLine="420"/>
    </w:pPr>
    <w:rPr>
      <w:rFonts w:ascii="Arial" w:hAnsi="Arial" w:eastAsiaTheme="minorEastAsia" w:cstheme="minorBidi"/>
      <w:sz w:val="21"/>
    </w:rPr>
  </w:style>
  <w:style w:type="paragraph" w:customStyle="1" w:styleId="75">
    <w:name w:val="表格标题_0"/>
    <w:basedOn w:val="1"/>
    <w:link w:val="81"/>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6">
    <w:name w:val="标题 3_0"/>
    <w:basedOn w:val="1"/>
    <w:next w:val="1"/>
    <w:link w:val="80"/>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7">
    <w:name w:val="需求正文"/>
    <w:basedOn w:val="1"/>
    <w:link w:val="78"/>
    <w:qFormat/>
    <w:uiPriority w:val="0"/>
    <w:pPr>
      <w:spacing w:line="240" w:lineRule="auto"/>
      <w:ind w:firstLine="420" w:firstLineChars="0"/>
    </w:pPr>
    <w:rPr>
      <w:rFonts w:ascii="Arial" w:hAnsi="Arial"/>
      <w:sz w:val="21"/>
    </w:rPr>
  </w:style>
  <w:style w:type="character" w:customStyle="1" w:styleId="78">
    <w:name w:val="需求正文 Char"/>
    <w:link w:val="77"/>
    <w:qFormat/>
    <w:uiPriority w:val="0"/>
    <w:rPr>
      <w:rFonts w:ascii="Arial" w:hAnsi="Arial" w:eastAsiaTheme="minorEastAsia" w:cstheme="minorBidi"/>
      <w:sz w:val="21"/>
    </w:rPr>
  </w:style>
  <w:style w:type="character" w:customStyle="1" w:styleId="79">
    <w:name w:val="批注文字 Char"/>
    <w:basedOn w:val="17"/>
    <w:link w:val="7"/>
    <w:semiHidden/>
    <w:qFormat/>
    <w:uiPriority w:val="99"/>
    <w:rPr>
      <w:rFonts w:asciiTheme="minorHAnsi" w:hAnsiTheme="minorHAnsi" w:eastAsiaTheme="minorEastAsia" w:cstheme="minorBidi"/>
    </w:rPr>
  </w:style>
  <w:style w:type="character" w:customStyle="1" w:styleId="80">
    <w:name w:val="标题 3 Char_0"/>
    <w:link w:val="76"/>
    <w:qFormat/>
    <w:locked/>
    <w:uiPriority w:val="9"/>
    <w:rPr>
      <w:rFonts w:ascii="Times New Roman" w:hAnsi="Times New Roman" w:eastAsiaTheme="minorEastAsia" w:cstheme="minorBidi"/>
      <w:b/>
      <w:bCs/>
      <w:kern w:val="0"/>
      <w:sz w:val="32"/>
      <w:szCs w:val="32"/>
    </w:rPr>
  </w:style>
  <w:style w:type="character" w:customStyle="1" w:styleId="81">
    <w:name w:val="表格标题 Char"/>
    <w:link w:val="75"/>
    <w:qFormat/>
    <w:uiPriority w:val="0"/>
    <w:rPr>
      <w:rFonts w:ascii="Calibri" w:hAnsi="Calibri" w:eastAsiaTheme="minorEastAsia" w:cstheme="minorBidi"/>
      <w:b/>
      <w:kern w:val="0"/>
      <w:sz w:val="18"/>
      <w:szCs w:val="18"/>
    </w:rPr>
  </w:style>
  <w:style w:type="character" w:customStyle="1" w:styleId="82">
    <w:name w:val="批注主题 Char"/>
    <w:basedOn w:val="79"/>
    <w:link w:val="14"/>
    <w:semiHidden/>
    <w:qFormat/>
    <w:uiPriority w:val="99"/>
    <w:rPr>
      <w:rFonts w:asciiTheme="minorHAnsi" w:hAnsiTheme="minorHAnsi" w:eastAsiaTheme="minorEastAsia" w:cstheme="minorBidi"/>
      <w:b/>
      <w:bCs/>
    </w:rPr>
  </w:style>
  <w:style w:type="paragraph" w:customStyle="1" w:styleId="83">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4">
    <w:name w:val="征管规范图例表头 字符"/>
    <w:link w:val="85"/>
    <w:qFormat/>
    <w:uiPriority w:val="0"/>
    <w:rPr>
      <w:rFonts w:asciiTheme="minorHAnsi" w:hAnsiTheme="minorHAnsi" w:eastAsiaTheme="minorEastAsia" w:cstheme="minorBidi"/>
      <w:b/>
      <w:sz w:val="18"/>
    </w:rPr>
  </w:style>
  <w:style w:type="paragraph" w:customStyle="1" w:styleId="85">
    <w:name w:val="征管规范图例表头"/>
    <w:basedOn w:val="83"/>
    <w:link w:val="84"/>
    <w:qFormat/>
    <w:uiPriority w:val="0"/>
    <w:pPr>
      <w:jc w:val="center"/>
    </w:pPr>
    <w:rPr>
      <w:rFonts w:asciiTheme="minorHAnsi" w:hAnsiTheme="minorHAnsi" w:eastAsiaTheme="minorEastAsia" w:cstheme="minorBidi"/>
      <w:b/>
      <w:sz w:val="18"/>
    </w:rPr>
  </w:style>
  <w:style w:type="paragraph" w:customStyle="1" w:styleId="86">
    <w:name w:val="表格文字 居中_0"/>
    <w:basedOn w:val="1"/>
    <w:link w:val="96"/>
    <w:qFormat/>
    <w:uiPriority w:val="0"/>
    <w:pPr>
      <w:jc w:val="center"/>
    </w:pPr>
    <w:rPr>
      <w:rFonts w:ascii="Arial" w:hAnsi="Arial"/>
      <w:kern w:val="0"/>
      <w:sz w:val="18"/>
      <w:szCs w:val="24"/>
    </w:rPr>
  </w:style>
  <w:style w:type="character" w:customStyle="1" w:styleId="87">
    <w:name w:val="red2"/>
    <w:basedOn w:val="17"/>
    <w:qFormat/>
    <w:uiPriority w:val="0"/>
    <w:rPr>
      <w:rFonts w:hint="eastAsia" w:ascii="宋体" w:hAnsi="宋体" w:eastAsia="宋体" w:cs="宋体"/>
      <w:b/>
      <w:color w:val="FF0000"/>
    </w:rPr>
  </w:style>
  <w:style w:type="character" w:customStyle="1" w:styleId="88">
    <w:name w:val="tree-text"/>
    <w:basedOn w:val="17"/>
    <w:qFormat/>
    <w:uiPriority w:val="0"/>
    <w:rPr>
      <w:rFonts w:ascii="Times New Roman" w:hAnsi="Times New Roman" w:eastAsia="宋体" w:cs="Times New Roman"/>
    </w:rPr>
  </w:style>
  <w:style w:type="paragraph" w:customStyle="1" w:styleId="89">
    <w:name w:val="_Style 29"/>
    <w:basedOn w:val="1"/>
    <w:next w:val="1"/>
    <w:qFormat/>
    <w:uiPriority w:val="0"/>
    <w:pPr>
      <w:pBdr>
        <w:bottom w:val="single" w:color="auto" w:sz="6" w:space="1"/>
      </w:pBdr>
      <w:jc w:val="center"/>
    </w:pPr>
    <w:rPr>
      <w:rFonts w:ascii="Arial"/>
      <w:vanish/>
      <w:sz w:val="16"/>
    </w:rPr>
  </w:style>
  <w:style w:type="paragraph" w:customStyle="1" w:styleId="90">
    <w:name w:val="_Style 30"/>
    <w:basedOn w:val="1"/>
    <w:next w:val="1"/>
    <w:qFormat/>
    <w:uiPriority w:val="0"/>
    <w:pPr>
      <w:pBdr>
        <w:top w:val="single" w:color="auto" w:sz="6" w:space="1"/>
      </w:pBdr>
      <w:jc w:val="center"/>
    </w:pPr>
    <w:rPr>
      <w:rFonts w:ascii="Arial"/>
      <w:vanish/>
      <w:sz w:val="16"/>
    </w:rPr>
  </w:style>
  <w:style w:type="paragraph" w:customStyle="1" w:styleId="91">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2">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3">
    <w:name w:val="表格列标题_0"/>
    <w:basedOn w:val="1"/>
    <w:link w:val="95"/>
    <w:qFormat/>
    <w:uiPriority w:val="0"/>
    <w:pPr>
      <w:jc w:val="center"/>
    </w:pPr>
    <w:rPr>
      <w:rFonts w:ascii="Arial" w:hAnsi="Arial"/>
      <w:b/>
      <w:kern w:val="0"/>
      <w:sz w:val="18"/>
      <w:szCs w:val="24"/>
    </w:rPr>
  </w:style>
  <w:style w:type="paragraph" w:customStyle="1" w:styleId="94">
    <w:name w:val="需求正文_0"/>
    <w:basedOn w:val="1"/>
    <w:qFormat/>
    <w:uiPriority w:val="0"/>
    <w:pPr>
      <w:topLinePunct/>
    </w:pPr>
    <w:rPr>
      <w:kern w:val="20"/>
      <w:sz w:val="20"/>
      <w:szCs w:val="20"/>
    </w:rPr>
  </w:style>
  <w:style w:type="character" w:customStyle="1" w:styleId="95">
    <w:name w:val="表格列标题 Char"/>
    <w:link w:val="93"/>
    <w:qFormat/>
    <w:uiPriority w:val="0"/>
    <w:rPr>
      <w:rFonts w:ascii="Arial" w:hAnsi="Arial" w:eastAsia="宋体" w:cs="Times New Roman"/>
      <w:b/>
      <w:kern w:val="0"/>
      <w:sz w:val="18"/>
      <w:szCs w:val="24"/>
    </w:rPr>
  </w:style>
  <w:style w:type="character" w:customStyle="1" w:styleId="96">
    <w:name w:val="表格文字 居中 Char"/>
    <w:link w:val="86"/>
    <w:qFormat/>
    <w:uiPriority w:val="0"/>
    <w:rPr>
      <w:rFonts w:ascii="Arial" w:hAnsi="Arial" w:eastAsia="宋体" w:cs="Times New Roman"/>
      <w:kern w:val="0"/>
      <w:sz w:val="18"/>
      <w:szCs w:val="24"/>
    </w:rPr>
  </w:style>
  <w:style w:type="paragraph" w:customStyle="1" w:styleId="97">
    <w:name w:val="_Style 57"/>
    <w:basedOn w:val="1"/>
    <w:next w:val="1"/>
    <w:qFormat/>
    <w:uiPriority w:val="0"/>
    <w:pPr>
      <w:pBdr>
        <w:bottom w:val="single" w:color="auto" w:sz="6" w:space="1"/>
      </w:pBdr>
      <w:jc w:val="center"/>
    </w:pPr>
    <w:rPr>
      <w:rFonts w:ascii="Arial"/>
      <w:vanish/>
      <w:sz w:val="16"/>
    </w:rPr>
  </w:style>
  <w:style w:type="paragraph" w:customStyle="1" w:styleId="98">
    <w:name w:val="_Style 15"/>
    <w:basedOn w:val="1"/>
    <w:next w:val="1"/>
    <w:qFormat/>
    <w:uiPriority w:val="0"/>
    <w:pPr>
      <w:pBdr>
        <w:bottom w:val="single" w:color="auto" w:sz="6" w:space="1"/>
      </w:pBdr>
      <w:jc w:val="center"/>
    </w:pPr>
    <w:rPr>
      <w:rFonts w:ascii="Arial"/>
      <w:vanish/>
      <w:sz w:val="16"/>
    </w:rPr>
  </w:style>
  <w:style w:type="paragraph" w:customStyle="1" w:styleId="99">
    <w:name w:val="_Style 16"/>
    <w:basedOn w:val="1"/>
    <w:next w:val="1"/>
    <w:qFormat/>
    <w:uiPriority w:val="0"/>
    <w:pPr>
      <w:pBdr>
        <w:top w:val="single" w:color="auto" w:sz="6" w:space="1"/>
      </w:pBdr>
      <w:jc w:val="center"/>
    </w:pPr>
    <w:rPr>
      <w:rFonts w:ascii="Arial"/>
      <w:vanish/>
      <w:sz w:val="16"/>
    </w:rPr>
  </w:style>
  <w:style w:type="character" w:customStyle="1" w:styleId="100">
    <w:name w:val="hover6"/>
    <w:basedOn w:val="17"/>
    <w:qFormat/>
    <w:uiPriority w:val="0"/>
    <w:rPr>
      <w:rFonts w:asciiTheme="minorHAnsi" w:hAnsiTheme="minorHAnsi" w:eastAsiaTheme="minorEastAsia" w:cstheme="minorBidi"/>
      <w:color w:val="FFFFFF"/>
      <w:shd w:val="clear" w:color="auto" w:fill="F9AC00"/>
    </w:rPr>
  </w:style>
  <w:style w:type="paragraph" w:customStyle="1" w:styleId="101">
    <w:name w:val="一级标题"/>
    <w:basedOn w:val="2"/>
    <w:next w:val="1"/>
    <w:link w:val="103"/>
    <w:qFormat/>
    <w:uiPriority w:val="0"/>
    <w:pPr>
      <w:spacing w:before="0" w:after="0" w:line="578" w:lineRule="exact"/>
      <w:ind w:firstLine="560"/>
    </w:pPr>
    <w:rPr>
      <w:rFonts w:eastAsia="黑体"/>
      <w:bCs w:val="0"/>
      <w:sz w:val="28"/>
    </w:rPr>
  </w:style>
  <w:style w:type="paragraph" w:customStyle="1" w:styleId="102">
    <w:name w:val="二级标题"/>
    <w:basedOn w:val="2"/>
    <w:link w:val="104"/>
    <w:qFormat/>
    <w:uiPriority w:val="0"/>
    <w:pPr>
      <w:spacing w:before="0" w:after="0" w:line="578" w:lineRule="exact"/>
      <w:ind w:firstLine="560"/>
      <w:outlineLvl w:val="1"/>
    </w:pPr>
    <w:rPr>
      <w:rFonts w:eastAsia="黑体"/>
      <w:bCs w:val="0"/>
      <w:sz w:val="28"/>
    </w:rPr>
  </w:style>
  <w:style w:type="character" w:customStyle="1" w:styleId="103">
    <w:name w:val="一级标题 Char"/>
    <w:basedOn w:val="29"/>
    <w:link w:val="101"/>
    <w:qFormat/>
    <w:uiPriority w:val="0"/>
    <w:rPr>
      <w:rFonts w:eastAsia="黑体" w:asciiTheme="minorHAnsi" w:hAnsiTheme="minorHAnsi" w:cstheme="minorBidi"/>
      <w:bCs w:val="0"/>
      <w:sz w:val="28"/>
    </w:rPr>
  </w:style>
  <w:style w:type="character" w:customStyle="1" w:styleId="104">
    <w:name w:val="二级标题 Char"/>
    <w:basedOn w:val="30"/>
    <w:link w:val="102"/>
    <w:qFormat/>
    <w:uiPriority w:val="0"/>
    <w:rPr>
      <w:rFonts w:eastAsia="黑体"/>
      <w:bCs w:val="0"/>
      <w:sz w:val="28"/>
    </w:rPr>
  </w:style>
  <w:style w:type="paragraph" w:customStyle="1" w:styleId="105">
    <w:name w:val="三级标题"/>
    <w:basedOn w:val="4"/>
    <w:next w:val="1"/>
    <w:link w:val="106"/>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6">
    <w:name w:val="三级标题 Char"/>
    <w:basedOn w:val="17"/>
    <w:link w:val="105"/>
    <w:qFormat/>
    <w:uiPriority w:val="0"/>
    <w:rPr>
      <w:rFonts w:eastAsia="楷体" w:asciiTheme="minorHAnsi" w:hAnsiTheme="minorHAnsi" w:cstheme="minorBidi"/>
      <w:sz w:val="28"/>
    </w:rPr>
  </w:style>
  <w:style w:type="paragraph" w:customStyle="1" w:styleId="107">
    <w:name w:val="列出段落2"/>
    <w:basedOn w:val="1"/>
    <w:qFormat/>
    <w:uiPriority w:val="34"/>
    <w:pPr>
      <w:ind w:firstLine="420"/>
    </w:pPr>
  </w:style>
  <w:style w:type="paragraph" w:customStyle="1" w:styleId="108">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9">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12</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2019-10-31T07:31:00Z</dcterms:created>
  <dc:creator>TOM</dc:creator>
  <cp:lastModifiedBy>TOM</cp:lastModifiedBy>
  <dcterms:modified xsi:type="dcterms:W3CDTF">2019-11-01T01:13:26Z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