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eastAsia" w:ascii="黑体" w:hAnsi="黑体"/>
          <w:color w:val="auto"/>
        </w:rPr>
      </w:pPr>
      <w:bookmarkStart w:id="1" w:name="_GoBack"/>
      <w:bookmarkEnd w:id="1"/>
      <w:bookmarkStart w:id="0" w:name="_Toc28300"/>
      <w:r>
        <w:rPr>
          <w:rFonts w:hint="eastAsia" w:ascii="黑体" w:hAnsi="黑体"/>
          <w:color w:val="auto"/>
        </w:rPr>
        <w:t>1.3.4.1.2居民个人取得分类所得个人所得税预扣预缴申报</w:t>
      </w:r>
      <w:bookmarkEnd w:id="0"/>
    </w:p>
    <w:p>
      <w:pPr>
        <w:pStyle w:val="3"/>
        <w:ind w:firstLine="552"/>
        <w:rPr>
          <w:color w:val="auto"/>
        </w:rPr>
      </w:pPr>
      <w:r>
        <w:rPr>
          <w:color w:val="auto"/>
        </w:rPr>
        <w:t>一、事项名称</w:t>
      </w:r>
    </w:p>
    <w:p>
      <w:pPr>
        <w:ind w:firstLine="472"/>
        <w:rPr>
          <w:rFonts w:ascii="宋体" w:hAnsi="宋体" w:eastAsia="宋体" w:cs="Times New Roman"/>
          <w:bCs w:val="0"/>
          <w:color w:val="auto"/>
          <w:sz w:val="24"/>
          <w:szCs w:val="22"/>
        </w:rPr>
      </w:pPr>
      <w:r>
        <w:rPr>
          <w:rFonts w:hint="default" w:ascii="宋体" w:hAnsi="宋体" w:eastAsia="宋体" w:cs="Times New Roman"/>
          <w:bCs w:val="0"/>
          <w:color w:val="auto"/>
          <w:sz w:val="24"/>
          <w:szCs w:val="22"/>
        </w:rPr>
        <w:t>居民个人取得分类所得个人所得税预扣预缴申报</w:t>
      </w:r>
    </w:p>
    <w:p>
      <w:pPr>
        <w:pStyle w:val="3"/>
        <w:ind w:firstLine="552"/>
        <w:rPr>
          <w:color w:val="auto"/>
        </w:rPr>
      </w:pPr>
      <w:r>
        <w:rPr>
          <w:color w:val="auto"/>
        </w:rPr>
        <w:t>二、事项类别</w:t>
      </w:r>
    </w:p>
    <w:p>
      <w:pPr>
        <w:pStyle w:val="47"/>
        <w:numPr>
          <w:ilvl w:val="0"/>
          <w:numId w:val="3"/>
        </w:numPr>
        <w:ind w:firstLineChars="0"/>
        <w:rPr>
          <w:color w:val="auto"/>
        </w:rPr>
      </w:pPr>
      <w:r>
        <w:rPr>
          <w:color w:val="auto"/>
        </w:rPr>
        <w:t>发起方式：人工发起（纳税人）</w:t>
      </w:r>
    </w:p>
    <w:p>
      <w:pPr>
        <w:pStyle w:val="47"/>
        <w:numPr>
          <w:ilvl w:val="0"/>
          <w:numId w:val="3"/>
        </w:numPr>
        <w:ind w:firstLineChars="0"/>
        <w:rPr>
          <w:color w:val="auto"/>
        </w:rPr>
      </w:pPr>
      <w:r>
        <w:rPr>
          <w:color w:val="auto"/>
        </w:rPr>
        <w:t>办结方式：即办</w:t>
      </w:r>
    </w:p>
    <w:p>
      <w:pPr>
        <w:pStyle w:val="47"/>
        <w:numPr>
          <w:ilvl w:val="0"/>
          <w:numId w:val="3"/>
        </w:numPr>
        <w:ind w:firstLineChars="0"/>
        <w:rPr>
          <w:color w:val="auto"/>
        </w:rPr>
      </w:pPr>
      <w:r>
        <w:rPr>
          <w:color w:val="auto"/>
        </w:rPr>
        <w:t>全省通办：是</w:t>
      </w:r>
    </w:p>
    <w:p>
      <w:pPr>
        <w:pStyle w:val="47"/>
        <w:numPr>
          <w:ilvl w:val="0"/>
          <w:numId w:val="3"/>
        </w:numPr>
        <w:ind w:firstLineChars="0"/>
        <w:rPr>
          <w:color w:val="auto"/>
        </w:rPr>
      </w:pPr>
      <w:r>
        <w:rPr>
          <w:color w:val="auto"/>
        </w:rPr>
        <w:t>网上办理：是</w:t>
      </w:r>
    </w:p>
    <w:p>
      <w:pPr>
        <w:pStyle w:val="47"/>
        <w:numPr>
          <w:ilvl w:val="0"/>
          <w:numId w:val="3"/>
        </w:numPr>
        <w:ind w:firstLineChars="0"/>
        <w:rPr>
          <w:color w:val="auto"/>
        </w:rPr>
      </w:pPr>
      <w:r>
        <w:rPr>
          <w:color w:val="auto"/>
        </w:rPr>
        <w:t>适用层级：县(市、区)级</w:t>
      </w:r>
    </w:p>
    <w:p>
      <w:pPr>
        <w:pStyle w:val="47"/>
        <w:numPr>
          <w:ilvl w:val="0"/>
          <w:numId w:val="3"/>
        </w:numPr>
        <w:ind w:firstLineChars="0"/>
        <w:rPr>
          <w:color w:val="auto"/>
        </w:rPr>
      </w:pPr>
      <w:r>
        <w:rPr>
          <w:rFonts w:hint="eastAsia"/>
          <w:color w:val="auto"/>
        </w:rPr>
        <w:t>最多跑一次：是</w:t>
      </w:r>
    </w:p>
    <w:p>
      <w:pPr>
        <w:pStyle w:val="3"/>
        <w:ind w:firstLine="552"/>
        <w:rPr>
          <w:color w:val="auto"/>
        </w:rPr>
      </w:pPr>
      <w:r>
        <w:rPr>
          <w:color w:val="auto"/>
        </w:rPr>
        <w:t>三、</w:t>
      </w:r>
      <w:r>
        <w:rPr>
          <w:rFonts w:hint="eastAsia"/>
          <w:color w:val="auto"/>
          <w:lang w:val="en-US" w:eastAsia="zh-CN"/>
        </w:rPr>
        <w:t>办理条件</w:t>
      </w:r>
    </w:p>
    <w:p>
      <w:pPr>
        <w:pStyle w:val="47"/>
        <w:ind w:firstLine="472"/>
        <w:rPr>
          <w:color w:val="auto"/>
        </w:rPr>
      </w:pPr>
      <w:r>
        <w:rPr>
          <w:color w:val="auto"/>
        </w:rPr>
        <w:t>1．扣缴义务人向居民个人支付利息、股息、红利所得，财产租赁所得，财产转让所得或者偶然所得时，应当按月或按次代扣代缴个人所得税，并次月十五日内，向主管税务机关报送《个人所得税扣缴申报表》。取得的所得适用比例税率，税率为百分之二十。</w:t>
      </w:r>
    </w:p>
    <w:p>
      <w:pPr>
        <w:pStyle w:val="47"/>
        <w:ind w:firstLineChars="0"/>
        <w:rPr>
          <w:color w:val="auto"/>
        </w:rPr>
      </w:pPr>
      <w:r>
        <w:rPr>
          <w:color w:val="auto"/>
        </w:rPr>
        <w:t>2．财产租赁所得，每次收入不超过四千元的，减除费用八百元；四千元以上的，减除百分之二十的费用，其余额为应纳税所得额。财产转让所得，以转让财产的收入额减除财产原值和合理费用后的余额，为应纳税所得额。利息、股息、红利所得和偶然所得，以每次收入额为应纳税所得额。</w:t>
      </w:r>
    </w:p>
    <w:p>
      <w:pPr>
        <w:pStyle w:val="47"/>
        <w:ind w:firstLineChars="0"/>
        <w:rPr>
          <w:color w:val="auto"/>
        </w:rPr>
      </w:pPr>
      <w:r>
        <w:rPr>
          <w:color w:val="auto"/>
        </w:rPr>
        <w:t>3．个人将其所得对教育、扶贫、济困等公益慈善事业进行捐赠，捐赠额未超过纳税人申报的应纳税所得额百分之三十的部分，可以从其应纳税所得额中扣除；国务院规定对公益慈善事业捐赠实行全额税前扣除的，从其规定。</w:t>
      </w:r>
    </w:p>
    <w:p>
      <w:pPr>
        <w:pStyle w:val="47"/>
        <w:ind w:firstLineChars="0"/>
        <w:rPr>
          <w:color w:val="auto"/>
        </w:rPr>
      </w:pPr>
      <w:r>
        <w:rPr>
          <w:color w:val="auto"/>
        </w:rPr>
        <w:t>4．当应税所得个人既存在优惠减免，又存在非居民享受税收协定待遇减免时，扣缴义务人可以根据应税所得个人选择优惠度最高的享受减免进行申报。</w:t>
      </w:r>
    </w:p>
    <w:p>
      <w:pPr>
        <w:pStyle w:val="3"/>
        <w:ind w:firstLine="552"/>
        <w:rPr>
          <w:color w:val="auto"/>
        </w:rPr>
      </w:pPr>
      <w:r>
        <w:rPr>
          <w:rFonts w:hint="eastAsia"/>
          <w:color w:val="auto"/>
        </w:rPr>
        <w:t>四、设定依据</w:t>
      </w:r>
    </w:p>
    <w:p>
      <w:pPr>
        <w:ind w:firstLine="472"/>
        <w:rPr>
          <w:rFonts w:ascii="宋体" w:hAnsi="宋体" w:eastAsia="宋体" w:cs="Times New Roman"/>
          <w:bCs w:val="0"/>
          <w:color w:val="auto"/>
          <w:sz w:val="24"/>
          <w:szCs w:val="22"/>
        </w:rPr>
      </w:pPr>
      <w:r>
        <w:rPr>
          <w:rFonts w:ascii="宋体" w:hAnsi="宋体" w:eastAsia="宋体" w:cs="Times New Roman"/>
          <w:bCs w:val="0"/>
          <w:color w:val="auto"/>
          <w:sz w:val="24"/>
          <w:szCs w:val="22"/>
        </w:rPr>
        <w:t>1.《中华人民共和国税收征收管理法》第二十五条第二款</w:t>
      </w:r>
    </w:p>
    <w:p>
      <w:pPr>
        <w:ind w:firstLine="472"/>
        <w:rPr>
          <w:rFonts w:ascii="宋体" w:hAnsi="宋体" w:eastAsia="宋体" w:cs="Times New Roman"/>
          <w:bCs w:val="0"/>
          <w:color w:val="auto"/>
          <w:sz w:val="24"/>
          <w:szCs w:val="22"/>
        </w:rPr>
      </w:pPr>
      <w:r>
        <w:rPr>
          <w:rFonts w:hint="default" w:ascii="宋体" w:hAnsi="宋体" w:eastAsia="宋体" w:cs="Times New Roman"/>
          <w:bCs w:val="0"/>
          <w:color w:val="auto"/>
          <w:sz w:val="24"/>
          <w:szCs w:val="22"/>
        </w:rPr>
        <w:t>“扣缴义务人必须依照法律、行政法规规定或者税务机关依照法律、行政法规的规定确定的申报期限、申报内容如实报送代扣代缴、代收代缴税款报告表以及税务机关根据实际需要要求扣缴义务人报送的其他有关资料。”</w:t>
      </w:r>
    </w:p>
    <w:p>
      <w:pPr>
        <w:ind w:firstLine="472"/>
        <w:rPr>
          <w:rFonts w:ascii="宋体" w:hAnsi="宋体" w:eastAsia="宋体" w:cs="Times New Roman"/>
          <w:bCs w:val="0"/>
          <w:color w:val="auto"/>
          <w:sz w:val="24"/>
          <w:szCs w:val="22"/>
        </w:rPr>
      </w:pPr>
      <w:r>
        <w:rPr>
          <w:rFonts w:ascii="宋体" w:hAnsi="宋体" w:eastAsia="宋体" w:cs="Times New Roman"/>
          <w:bCs w:val="0"/>
          <w:color w:val="auto"/>
          <w:sz w:val="24"/>
          <w:szCs w:val="22"/>
        </w:rPr>
        <w:t>2.《中华人民共和国个人所得税法》第十条第二款</w:t>
      </w:r>
    </w:p>
    <w:p>
      <w:pPr>
        <w:ind w:firstLine="472"/>
        <w:rPr>
          <w:rFonts w:ascii="宋体" w:hAnsi="宋体" w:eastAsia="宋体" w:cs="Times New Roman"/>
          <w:bCs w:val="0"/>
          <w:color w:val="auto"/>
          <w:sz w:val="24"/>
          <w:szCs w:val="22"/>
        </w:rPr>
      </w:pPr>
      <w:r>
        <w:rPr>
          <w:rFonts w:hint="default" w:ascii="宋体" w:hAnsi="宋体" w:eastAsia="宋体" w:cs="Times New Roman"/>
          <w:bCs w:val="0"/>
          <w:color w:val="auto"/>
          <w:sz w:val="24"/>
          <w:szCs w:val="22"/>
        </w:rPr>
        <w:t>“有下列情形之一的，纳税人应当依法办理纳税申报：（二）取得应税所得没有扣缴义务人。”</w:t>
      </w:r>
    </w:p>
    <w:p>
      <w:pPr>
        <w:ind w:firstLine="472"/>
        <w:rPr>
          <w:rFonts w:ascii="宋体" w:hAnsi="宋体" w:eastAsia="宋体" w:cs="Times New Roman"/>
          <w:bCs w:val="0"/>
          <w:color w:val="auto"/>
          <w:sz w:val="24"/>
          <w:szCs w:val="22"/>
        </w:rPr>
      </w:pPr>
      <w:r>
        <w:rPr>
          <w:rFonts w:ascii="宋体" w:hAnsi="宋体" w:eastAsia="宋体" w:cs="Times New Roman"/>
          <w:bCs w:val="0"/>
          <w:color w:val="auto"/>
          <w:sz w:val="24"/>
          <w:szCs w:val="22"/>
        </w:rPr>
        <w:t>3.《中华人民共和国个人所得税法实施条例》第二十四条</w:t>
      </w:r>
    </w:p>
    <w:p>
      <w:pPr>
        <w:ind w:firstLine="472"/>
        <w:rPr>
          <w:rFonts w:ascii="宋体" w:hAnsi="宋体" w:eastAsia="宋体" w:cs="Times New Roman"/>
          <w:bCs w:val="0"/>
          <w:color w:val="auto"/>
          <w:sz w:val="24"/>
          <w:szCs w:val="22"/>
        </w:rPr>
      </w:pPr>
      <w:r>
        <w:rPr>
          <w:rFonts w:hint="default" w:ascii="宋体" w:hAnsi="宋体" w:eastAsia="宋体" w:cs="Times New Roman"/>
          <w:bCs w:val="0"/>
          <w:color w:val="auto"/>
          <w:sz w:val="24"/>
          <w:szCs w:val="22"/>
        </w:rPr>
        <w:t>“扣缴义务人向个人支付应税款项时，应当依照个人所得税法规定预扣或者代扣税款，按时缴库，并专项记载备查。</w:t>
      </w:r>
    </w:p>
    <w:p>
      <w:pPr>
        <w:ind w:firstLine="472"/>
        <w:rPr>
          <w:rFonts w:ascii="宋体" w:hAnsi="宋体" w:eastAsia="宋体" w:cs="Times New Roman"/>
          <w:bCs w:val="0"/>
          <w:color w:val="auto"/>
          <w:sz w:val="24"/>
          <w:szCs w:val="22"/>
        </w:rPr>
      </w:pPr>
      <w:r>
        <w:rPr>
          <w:rFonts w:hint="default" w:ascii="宋体" w:hAnsi="宋体" w:eastAsia="宋体" w:cs="Times New Roman"/>
          <w:bCs w:val="0"/>
          <w:color w:val="auto"/>
          <w:sz w:val="24"/>
          <w:szCs w:val="22"/>
        </w:rPr>
        <w:t>前款所称支付，包括现金支付、汇拨支付、转账支付和以有价证券、实物以及其他形式的支付。”</w:t>
      </w:r>
    </w:p>
    <w:p>
      <w:pPr>
        <w:ind w:firstLine="472"/>
        <w:rPr>
          <w:rFonts w:ascii="宋体" w:hAnsi="宋体" w:eastAsia="宋体" w:cs="Times New Roman"/>
          <w:bCs w:val="0"/>
          <w:color w:val="auto"/>
          <w:sz w:val="24"/>
          <w:szCs w:val="22"/>
        </w:rPr>
      </w:pPr>
      <w:r>
        <w:rPr>
          <w:rFonts w:hint="default" w:ascii="宋体" w:hAnsi="宋体" w:eastAsia="宋体" w:cs="Times New Roman"/>
          <w:bCs w:val="0"/>
          <w:color w:val="auto"/>
          <w:sz w:val="24"/>
          <w:szCs w:val="22"/>
        </w:rPr>
        <w:t>4.</w:t>
      </w:r>
      <w:r>
        <w:rPr>
          <w:rFonts w:ascii="宋体" w:hAnsi="宋体" w:eastAsia="宋体" w:cs="Times New Roman"/>
          <w:bCs w:val="0"/>
          <w:color w:val="auto"/>
          <w:sz w:val="24"/>
          <w:szCs w:val="22"/>
        </w:rPr>
        <w:t>《中华人民共和国个人所得税法实施条例》</w:t>
      </w:r>
      <w:r>
        <w:rPr>
          <w:rFonts w:hint="default" w:ascii="宋体" w:hAnsi="宋体" w:eastAsia="宋体" w:cs="Times New Roman"/>
          <w:bCs w:val="0"/>
          <w:color w:val="auto"/>
          <w:sz w:val="24"/>
          <w:szCs w:val="22"/>
        </w:rPr>
        <w:t>第二十六条　</w:t>
      </w:r>
    </w:p>
    <w:p>
      <w:pPr>
        <w:ind w:firstLine="472"/>
        <w:rPr>
          <w:rFonts w:ascii="宋体" w:hAnsi="宋体" w:eastAsia="宋体" w:cs="Times New Roman"/>
          <w:bCs w:val="0"/>
          <w:color w:val="auto"/>
          <w:sz w:val="24"/>
          <w:szCs w:val="22"/>
        </w:rPr>
      </w:pPr>
      <w:r>
        <w:rPr>
          <w:rFonts w:hint="default" w:ascii="宋体" w:hAnsi="宋体" w:eastAsia="宋体" w:cs="Times New Roman"/>
          <w:bCs w:val="0"/>
          <w:color w:val="auto"/>
          <w:sz w:val="24"/>
          <w:szCs w:val="22"/>
        </w:rPr>
        <w:t>“个人所得税法第十条第二款所称全员全额扣缴申报，是指扣缴义务人在代扣税款的次月十五日内，向主管税务机关报送其支付所得的所有个人的有关信息、支付所得数额、扣除事项和数额、扣缴税款的具体数额和总额以及其他相关涉税信息资料。”</w:t>
      </w:r>
    </w:p>
    <w:p>
      <w:pPr>
        <w:ind w:firstLine="472"/>
        <w:rPr>
          <w:rFonts w:ascii="宋体" w:hAnsi="宋体" w:eastAsia="宋体" w:cs="Times New Roman"/>
          <w:bCs w:val="0"/>
          <w:color w:val="auto"/>
          <w:sz w:val="24"/>
          <w:szCs w:val="22"/>
        </w:rPr>
      </w:pPr>
      <w:r>
        <w:rPr>
          <w:rFonts w:hint="default" w:ascii="宋体" w:hAnsi="宋体" w:eastAsia="宋体" w:cs="Times New Roman"/>
          <w:bCs w:val="0"/>
          <w:color w:val="auto"/>
          <w:sz w:val="24"/>
          <w:szCs w:val="22"/>
        </w:rPr>
        <w:t>5</w:t>
      </w:r>
      <w:r>
        <w:rPr>
          <w:rFonts w:ascii="宋体" w:hAnsi="宋体" w:eastAsia="宋体" w:cs="Times New Roman"/>
          <w:bCs w:val="0"/>
          <w:color w:val="auto"/>
          <w:sz w:val="24"/>
          <w:szCs w:val="22"/>
        </w:rPr>
        <w:t>.《国家税务总局关于发布〈个人所得税扣缴申报管理办法（试行）〉的公告》（国家税务总局公告2018年第61号）</w:t>
      </w:r>
      <w:r>
        <w:rPr>
          <w:rFonts w:hint="default" w:ascii="宋体" w:hAnsi="宋体" w:eastAsia="宋体" w:cs="Times New Roman"/>
          <w:bCs w:val="0"/>
          <w:color w:val="auto"/>
          <w:sz w:val="24"/>
          <w:szCs w:val="22"/>
        </w:rPr>
        <w:t>全文</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宋体"/>
                <w:bCs/>
                <w:color w:val="auto"/>
                <w:kern w:val="0"/>
                <w:sz w:val="18"/>
                <w:szCs w:val="18"/>
              </w:rPr>
            </w:pPr>
            <w:r>
              <w:rPr>
                <w:rFonts w:hint="eastAsia" w:cs="宋体"/>
                <w:bCs/>
                <w:color w:val="auto"/>
                <w:kern w:val="0"/>
                <w:sz w:val="18"/>
                <w:szCs w:val="18"/>
              </w:rPr>
              <w:t>1</w:t>
            </w:r>
          </w:p>
        </w:tc>
        <w:tc>
          <w:tcPr>
            <w:tcW w:w="2551" w:type="dxa"/>
            <w:shd w:val="clear" w:color="auto" w:fill="auto"/>
            <w:vAlign w:val="center"/>
          </w:tcPr>
          <w:p>
            <w:pPr>
              <w:widowControl/>
              <w:spacing w:line="280" w:lineRule="exact"/>
              <w:ind w:firstLine="0" w:firstLineChars="0"/>
              <w:jc w:val="left"/>
              <w:rPr>
                <w:rFonts w:cs="宋体"/>
                <w:bCs/>
                <w:color w:val="auto"/>
                <w:kern w:val="0"/>
                <w:sz w:val="18"/>
                <w:szCs w:val="18"/>
              </w:rPr>
            </w:pPr>
            <w:r>
              <w:rPr>
                <w:rFonts w:hint="eastAsia" w:cs="宋体"/>
                <w:bCs/>
                <w:color w:val="auto"/>
                <w:kern w:val="0"/>
                <w:sz w:val="18"/>
                <w:szCs w:val="18"/>
              </w:rPr>
              <w:t>《个人所得税扣缴申报表》</w:t>
            </w:r>
          </w:p>
        </w:tc>
        <w:tc>
          <w:tcPr>
            <w:tcW w:w="709" w:type="dxa"/>
            <w:shd w:val="clear" w:color="auto" w:fill="auto"/>
            <w:vAlign w:val="center"/>
          </w:tcPr>
          <w:p>
            <w:pPr>
              <w:widowControl/>
              <w:spacing w:line="280" w:lineRule="exact"/>
              <w:ind w:firstLine="0" w:firstLineChars="0"/>
              <w:jc w:val="center"/>
              <w:rPr>
                <w:rFonts w:cs="宋体"/>
                <w:bCs/>
                <w:color w:val="auto"/>
                <w:kern w:val="0"/>
                <w:sz w:val="18"/>
                <w:szCs w:val="18"/>
              </w:rPr>
            </w:pPr>
            <w:r>
              <w:rPr>
                <w:rFonts w:hint="eastAsia" w:cs="宋体"/>
                <w:bCs/>
                <w:color w:val="auto"/>
                <w:kern w:val="0"/>
                <w:sz w:val="18"/>
                <w:szCs w:val="18"/>
              </w:rPr>
              <w:t>2</w:t>
            </w:r>
          </w:p>
        </w:tc>
        <w:tc>
          <w:tcPr>
            <w:tcW w:w="992" w:type="dxa"/>
            <w:shd w:val="clear" w:color="auto" w:fill="auto"/>
            <w:vAlign w:val="center"/>
          </w:tcPr>
          <w:p>
            <w:pPr>
              <w:widowControl/>
              <w:spacing w:line="280" w:lineRule="exact"/>
              <w:ind w:firstLine="0" w:firstLineChars="0"/>
              <w:jc w:val="center"/>
              <w:rPr>
                <w:rFonts w:cs="宋体"/>
                <w:bCs/>
                <w:color w:val="auto"/>
                <w:kern w:val="0"/>
                <w:sz w:val="18"/>
                <w:szCs w:val="18"/>
              </w:rPr>
            </w:pPr>
            <w:r>
              <w:rPr>
                <w:rFonts w:hint="eastAsia" w:cs="宋体"/>
                <w:bCs/>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宋体"/>
                <w:bCs/>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cs="宋体"/>
                <w:bCs/>
                <w:color w:val="auto"/>
                <w:kern w:val="0"/>
                <w:sz w:val="18"/>
                <w:szCs w:val="18"/>
              </w:rPr>
            </w:pPr>
            <w:r>
              <w:rPr>
                <w:rFonts w:hint="eastAsia" w:cs="宋体"/>
                <w:bCs/>
                <w:color w:val="auto"/>
                <w:kern w:val="0"/>
                <w:sz w:val="18"/>
                <w:szCs w:val="18"/>
              </w:rPr>
              <w:t>2</w:t>
            </w:r>
          </w:p>
        </w:tc>
        <w:tc>
          <w:tcPr>
            <w:tcW w:w="2551" w:type="dxa"/>
            <w:shd w:val="clear" w:color="auto" w:fill="auto"/>
            <w:vAlign w:val="center"/>
          </w:tcPr>
          <w:p>
            <w:pPr>
              <w:widowControl/>
              <w:spacing w:line="280" w:lineRule="exact"/>
              <w:ind w:firstLine="0" w:firstLineChars="0"/>
              <w:jc w:val="left"/>
              <w:rPr>
                <w:rFonts w:cs="宋体"/>
                <w:bCs/>
                <w:color w:val="auto"/>
                <w:kern w:val="0"/>
                <w:sz w:val="18"/>
                <w:szCs w:val="18"/>
              </w:rPr>
            </w:pPr>
            <w:r>
              <w:rPr>
                <w:rFonts w:hint="eastAsia" w:cs="宋体"/>
                <w:bCs/>
                <w:color w:val="auto"/>
                <w:kern w:val="0"/>
                <w:sz w:val="18"/>
                <w:szCs w:val="18"/>
              </w:rPr>
              <w:t>《个人所得税基础信息表（</w:t>
            </w:r>
            <w:r>
              <w:rPr>
                <w:rFonts w:cs="宋体"/>
                <w:bCs/>
                <w:color w:val="auto"/>
                <w:kern w:val="0"/>
                <w:sz w:val="18"/>
                <w:szCs w:val="18"/>
              </w:rPr>
              <w:t>A表）》</w:t>
            </w:r>
          </w:p>
        </w:tc>
        <w:tc>
          <w:tcPr>
            <w:tcW w:w="709" w:type="dxa"/>
            <w:shd w:val="clear" w:color="auto" w:fill="auto"/>
            <w:vAlign w:val="center"/>
          </w:tcPr>
          <w:p>
            <w:pPr>
              <w:widowControl/>
              <w:spacing w:line="280" w:lineRule="exact"/>
              <w:ind w:firstLine="0" w:firstLineChars="0"/>
              <w:jc w:val="center"/>
              <w:rPr>
                <w:rFonts w:cs="宋体"/>
                <w:bCs/>
                <w:color w:val="auto"/>
                <w:kern w:val="0"/>
                <w:sz w:val="18"/>
                <w:szCs w:val="18"/>
              </w:rPr>
            </w:pPr>
            <w:r>
              <w:rPr>
                <w:rFonts w:hint="eastAsia" w:cs="宋体"/>
                <w:bCs/>
                <w:color w:val="auto"/>
                <w:kern w:val="0"/>
                <w:sz w:val="18"/>
                <w:szCs w:val="18"/>
              </w:rPr>
              <w:t>2</w:t>
            </w:r>
          </w:p>
        </w:tc>
        <w:tc>
          <w:tcPr>
            <w:tcW w:w="992" w:type="dxa"/>
            <w:shd w:val="clear" w:color="auto" w:fill="auto"/>
            <w:vAlign w:val="center"/>
          </w:tcPr>
          <w:p>
            <w:pPr>
              <w:widowControl/>
              <w:spacing w:line="280" w:lineRule="exact"/>
              <w:ind w:firstLine="0" w:firstLineChars="0"/>
              <w:jc w:val="center"/>
              <w:rPr>
                <w:rFonts w:cs="宋体"/>
                <w:bCs/>
                <w:color w:val="auto"/>
                <w:kern w:val="0"/>
                <w:sz w:val="18"/>
                <w:szCs w:val="18"/>
              </w:rPr>
            </w:pPr>
            <w:r>
              <w:rPr>
                <w:rFonts w:hint="eastAsia" w:cs="宋体"/>
                <w:bCs/>
                <w:color w:val="auto"/>
                <w:kern w:val="0"/>
                <w:sz w:val="18"/>
                <w:szCs w:val="18"/>
              </w:rPr>
              <w:t>条件报送</w:t>
            </w:r>
          </w:p>
        </w:tc>
        <w:tc>
          <w:tcPr>
            <w:tcW w:w="1134" w:type="dxa"/>
            <w:shd w:val="clear" w:color="auto" w:fill="auto"/>
            <w:vAlign w:val="center"/>
          </w:tcPr>
          <w:p>
            <w:pPr>
              <w:widowControl/>
              <w:spacing w:line="280" w:lineRule="exact"/>
              <w:ind w:firstLine="0" w:firstLineChars="0"/>
              <w:jc w:val="left"/>
              <w:rPr>
                <w:rFonts w:cs="Arial"/>
                <w:color w:val="auto"/>
                <w:sz w:val="18"/>
                <w:szCs w:val="18"/>
              </w:rPr>
            </w:pPr>
            <w:r>
              <w:rPr>
                <w:rFonts w:hint="eastAsia" w:cs="Arial"/>
                <w:color w:val="auto"/>
                <w:sz w:val="18"/>
                <w:szCs w:val="18"/>
              </w:rPr>
              <w:t>扣缴义务人为纳税人首次办理扣缴申报时或被扣缴义务人信息变更后，扣缴个人所得税申报同时报送</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cs="宋体"/>
                <w:bCs/>
                <w:color w:val="auto"/>
                <w:kern w:val="0"/>
                <w:sz w:val="18"/>
                <w:szCs w:val="18"/>
              </w:rPr>
            </w:pPr>
            <w:r>
              <w:rPr>
                <w:rFonts w:hint="eastAsia" w:cs="宋体"/>
                <w:bCs/>
                <w:color w:val="auto"/>
                <w:kern w:val="0"/>
                <w:sz w:val="18"/>
                <w:szCs w:val="18"/>
              </w:rPr>
              <w:t>3</w:t>
            </w:r>
          </w:p>
        </w:tc>
        <w:tc>
          <w:tcPr>
            <w:tcW w:w="2551" w:type="dxa"/>
            <w:shd w:val="clear" w:color="auto" w:fill="auto"/>
            <w:vAlign w:val="center"/>
          </w:tcPr>
          <w:p>
            <w:pPr>
              <w:widowControl/>
              <w:spacing w:line="280" w:lineRule="exact"/>
              <w:ind w:firstLine="0" w:firstLineChars="0"/>
              <w:jc w:val="left"/>
              <w:rPr>
                <w:rFonts w:cs="宋体"/>
                <w:bCs/>
                <w:color w:val="auto"/>
                <w:kern w:val="0"/>
                <w:sz w:val="18"/>
                <w:szCs w:val="18"/>
              </w:rPr>
            </w:pPr>
            <w:r>
              <w:rPr>
                <w:rFonts w:hint="eastAsia" w:cs="Arial"/>
                <w:color w:val="auto"/>
                <w:sz w:val="18"/>
                <w:szCs w:val="18"/>
              </w:rPr>
              <w:t>《个人所得税减免税事项报告表》</w:t>
            </w:r>
          </w:p>
        </w:tc>
        <w:tc>
          <w:tcPr>
            <w:tcW w:w="709" w:type="dxa"/>
            <w:shd w:val="clear" w:color="auto" w:fill="auto"/>
            <w:vAlign w:val="center"/>
          </w:tcPr>
          <w:p>
            <w:pPr>
              <w:widowControl/>
              <w:spacing w:line="280" w:lineRule="exact"/>
              <w:ind w:firstLine="0" w:firstLineChars="0"/>
              <w:jc w:val="center"/>
              <w:rPr>
                <w:rFonts w:cs="宋体"/>
                <w:bCs/>
                <w:color w:val="auto"/>
                <w:kern w:val="0"/>
                <w:sz w:val="18"/>
                <w:szCs w:val="18"/>
              </w:rPr>
            </w:pPr>
            <w:r>
              <w:rPr>
                <w:rFonts w:hint="eastAsia" w:cs="宋体"/>
                <w:bCs/>
                <w:color w:val="auto"/>
                <w:kern w:val="0"/>
                <w:sz w:val="18"/>
                <w:szCs w:val="18"/>
              </w:rPr>
              <w:t>2</w:t>
            </w:r>
          </w:p>
        </w:tc>
        <w:tc>
          <w:tcPr>
            <w:tcW w:w="992" w:type="dxa"/>
            <w:shd w:val="clear" w:color="auto" w:fill="auto"/>
            <w:vAlign w:val="center"/>
          </w:tcPr>
          <w:p>
            <w:pPr>
              <w:widowControl/>
              <w:spacing w:line="280" w:lineRule="exact"/>
              <w:ind w:firstLine="0" w:firstLineChars="0"/>
              <w:jc w:val="center"/>
              <w:rPr>
                <w:rFonts w:cs="宋体"/>
                <w:bCs/>
                <w:color w:val="auto"/>
                <w:kern w:val="0"/>
                <w:sz w:val="18"/>
                <w:szCs w:val="18"/>
              </w:rPr>
            </w:pPr>
            <w:r>
              <w:rPr>
                <w:rFonts w:hint="eastAsia" w:cs="宋体"/>
                <w:bCs/>
                <w:color w:val="auto"/>
                <w:kern w:val="0"/>
                <w:sz w:val="18"/>
                <w:szCs w:val="18"/>
              </w:rPr>
              <w:t>条件报送</w:t>
            </w:r>
          </w:p>
        </w:tc>
        <w:tc>
          <w:tcPr>
            <w:tcW w:w="1134" w:type="dxa"/>
            <w:shd w:val="clear" w:color="auto" w:fill="auto"/>
            <w:vAlign w:val="center"/>
          </w:tcPr>
          <w:p>
            <w:pPr>
              <w:widowControl/>
              <w:spacing w:line="280" w:lineRule="exact"/>
              <w:ind w:firstLine="0" w:firstLineChars="0"/>
              <w:jc w:val="left"/>
              <w:rPr>
                <w:rFonts w:cs="Arial"/>
                <w:color w:val="auto"/>
                <w:sz w:val="18"/>
                <w:szCs w:val="18"/>
              </w:rPr>
            </w:pPr>
            <w:r>
              <w:rPr>
                <w:rFonts w:hint="eastAsia" w:cs="Arial"/>
                <w:color w:val="auto"/>
                <w:sz w:val="18"/>
                <w:szCs w:val="18"/>
              </w:rPr>
              <w:t>纳税人纳税申报时存在减免个人所得税情形的</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pStyle w:val="3"/>
        <w:ind w:firstLine="552"/>
        <w:rPr>
          <w:color w:val="auto"/>
        </w:rPr>
      </w:pPr>
      <w:r>
        <w:rPr>
          <w:rFonts w:hint="eastAsia"/>
          <w:color w:val="auto"/>
        </w:rPr>
        <w:t>六</w:t>
      </w:r>
      <w:r>
        <w:rPr>
          <w:color w:val="auto"/>
        </w:rPr>
        <w:t>、办理流程</w:t>
      </w:r>
    </w:p>
    <w:p>
      <w:pPr>
        <w:ind w:left="472" w:firstLine="0" w:firstLineChars="0"/>
        <w:rPr>
          <w:color w:val="auto"/>
        </w:rPr>
      </w:pPr>
      <w:r>
        <w:rPr>
          <w:color w:val="auto"/>
        </w:rPr>
        <w:pict>
          <v:shape id="_x0000_s1045" o:spid="_x0000_s1045" o:spt="75" type="#_x0000_t75" style="position:absolute;left:0pt;margin-left:8.6pt;margin-top:16.6pt;height:104.45pt;width:439.3pt;mso-wrap-distance-bottom:0pt;mso-wrap-distance-left:9pt;mso-wrap-distance-right:9pt;mso-wrap-distance-top:0pt;z-index:251719680;mso-width-relative:page;mso-height-relative:page;" o:ole="t" filled="f" o:preferrelative="t" stroked="f" coordsize="21600,21600">
            <v:path/>
            <v:fill on="f" focussize="0,0"/>
            <v:stroke on="f" joinstyle="miter"/>
            <v:imagedata r:id="rId11" o:title=""/>
            <o:lock v:ext="edit" aspectratio="f"/>
            <w10:wrap type="square"/>
          </v:shape>
          <o:OLEObject Type="Embed" ProgID="Visio.Drawing.11" ShapeID="_x0000_s1045" DrawAspect="Content" ObjectID="_1468075725" r:id="rId10">
            <o:LockedField>false</o:LockedField>
          </o:OLEObject>
        </w:pict>
      </w: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资料齐全、符合法定形式的，税务机关受理后即时办结。</w:t>
      </w:r>
    </w:p>
    <w:p>
      <w:pPr>
        <w:pStyle w:val="3"/>
        <w:ind w:firstLine="552"/>
        <w:rPr>
          <w:color w:val="auto"/>
        </w:rPr>
      </w:pPr>
      <w:r>
        <w:rPr>
          <w:rFonts w:hint="eastAsia"/>
          <w:color w:val="auto"/>
        </w:rPr>
        <w:t>八、表证单书</w:t>
      </w:r>
    </w:p>
    <w:p>
      <w:pPr>
        <w:ind w:firstLine="472"/>
        <w:rPr>
          <w:rFonts w:hint="eastAsia"/>
          <w:color w:val="auto"/>
        </w:rPr>
      </w:pPr>
      <w:r>
        <w:rPr>
          <w:rFonts w:hint="eastAsia"/>
          <w:color w:val="auto"/>
        </w:rPr>
        <w:t>1.</w:t>
      </w:r>
      <w:r>
        <w:rPr>
          <w:color w:val="auto"/>
        </w:rPr>
        <w:t>A06868《个人所得税扣缴申报表》</w:t>
      </w:r>
    </w:p>
    <w:p>
      <w:pPr>
        <w:ind w:firstLine="472"/>
        <w:rPr>
          <w:color w:val="auto"/>
        </w:rPr>
      </w:pPr>
      <w:r>
        <w:rPr>
          <w:rFonts w:hint="eastAsia"/>
          <w:color w:val="auto"/>
        </w:rPr>
        <w:t>2.</w:t>
      </w:r>
      <w:r>
        <w:rPr>
          <w:color w:val="auto"/>
        </w:rPr>
        <w:t>A06448《个人所得税基础信息表（A表）》</w:t>
      </w:r>
    </w:p>
    <w:p>
      <w:pPr>
        <w:ind w:firstLine="472"/>
        <w:rPr>
          <w:rFonts w:hint="eastAsia"/>
          <w:color w:val="auto"/>
        </w:rPr>
      </w:pPr>
      <w:r>
        <w:rPr>
          <w:rFonts w:hint="eastAsia"/>
          <w:color w:val="auto"/>
        </w:rPr>
        <w:t>3.</w:t>
      </w:r>
      <w:r>
        <w:rPr>
          <w:color w:val="auto"/>
        </w:rPr>
        <w:t>A06652《个人所得税减免税事项报告表》</w:t>
      </w:r>
    </w:p>
    <w:p>
      <w:pPr>
        <w:pStyle w:val="3"/>
        <w:ind w:firstLine="552"/>
        <w:rPr>
          <w:color w:val="auto"/>
        </w:rPr>
      </w:pPr>
      <w:r>
        <w:rPr>
          <w:rFonts w:hint="eastAsia"/>
          <w:color w:val="auto"/>
        </w:rPr>
        <w:t>九、注意事项</w:t>
      </w:r>
    </w:p>
    <w:p>
      <w:pPr>
        <w:ind w:firstLine="472"/>
        <w:rPr>
          <w:color w:val="auto"/>
        </w:rPr>
      </w:pPr>
      <w:r>
        <w:rPr>
          <w:color w:val="auto"/>
        </w:rPr>
        <w:t>1.扣缴义务人支付利息、股息、红利所得，财产租赁所得，财产转让所得或者偶然所得时，应当依法按次或者按月代扣代缴税款。</w:t>
      </w:r>
    </w:p>
    <w:p>
      <w:pPr>
        <w:ind w:firstLine="472"/>
        <w:rPr>
          <w:color w:val="auto"/>
        </w:rPr>
      </w:pPr>
      <w:r>
        <w:rPr>
          <w:color w:val="auto"/>
        </w:rPr>
        <w:t>2.财产租赁所得，以一个月内取得的收入为一次。</w:t>
      </w:r>
    </w:p>
    <w:p>
      <w:pPr>
        <w:ind w:firstLine="472"/>
        <w:rPr>
          <w:color w:val="auto"/>
        </w:rPr>
      </w:pPr>
      <w:r>
        <w:rPr>
          <w:rFonts w:hint="eastAsia"/>
          <w:color w:val="auto"/>
        </w:rPr>
        <w:t>利息、股息、红利所得，以支付利息、股息、红利时取得的收入为一次。</w:t>
      </w:r>
    </w:p>
    <w:p>
      <w:pPr>
        <w:ind w:firstLine="472"/>
        <w:rPr>
          <w:color w:val="auto"/>
        </w:rPr>
      </w:pPr>
      <w:r>
        <w:rPr>
          <w:rFonts w:hint="eastAsia"/>
          <w:color w:val="auto"/>
        </w:rPr>
        <w:t>偶然所得，以每次取得该项收入为一次。</w:t>
      </w:r>
    </w:p>
    <w:p>
      <w:pPr>
        <w:ind w:firstLine="472"/>
        <w:rPr>
          <w:color w:val="auto"/>
        </w:rPr>
      </w:pPr>
      <w:r>
        <w:rPr>
          <w:color w:val="auto"/>
        </w:rPr>
        <w:t>3.纳税人需要享受税收协定待遇的，应当在取得应税所得时主动向扣缴义务人提出，并提交相关信息、资料，扣缴义务人代扣代缴税款时按照享受税收协定待遇有关办法办理。</w:t>
      </w:r>
    </w:p>
    <w:p>
      <w:pPr>
        <w:ind w:firstLine="472"/>
        <w:rPr>
          <w:color w:val="auto"/>
        </w:rPr>
      </w:pPr>
      <w:r>
        <w:rPr>
          <w:color w:val="auto"/>
        </w:rPr>
        <w:t>4.扣缴义务人状态监控。系统检测扣缴义务人是否处于非正常户状态。</w:t>
      </w:r>
    </w:p>
    <w:p>
      <w:pPr>
        <w:ind w:firstLine="472"/>
        <w:rPr>
          <w:color w:val="auto"/>
        </w:rPr>
      </w:pPr>
      <w:r>
        <w:rPr>
          <w:color w:val="auto"/>
        </w:rPr>
        <w:t>5.扣缴登记监控。扣缴义务人是否进行扣缴登记，未进行扣缴登记的先进行扣缴登记。</w:t>
      </w:r>
    </w:p>
    <w:p>
      <w:pPr>
        <w:ind w:firstLine="472"/>
        <w:rPr>
          <w:color w:val="auto"/>
        </w:rPr>
      </w:pPr>
      <w:r>
        <w:rPr>
          <w:rFonts w:hint="eastAsia"/>
          <w:color w:val="auto"/>
        </w:rPr>
        <w:t>6.纳税人对报送资料的真实性和合法性承担责任。</w:t>
      </w:r>
    </w:p>
    <w:p>
      <w:pPr>
        <w:ind w:firstLine="472"/>
        <w:jc w:val="left"/>
        <w:rPr>
          <w:rFonts w:hint="eastAsia"/>
          <w:color w:val="auto"/>
        </w:rPr>
      </w:pPr>
      <w:r>
        <w:rPr>
          <w:rFonts w:hint="eastAsia"/>
          <w:color w:val="auto"/>
        </w:rPr>
        <w:t>7.最多跑一次是在资料完整且符合法定受理条件的前提下，最多只需要到税务机关跑一次。</w:t>
      </w:r>
    </w:p>
    <w:p>
      <w:pPr>
        <w:ind w:firstLine="472"/>
        <w:jc w:val="left"/>
        <w:rPr>
          <w:color w:val="auto"/>
        </w:rPr>
      </w:pPr>
      <w:r>
        <w:rPr>
          <w:rFonts w:hint="eastAsia"/>
          <w:color w:val="auto"/>
        </w:rPr>
        <w:t>8</w:t>
      </w:r>
      <w:r>
        <w:rPr>
          <w:color w:val="auto"/>
        </w:rPr>
        <w:t>.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rPr>
          <w:color w:val="auto"/>
        </w:rPr>
      </w:pPr>
      <w:r>
        <w:rPr>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6AE1BDB"/>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F4457D3"/>
    <w:rsid w:val="33111FBB"/>
    <w:rsid w:val="331C5A14"/>
    <w:rsid w:val="334451F7"/>
    <w:rsid w:val="344B05C9"/>
    <w:rsid w:val="36451E83"/>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3E04C33"/>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80A0C49"/>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6B7766F"/>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4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77</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2019-10-31T06:21:23Z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