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22245"/>
      <w:r>
        <w:rPr>
          <w:rFonts w:hint="eastAsia" w:ascii="黑体" w:hAnsi="黑体"/>
          <w:color w:val="auto"/>
        </w:rPr>
        <w:t>2.5.2.4购进自用货物免退税申报核准</w:t>
      </w:r>
      <w:bookmarkEnd w:id="0"/>
    </w:p>
    <w:p>
      <w:pPr>
        <w:pStyle w:val="3"/>
        <w:ind w:firstLine="552"/>
        <w:rPr>
          <w:color w:val="auto"/>
        </w:rPr>
      </w:pPr>
      <w:r>
        <w:rPr>
          <w:color w:val="auto"/>
        </w:rPr>
        <w:t>一、事项名称</w:t>
      </w:r>
    </w:p>
    <w:p>
      <w:pPr>
        <w:ind w:firstLine="472"/>
        <w:rPr>
          <w:color w:val="auto"/>
        </w:rPr>
      </w:pPr>
      <w:r>
        <w:rPr>
          <w:rFonts w:hint="eastAsia" w:ascii="宋体" w:hAnsi="宋体"/>
          <w:color w:val="auto"/>
        </w:rPr>
        <w:t>购进自用货物免退税申报核准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享受购进自用货物免退税政策的出口企业，应在规定申报期内向主管税务机关申请办理购进自用货物免退税的申报核准业务，税务机关按照国家规定进行核准。</w:t>
      </w:r>
    </w:p>
    <w:p>
      <w:pPr>
        <w:ind w:firstLine="472"/>
        <w:rPr>
          <w:color w:val="auto"/>
        </w:rPr>
      </w:pPr>
      <w:r>
        <w:rPr>
          <w:rFonts w:hint="eastAsia"/>
          <w:color w:val="auto"/>
        </w:rPr>
        <w:t>购进自用货物免退税申报核准包括输入特殊区域内生产企业耗用的水、电、气免退税核准和研发机构采购国产设备免退税核准。</w:t>
      </w:r>
    </w:p>
    <w:p>
      <w:pPr>
        <w:pStyle w:val="3"/>
        <w:ind w:firstLine="552"/>
        <w:rPr>
          <w:color w:val="auto"/>
        </w:rPr>
      </w:pPr>
      <w:r>
        <w:rPr>
          <w:rFonts w:hint="eastAsia"/>
          <w:color w:val="auto"/>
        </w:rPr>
        <w:t>四、设定依据</w:t>
      </w:r>
    </w:p>
    <w:p>
      <w:pPr>
        <w:ind w:firstLine="472"/>
        <w:rPr>
          <w:color w:val="auto"/>
        </w:rPr>
      </w:pPr>
      <w:r>
        <w:rPr>
          <w:rFonts w:hint="eastAsia"/>
          <w:color w:val="auto"/>
          <w:lang w:val="en-US" w:eastAsia="zh-CN"/>
        </w:rPr>
        <w:t>1.</w:t>
      </w:r>
      <w:r>
        <w:rPr>
          <w:rFonts w:hint="eastAsia"/>
          <w:color w:val="auto"/>
        </w:rPr>
        <w:t>国家税务总局关于发布&lt;出口货物劳务增值税和消费税管理办法&gt;的公告》（国家税务总局公告2012年第24号）第七条第（一）项</w:t>
      </w:r>
    </w:p>
    <w:p>
      <w:pPr>
        <w:ind w:firstLine="472"/>
        <w:rPr>
          <w:color w:val="auto"/>
        </w:rPr>
      </w:pPr>
      <w:r>
        <w:rPr>
          <w:rFonts w:hint="eastAsia"/>
          <w:color w:val="auto"/>
        </w:rPr>
        <w:t>“输入特殊区域的水电气，由购买水电气的特殊区域内的生产企业申报退税。企业应在购进货物增值税专用发票的开具之日次月起至次年4月30日前的各增值税纳税申报期内向主管税务机关申报退税。逾期的，企业不得申报退税。申报退税时，应填报《购进自用货物退税申报表》（见附件18），提供正式电子申报数据及下列资料：</w:t>
      </w:r>
      <w:r>
        <w:rPr>
          <w:rFonts w:hint="eastAsia"/>
          <w:color w:val="auto"/>
        </w:rPr>
        <w:br w:type="textWrapping"/>
      </w:r>
      <w:r>
        <w:rPr>
          <w:rFonts w:hint="eastAsia"/>
          <w:color w:val="auto"/>
        </w:rPr>
        <w:t>　　1．增值税专用发票（抵扣联）；</w:t>
      </w:r>
      <w:r>
        <w:rPr>
          <w:rFonts w:hint="eastAsia"/>
          <w:color w:val="auto"/>
        </w:rPr>
        <w:br w:type="textWrapping"/>
      </w:r>
      <w:r>
        <w:rPr>
          <w:rFonts w:hint="eastAsia"/>
          <w:color w:val="auto"/>
        </w:rPr>
        <w:t>　　2．支付水、电、气费用的银行结算凭证（加盖银行印章的复印件）”</w:t>
      </w:r>
    </w:p>
    <w:p>
      <w:pPr>
        <w:pStyle w:val="3"/>
        <w:ind w:firstLine="552"/>
        <w:rPr>
          <w:color w:val="auto"/>
        </w:rPr>
      </w:pPr>
      <w:r>
        <w:rPr>
          <w:rFonts w:hint="eastAsia"/>
          <w:color w:val="auto"/>
        </w:rPr>
        <w:t>五、办理材料</w:t>
      </w:r>
    </w:p>
    <w:tbl>
      <w:tblPr>
        <w:tblStyle w:val="15"/>
        <w:tblW w:w="8641"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01"/>
        <w:gridCol w:w="777"/>
        <w:gridCol w:w="851"/>
        <w:gridCol w:w="2083"/>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line="280" w:lineRule="exact"/>
              <w:jc w:val="center"/>
              <w:rPr>
                <w:rFonts w:ascii="宋体" w:hAnsi="宋体" w:eastAsia="宋体"/>
                <w:b/>
                <w:color w:val="auto"/>
                <w:sz w:val="18"/>
                <w:szCs w:val="18"/>
              </w:rPr>
            </w:pPr>
            <w:r>
              <w:rPr>
                <w:rStyle w:val="17"/>
                <w:rFonts w:hint="eastAsia" w:ascii="宋体" w:hAnsi="宋体" w:eastAsia="宋体" w:cs="微软雅黑"/>
                <w:color w:val="auto"/>
                <w:sz w:val="18"/>
                <w:szCs w:val="18"/>
              </w:rPr>
              <w:t>序号</w:t>
            </w:r>
          </w:p>
        </w:tc>
        <w:tc>
          <w:tcPr>
            <w:tcW w:w="2101" w:type="dxa"/>
            <w:shd w:val="clear" w:color="auto" w:fill="auto"/>
            <w:vAlign w:val="center"/>
          </w:tcPr>
          <w:p>
            <w:pPr>
              <w:pStyle w:val="13"/>
              <w:widowControl/>
              <w:spacing w:before="100" w:after="100" w:line="280" w:lineRule="exact"/>
              <w:jc w:val="center"/>
              <w:rPr>
                <w:rFonts w:ascii="宋体" w:hAnsi="宋体" w:eastAsia="宋体"/>
                <w:b/>
                <w:color w:val="auto"/>
                <w:sz w:val="18"/>
                <w:szCs w:val="18"/>
              </w:rPr>
            </w:pPr>
            <w:r>
              <w:rPr>
                <w:rStyle w:val="17"/>
                <w:rFonts w:hint="eastAsia" w:ascii="宋体" w:hAnsi="宋体" w:eastAsia="宋体" w:cs="微软雅黑"/>
                <w:color w:val="auto"/>
                <w:sz w:val="18"/>
                <w:szCs w:val="18"/>
              </w:rPr>
              <w:t>资料名称</w:t>
            </w:r>
          </w:p>
        </w:tc>
        <w:tc>
          <w:tcPr>
            <w:tcW w:w="777" w:type="dxa"/>
            <w:shd w:val="clear" w:color="auto" w:fill="auto"/>
            <w:vAlign w:val="center"/>
          </w:tcPr>
          <w:p>
            <w:pPr>
              <w:pStyle w:val="13"/>
              <w:widowControl/>
              <w:spacing w:before="100" w:after="100" w:line="280" w:lineRule="exact"/>
              <w:jc w:val="center"/>
              <w:rPr>
                <w:rFonts w:ascii="宋体" w:hAnsi="宋体" w:eastAsia="宋体"/>
                <w:b/>
                <w:color w:val="auto"/>
                <w:sz w:val="18"/>
                <w:szCs w:val="18"/>
              </w:rPr>
            </w:pPr>
            <w:r>
              <w:rPr>
                <w:rStyle w:val="17"/>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100" w:after="100" w:line="280" w:lineRule="exact"/>
              <w:jc w:val="center"/>
              <w:rPr>
                <w:rFonts w:ascii="宋体" w:hAnsi="宋体" w:eastAsia="宋体"/>
                <w:b/>
                <w:color w:val="auto"/>
                <w:sz w:val="18"/>
                <w:szCs w:val="18"/>
              </w:rPr>
            </w:pPr>
            <w:r>
              <w:rPr>
                <w:rStyle w:val="17"/>
                <w:rFonts w:hint="eastAsia" w:ascii="宋体" w:hAnsi="宋体" w:eastAsia="宋体" w:cs="微软雅黑"/>
                <w:color w:val="auto"/>
                <w:sz w:val="18"/>
                <w:szCs w:val="18"/>
              </w:rPr>
              <w:t>报送类型</w:t>
            </w:r>
          </w:p>
        </w:tc>
        <w:tc>
          <w:tcPr>
            <w:tcW w:w="2083" w:type="dxa"/>
            <w:shd w:val="clear" w:color="auto" w:fill="auto"/>
            <w:vAlign w:val="center"/>
          </w:tcPr>
          <w:p>
            <w:pPr>
              <w:pStyle w:val="13"/>
              <w:widowControl/>
              <w:spacing w:before="100" w:after="100" w:line="280" w:lineRule="exact"/>
              <w:jc w:val="center"/>
              <w:rPr>
                <w:rFonts w:ascii="宋体" w:hAnsi="宋体" w:eastAsia="宋体"/>
                <w:b/>
                <w:color w:val="auto"/>
                <w:sz w:val="18"/>
                <w:szCs w:val="18"/>
              </w:rPr>
            </w:pPr>
            <w:r>
              <w:rPr>
                <w:rStyle w:val="17"/>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jc w:val="center"/>
              <w:rPr>
                <w:rStyle w:val="17"/>
                <w:rFonts w:ascii="宋体" w:hAnsi="宋体" w:eastAsia="宋体" w:cs="微软雅黑"/>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line="280" w:lineRule="exact"/>
              <w:jc w:val="center"/>
              <w:rPr>
                <w:rFonts w:ascii="宋体" w:hAnsi="宋体" w:eastAsia="宋体" w:cs="微软雅黑"/>
                <w:b/>
                <w:color w:val="auto"/>
                <w:sz w:val="18"/>
                <w:szCs w:val="18"/>
              </w:rPr>
            </w:pPr>
            <w:r>
              <w:rPr>
                <w:rFonts w:ascii="宋体" w:hAnsi="宋体" w:eastAsia="宋体" w:cs="微软雅黑"/>
                <w:b/>
                <w:color w:val="auto"/>
                <w:sz w:val="18"/>
                <w:szCs w:val="18"/>
              </w:rPr>
              <w:t>1</w:t>
            </w:r>
          </w:p>
        </w:tc>
        <w:tc>
          <w:tcPr>
            <w:tcW w:w="2101" w:type="dxa"/>
            <w:tcBorders>
              <w:top w:val="outset" w:color="auto" w:sz="4" w:space="0"/>
              <w:left w:val="outset" w:color="auto" w:sz="4" w:space="0"/>
              <w:bottom w:val="outset" w:color="auto" w:sz="4" w:space="0"/>
              <w:right w:val="outset" w:color="auto" w:sz="4" w:space="0"/>
            </w:tcBorders>
            <w:shd w:val="clear" w:color="auto" w:fill="auto"/>
            <w:vAlign w:val="center"/>
          </w:tcPr>
          <w:p>
            <w:pPr>
              <w:widowControl/>
              <w:spacing w:line="280" w:lineRule="exact"/>
              <w:ind w:firstLine="0" w:firstLineChars="0"/>
              <w:rPr>
                <w:rFonts w:cs="微软雅黑"/>
                <w:b/>
                <w:color w:val="auto"/>
                <w:sz w:val="18"/>
                <w:szCs w:val="18"/>
              </w:rPr>
            </w:pPr>
            <w:r>
              <w:rPr>
                <w:rFonts w:hint="eastAsia" w:cs="宋体"/>
                <w:color w:val="auto"/>
                <w:kern w:val="0"/>
                <w:sz w:val="18"/>
                <w:szCs w:val="18"/>
              </w:rPr>
              <w:t>购进自用货物退税正式申报电子数据</w:t>
            </w:r>
          </w:p>
        </w:tc>
        <w:tc>
          <w:tcPr>
            <w:tcW w:w="777"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851"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line="280" w:lineRule="exact"/>
              <w:ind w:firstLine="176" w:firstLineChars="100"/>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2083"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p>
        </w:tc>
        <w:tc>
          <w:tcPr>
            <w:tcW w:w="1318" w:type="dxa"/>
            <w:tcBorders>
              <w:top w:val="outset" w:color="auto" w:sz="4" w:space="0"/>
              <w:left w:val="outset" w:color="auto" w:sz="4" w:space="0"/>
              <w:bottom w:val="outset" w:color="auto" w:sz="4" w:space="0"/>
              <w:right w:val="outset" w:color="auto" w:sz="4" w:space="0"/>
            </w:tcBorders>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olor w:val="auto"/>
                <w:sz w:val="18"/>
                <w:szCs w:val="18"/>
              </w:rPr>
              <w:t>税务机关留存</w:t>
            </w:r>
          </w:p>
        </w:tc>
        <w:tc>
          <w:tcPr>
            <w:tcW w:w="850" w:type="dxa"/>
            <w:tcBorders>
              <w:top w:val="outset" w:color="auto" w:sz="4" w:space="0"/>
              <w:left w:val="outset" w:color="auto" w:sz="4" w:space="0"/>
              <w:bottom w:val="outset" w:color="auto" w:sz="4" w:space="0"/>
              <w:right w:val="outset" w:color="auto" w:sz="4" w:space="0"/>
            </w:tcBorders>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ascii="宋体" w:hAnsi="宋体" w:eastAsia="宋体" w:cs="宋体"/>
                <w:color w:val="auto"/>
                <w:sz w:val="18"/>
                <w:szCs w:val="18"/>
              </w:rPr>
              <w:t>2</w:t>
            </w:r>
          </w:p>
        </w:tc>
        <w:tc>
          <w:tcPr>
            <w:tcW w:w="210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《购进自用货物退税申报表》</w:t>
            </w:r>
          </w:p>
        </w:tc>
        <w:tc>
          <w:tcPr>
            <w:tcW w:w="777"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3</w:t>
            </w:r>
          </w:p>
        </w:tc>
        <w:tc>
          <w:tcPr>
            <w:tcW w:w="851" w:type="dxa"/>
            <w:shd w:val="clear" w:color="auto" w:fill="auto"/>
            <w:vAlign w:val="center"/>
          </w:tcPr>
          <w:p>
            <w:pPr>
              <w:pStyle w:val="13"/>
              <w:widowControl/>
              <w:spacing w:before="100" w:after="100" w:line="280" w:lineRule="exact"/>
              <w:ind w:firstLine="176" w:firstLineChars="100"/>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2083"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p>
        </w:tc>
        <w:tc>
          <w:tcPr>
            <w:tcW w:w="1318"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olor w:val="auto"/>
                <w:sz w:val="18"/>
                <w:szCs w:val="18"/>
              </w:rPr>
              <w:t>税务机关留存2份</w:t>
            </w:r>
          </w:p>
        </w:tc>
        <w:tc>
          <w:tcPr>
            <w:tcW w:w="850" w:type="dxa"/>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ascii="宋体" w:hAnsi="宋体" w:eastAsia="宋体" w:cs="宋体"/>
                <w:color w:val="auto"/>
                <w:sz w:val="18"/>
                <w:szCs w:val="18"/>
              </w:rPr>
              <w:t>3</w:t>
            </w:r>
          </w:p>
        </w:tc>
        <w:tc>
          <w:tcPr>
            <w:tcW w:w="210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增值税专用发票（抵扣联）</w:t>
            </w:r>
          </w:p>
        </w:tc>
        <w:tc>
          <w:tcPr>
            <w:tcW w:w="777"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100" w:after="100" w:line="280" w:lineRule="exact"/>
              <w:ind w:firstLine="176" w:firstLineChars="100"/>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2083"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p>
        </w:tc>
        <w:tc>
          <w:tcPr>
            <w:tcW w:w="1318"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税务机关留存</w:t>
            </w:r>
          </w:p>
        </w:tc>
        <w:tc>
          <w:tcPr>
            <w:tcW w:w="850" w:type="dxa"/>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ascii="宋体" w:hAnsi="宋体" w:eastAsia="宋体" w:cs="宋体"/>
                <w:color w:val="auto"/>
                <w:sz w:val="18"/>
                <w:szCs w:val="18"/>
              </w:rPr>
              <w:t>4</w:t>
            </w:r>
          </w:p>
        </w:tc>
        <w:tc>
          <w:tcPr>
            <w:tcW w:w="210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采购国产设备合同</w:t>
            </w:r>
          </w:p>
        </w:tc>
        <w:tc>
          <w:tcPr>
            <w:tcW w:w="777"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100" w:after="100" w:line="280" w:lineRule="exact"/>
              <w:rPr>
                <w:rFonts w:ascii="宋体" w:hAnsi="宋体" w:eastAsia="宋体" w:cs="宋体"/>
                <w:strike/>
                <w:color w:val="auto"/>
                <w:sz w:val="18"/>
                <w:szCs w:val="18"/>
              </w:rPr>
            </w:pPr>
            <w:r>
              <w:rPr>
                <w:rFonts w:hint="eastAsia" w:ascii="宋体" w:hAnsi="宋体" w:eastAsia="宋体" w:cs="宋体"/>
                <w:color w:val="auto"/>
                <w:sz w:val="18"/>
                <w:szCs w:val="18"/>
              </w:rPr>
              <w:t>条件报送</w:t>
            </w:r>
          </w:p>
        </w:tc>
        <w:tc>
          <w:tcPr>
            <w:tcW w:w="2083" w:type="dxa"/>
            <w:shd w:val="clear" w:color="auto" w:fill="auto"/>
            <w:vAlign w:val="center"/>
          </w:tcPr>
          <w:p>
            <w:pPr>
              <w:pStyle w:val="13"/>
              <w:widowControl/>
              <w:spacing w:before="100" w:after="100" w:line="280" w:lineRule="exact"/>
              <w:rPr>
                <w:rFonts w:ascii="宋体" w:hAnsi="宋体" w:eastAsia="宋体" w:cs="宋体"/>
                <w:color w:val="auto"/>
                <w:sz w:val="18"/>
                <w:szCs w:val="18"/>
              </w:rPr>
            </w:pPr>
            <w:r>
              <w:rPr>
                <w:rFonts w:hint="eastAsia" w:ascii="宋体" w:hAnsi="宋体" w:eastAsia="宋体" w:cs="宋体"/>
                <w:color w:val="auto"/>
                <w:sz w:val="18"/>
                <w:szCs w:val="18"/>
              </w:rPr>
              <w:t>研发机构采购国产设备</w:t>
            </w:r>
          </w:p>
        </w:tc>
        <w:tc>
          <w:tcPr>
            <w:tcW w:w="1318"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查验后返还</w:t>
            </w:r>
          </w:p>
        </w:tc>
        <w:tc>
          <w:tcPr>
            <w:tcW w:w="850" w:type="dxa"/>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ascii="宋体" w:hAnsi="宋体" w:eastAsia="宋体" w:cs="宋体"/>
                <w:color w:val="auto"/>
                <w:sz w:val="18"/>
                <w:szCs w:val="18"/>
              </w:rPr>
              <w:t>5</w:t>
            </w:r>
          </w:p>
        </w:tc>
        <w:tc>
          <w:tcPr>
            <w:tcW w:w="2101" w:type="dxa"/>
            <w:shd w:val="clear" w:color="auto" w:fill="auto"/>
            <w:vAlign w:val="center"/>
          </w:tcPr>
          <w:p>
            <w:pPr>
              <w:widowControl/>
              <w:spacing w:line="280" w:lineRule="exact"/>
              <w:ind w:firstLine="0" w:firstLineChars="0"/>
              <w:rPr>
                <w:rFonts w:cs="宋体"/>
                <w:strike/>
                <w:color w:val="auto"/>
                <w:kern w:val="0"/>
                <w:sz w:val="18"/>
                <w:szCs w:val="18"/>
              </w:rPr>
            </w:pPr>
            <w:r>
              <w:rPr>
                <w:rFonts w:hint="eastAsia" w:cs="宋体"/>
                <w:color w:val="auto"/>
                <w:kern w:val="0"/>
                <w:sz w:val="18"/>
                <w:szCs w:val="18"/>
              </w:rPr>
              <w:t>支付水、电、气费用的银行结算凭证（加盖银行印章复印件）</w:t>
            </w:r>
          </w:p>
        </w:tc>
        <w:tc>
          <w:tcPr>
            <w:tcW w:w="777" w:type="dxa"/>
            <w:shd w:val="clear" w:color="auto" w:fill="auto"/>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100" w:after="100" w:line="280" w:lineRule="exact"/>
              <w:rPr>
                <w:rFonts w:ascii="宋体" w:hAnsi="宋体" w:eastAsia="宋体" w:cs="宋体"/>
                <w:color w:val="auto"/>
                <w:sz w:val="18"/>
                <w:szCs w:val="18"/>
              </w:rPr>
            </w:pPr>
            <w:r>
              <w:rPr>
                <w:rFonts w:hint="eastAsia" w:ascii="宋体" w:hAnsi="宋体" w:eastAsia="宋体" w:cs="宋体"/>
                <w:color w:val="auto"/>
                <w:sz w:val="18"/>
                <w:szCs w:val="18"/>
              </w:rPr>
              <w:t>条件报送</w:t>
            </w:r>
          </w:p>
        </w:tc>
        <w:tc>
          <w:tcPr>
            <w:tcW w:w="2083" w:type="dxa"/>
            <w:shd w:val="clear" w:color="auto" w:fill="auto"/>
            <w:vAlign w:val="center"/>
          </w:tcPr>
          <w:p>
            <w:pPr>
              <w:pStyle w:val="13"/>
              <w:widowControl/>
              <w:spacing w:before="100" w:after="100" w:line="280" w:lineRule="exact"/>
              <w:rPr>
                <w:rFonts w:ascii="宋体" w:hAnsi="宋体" w:eastAsia="宋体" w:cs="宋体"/>
                <w:color w:val="auto"/>
                <w:sz w:val="18"/>
                <w:szCs w:val="18"/>
              </w:rPr>
            </w:pPr>
            <w:r>
              <w:rPr>
                <w:rFonts w:hint="eastAsia" w:ascii="宋体" w:hAnsi="宋体" w:eastAsia="宋体" w:cs="宋体"/>
                <w:color w:val="auto"/>
                <w:sz w:val="18"/>
                <w:szCs w:val="18"/>
              </w:rPr>
              <w:t>输入特殊区域内生产企业耗用的水、电、气</w:t>
            </w:r>
          </w:p>
        </w:tc>
        <w:tc>
          <w:tcPr>
            <w:tcW w:w="1318"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税务机关留存</w:t>
            </w:r>
          </w:p>
        </w:tc>
        <w:tc>
          <w:tcPr>
            <w:tcW w:w="850" w:type="dxa"/>
            <w:vAlign w:val="center"/>
          </w:tcPr>
          <w:p>
            <w:pPr>
              <w:pStyle w:val="13"/>
              <w:widowControl/>
              <w:spacing w:before="100" w:after="100" w:line="280" w:lineRule="exact"/>
              <w:ind w:firstLine="352" w:firstLineChars="200"/>
              <w:rPr>
                <w:rFonts w:ascii="宋体" w:hAnsi="宋体" w:eastAsia="宋体" w:cs="宋体"/>
                <w:color w:val="auto"/>
                <w:sz w:val="18"/>
                <w:szCs w:val="18"/>
              </w:rPr>
            </w:pPr>
            <w:r>
              <w:rPr>
                <w:rFonts w:hint="eastAsia" w:ascii="宋体" w:hAnsi="宋体" w:eastAsia="宋体" w:cs="宋体"/>
                <w:color w:val="auto"/>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p>
    <w:p>
      <w:pPr>
        <w:spacing w:line="240" w:lineRule="auto"/>
        <w:ind w:left="471" w:firstLine="0" w:firstLineChars="0"/>
        <w:rPr>
          <w:color w:val="auto"/>
        </w:rPr>
      </w:pPr>
      <w:r>
        <w:rPr>
          <w:color w:val="auto"/>
        </w:rPr>
        <w:object>
          <v:shape id="_x0000_i1173" o:spt="75" type="#_x0000_t75" style="height:180pt;width:415.35pt;" o:ole="t" filled="f" o:preferrelative="t" stroked="f" coordsize="21600,21600">
            <v:path/>
            <v:fill on="f" focussize="0,0"/>
            <v:stroke on="f" joinstyle="miter"/>
            <v:imagedata r:id="rId11" o:title=""/>
            <o:lock v:ext="edit" aspectratio="t"/>
            <w10:wrap type="none"/>
            <w10:anchorlock/>
          </v:shape>
          <o:OLEObject Type="Embed" ProgID="Visio.Drawing.11" ShapeID="_x0000_i1173" DrawAspect="Content" ObjectID="_1468075725" r:id="rId10">
            <o:LockedField>false</o:LockedField>
          </o:OLEObject>
        </w:object>
      </w:r>
    </w:p>
    <w:p>
      <w:pPr>
        <w:pStyle w:val="3"/>
        <w:ind w:firstLine="552"/>
        <w:rPr>
          <w:rFonts w:hint="eastAsia"/>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资料齐全、符合法定形式的，税务机关受理后：5个工作日、10个工作日、15个工作日、20个工作日(根据出口企业类别不同）办结。</w:t>
      </w:r>
    </w:p>
    <w:p>
      <w:pPr>
        <w:pStyle w:val="3"/>
        <w:ind w:firstLine="552"/>
        <w:rPr>
          <w:color w:val="auto"/>
        </w:rPr>
      </w:pPr>
      <w:r>
        <w:rPr>
          <w:rFonts w:hint="eastAsia"/>
          <w:color w:val="auto"/>
        </w:rPr>
        <w:t>八、表证单书</w:t>
      </w:r>
    </w:p>
    <w:p>
      <w:pPr>
        <w:ind w:firstLine="472"/>
        <w:rPr>
          <w:color w:val="auto"/>
        </w:rPr>
      </w:pPr>
      <w:r>
        <w:rPr>
          <w:rFonts w:hint="eastAsia"/>
          <w:color w:val="auto"/>
        </w:rPr>
        <w:t>1.A06315《购进自用货物退税申报表》</w:t>
      </w:r>
    </w:p>
    <w:p>
      <w:pPr>
        <w:pStyle w:val="3"/>
        <w:ind w:firstLine="552"/>
        <w:rPr>
          <w:color w:val="auto"/>
        </w:rPr>
      </w:pPr>
      <w:r>
        <w:rPr>
          <w:rFonts w:hint="eastAsia"/>
          <w:color w:val="auto"/>
        </w:rPr>
        <w:t>九、注意事项</w:t>
      </w:r>
    </w:p>
    <w:p>
      <w:pPr>
        <w:topLinePunct/>
        <w:ind w:firstLine="472"/>
        <w:rPr>
          <w:color w:val="auto"/>
          <w:kern w:val="20"/>
          <w:szCs w:val="24"/>
        </w:rPr>
      </w:pPr>
      <w:r>
        <w:rPr>
          <w:rFonts w:hint="eastAsia"/>
          <w:color w:val="auto"/>
          <w:kern w:val="20"/>
          <w:szCs w:val="24"/>
          <w:lang w:val="en-US" w:eastAsia="zh-CN"/>
        </w:rPr>
        <w:t>1.</w:t>
      </w:r>
      <w:r>
        <w:rPr>
          <w:rFonts w:hint="eastAsia"/>
          <w:color w:val="auto"/>
          <w:kern w:val="20"/>
          <w:szCs w:val="24"/>
        </w:rPr>
        <w:t>本事项限时办结。</w:t>
      </w:r>
    </w:p>
    <w:tbl>
      <w:tblPr>
        <w:tblStyle w:val="15"/>
        <w:tblW w:w="86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599"/>
        <w:gridCol w:w="1621"/>
        <w:gridCol w:w="1862"/>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984" w:type="dxa"/>
            <w:tcBorders>
              <w:top w:val="single" w:color="auto" w:sz="12" w:space="0"/>
              <w:left w:val="single" w:color="auto" w:sz="12" w:space="0"/>
              <w:bottom w:val="single" w:color="auto" w:sz="8" w:space="0"/>
              <w:right w:val="single" w:color="auto" w:sz="8" w:space="0"/>
              <w:tl2br w:val="single" w:color="auto" w:sz="8" w:space="0"/>
            </w:tcBorders>
          </w:tcPr>
          <w:p>
            <w:pPr>
              <w:ind w:firstLine="353"/>
              <w:jc w:val="right"/>
              <w:rPr>
                <w:b/>
                <w:color w:val="auto"/>
                <w:kern w:val="0"/>
                <w:sz w:val="18"/>
                <w:szCs w:val="24"/>
              </w:rPr>
            </w:pPr>
            <w:r>
              <w:rPr>
                <w:rFonts w:hint="eastAsia"/>
                <w:b/>
                <w:color w:val="auto"/>
                <w:kern w:val="0"/>
                <w:sz w:val="18"/>
                <w:szCs w:val="24"/>
              </w:rPr>
              <w:t>信用状况</w:t>
            </w:r>
          </w:p>
          <w:p>
            <w:pPr>
              <w:ind w:firstLine="353"/>
              <w:rPr>
                <w:b/>
                <w:color w:val="auto"/>
                <w:kern w:val="0"/>
                <w:sz w:val="18"/>
                <w:szCs w:val="24"/>
              </w:rPr>
            </w:pPr>
            <w:r>
              <w:rPr>
                <w:rFonts w:hint="eastAsia"/>
                <w:b/>
                <w:color w:val="auto"/>
                <w:kern w:val="0"/>
                <w:sz w:val="18"/>
                <w:szCs w:val="24"/>
              </w:rPr>
              <w:t>差异化</w:t>
            </w:r>
            <w:r>
              <w:rPr>
                <w:b/>
                <w:color w:val="auto"/>
                <w:kern w:val="0"/>
                <w:sz w:val="18"/>
                <w:szCs w:val="24"/>
              </w:rPr>
              <w:t>规则</w:t>
            </w:r>
          </w:p>
        </w:tc>
        <w:tc>
          <w:tcPr>
            <w:tcW w:w="1599" w:type="dxa"/>
            <w:tcBorders>
              <w:top w:val="single" w:color="auto" w:sz="12" w:space="0"/>
              <w:left w:val="single" w:color="auto" w:sz="8" w:space="0"/>
              <w:bottom w:val="single" w:color="auto" w:sz="8" w:space="0"/>
              <w:right w:val="single" w:color="auto" w:sz="8" w:space="0"/>
            </w:tcBorders>
            <w:vAlign w:val="center"/>
          </w:tcPr>
          <w:p>
            <w:pPr>
              <w:ind w:firstLine="353"/>
              <w:jc w:val="center"/>
              <w:rPr>
                <w:b/>
                <w:color w:val="auto"/>
                <w:kern w:val="0"/>
                <w:sz w:val="18"/>
                <w:szCs w:val="24"/>
              </w:rPr>
            </w:pPr>
            <w:r>
              <w:rPr>
                <w:rFonts w:hint="eastAsia"/>
                <w:b/>
                <w:color w:val="auto"/>
                <w:kern w:val="0"/>
                <w:sz w:val="18"/>
                <w:szCs w:val="24"/>
              </w:rPr>
              <w:t>一类</w:t>
            </w:r>
          </w:p>
        </w:tc>
        <w:tc>
          <w:tcPr>
            <w:tcW w:w="1621" w:type="dxa"/>
            <w:tcBorders>
              <w:top w:val="single" w:color="auto" w:sz="12" w:space="0"/>
              <w:left w:val="single" w:color="auto" w:sz="8" w:space="0"/>
              <w:bottom w:val="single" w:color="auto" w:sz="8" w:space="0"/>
              <w:right w:val="single" w:color="auto" w:sz="8" w:space="0"/>
            </w:tcBorders>
            <w:vAlign w:val="center"/>
          </w:tcPr>
          <w:p>
            <w:pPr>
              <w:ind w:firstLine="353"/>
              <w:jc w:val="center"/>
              <w:rPr>
                <w:b/>
                <w:color w:val="auto"/>
                <w:kern w:val="0"/>
                <w:sz w:val="18"/>
                <w:szCs w:val="24"/>
              </w:rPr>
            </w:pPr>
            <w:r>
              <w:rPr>
                <w:rFonts w:hint="eastAsia"/>
                <w:b/>
                <w:color w:val="auto"/>
                <w:kern w:val="0"/>
                <w:sz w:val="18"/>
                <w:szCs w:val="24"/>
              </w:rPr>
              <w:t>二类</w:t>
            </w:r>
          </w:p>
        </w:tc>
        <w:tc>
          <w:tcPr>
            <w:tcW w:w="1862" w:type="dxa"/>
            <w:tcBorders>
              <w:top w:val="single" w:color="auto" w:sz="12" w:space="0"/>
              <w:left w:val="single" w:color="auto" w:sz="8" w:space="0"/>
              <w:bottom w:val="single" w:color="auto" w:sz="8" w:space="0"/>
              <w:right w:val="single" w:color="auto" w:sz="8" w:space="0"/>
            </w:tcBorders>
            <w:vAlign w:val="center"/>
          </w:tcPr>
          <w:p>
            <w:pPr>
              <w:ind w:firstLine="353"/>
              <w:jc w:val="center"/>
              <w:rPr>
                <w:b/>
                <w:color w:val="auto"/>
                <w:kern w:val="0"/>
                <w:sz w:val="18"/>
                <w:szCs w:val="24"/>
              </w:rPr>
            </w:pPr>
            <w:r>
              <w:rPr>
                <w:rFonts w:hint="eastAsia"/>
                <w:b/>
                <w:color w:val="auto"/>
                <w:kern w:val="0"/>
                <w:sz w:val="18"/>
                <w:szCs w:val="24"/>
              </w:rPr>
              <w:t>三类</w:t>
            </w:r>
          </w:p>
        </w:tc>
        <w:tc>
          <w:tcPr>
            <w:tcW w:w="1595" w:type="dxa"/>
            <w:tcBorders>
              <w:top w:val="single" w:color="auto" w:sz="12" w:space="0"/>
              <w:left w:val="single" w:color="auto" w:sz="8" w:space="0"/>
              <w:bottom w:val="single" w:color="auto" w:sz="8" w:space="0"/>
              <w:right w:val="single" w:color="auto" w:sz="12" w:space="0"/>
            </w:tcBorders>
            <w:vAlign w:val="center"/>
          </w:tcPr>
          <w:p>
            <w:pPr>
              <w:ind w:firstLine="353"/>
              <w:jc w:val="center"/>
              <w:rPr>
                <w:b/>
                <w:color w:val="auto"/>
                <w:kern w:val="0"/>
                <w:sz w:val="18"/>
                <w:szCs w:val="24"/>
              </w:rPr>
            </w:pPr>
            <w:r>
              <w:rPr>
                <w:rFonts w:hint="eastAsia"/>
                <w:b/>
                <w:color w:val="auto"/>
                <w:kern w:val="0"/>
                <w:sz w:val="18"/>
                <w:szCs w:val="24"/>
              </w:rPr>
              <w:t>四类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84" w:type="dxa"/>
            <w:tcBorders>
              <w:top w:val="single" w:color="auto" w:sz="8" w:space="0"/>
              <w:left w:val="single" w:color="auto" w:sz="12" w:space="0"/>
              <w:bottom w:val="single" w:color="auto" w:sz="12" w:space="0"/>
              <w:right w:val="single" w:color="auto" w:sz="8" w:space="0"/>
            </w:tcBorders>
            <w:vAlign w:val="center"/>
          </w:tcPr>
          <w:p>
            <w:pPr>
              <w:ind w:firstLine="353"/>
              <w:jc w:val="center"/>
              <w:rPr>
                <w:b/>
                <w:color w:val="auto"/>
                <w:kern w:val="0"/>
                <w:sz w:val="18"/>
                <w:szCs w:val="24"/>
              </w:rPr>
            </w:pPr>
            <w:r>
              <w:rPr>
                <w:rFonts w:hint="eastAsia"/>
                <w:b/>
                <w:color w:val="auto"/>
                <w:kern w:val="0"/>
                <w:sz w:val="18"/>
                <w:szCs w:val="24"/>
              </w:rPr>
              <w:t>办理期限</w:t>
            </w:r>
          </w:p>
        </w:tc>
        <w:tc>
          <w:tcPr>
            <w:tcW w:w="1599" w:type="dxa"/>
            <w:tcBorders>
              <w:top w:val="single" w:color="auto" w:sz="8" w:space="0"/>
              <w:left w:val="single" w:color="auto" w:sz="8" w:space="0"/>
              <w:bottom w:val="single" w:color="auto" w:sz="12" w:space="0"/>
              <w:right w:val="single" w:color="auto" w:sz="8" w:space="0"/>
            </w:tcBorders>
            <w:vAlign w:val="center"/>
          </w:tcPr>
          <w:p>
            <w:pPr>
              <w:ind w:firstLine="352"/>
              <w:jc w:val="center"/>
              <w:rPr>
                <w:color w:val="auto"/>
                <w:kern w:val="0"/>
                <w:sz w:val="18"/>
                <w:szCs w:val="24"/>
              </w:rPr>
            </w:pPr>
            <w:r>
              <w:rPr>
                <w:rFonts w:hint="eastAsia"/>
                <w:color w:val="auto"/>
                <w:kern w:val="20"/>
                <w:sz w:val="18"/>
                <w:szCs w:val="24"/>
              </w:rPr>
              <w:t>5个工作日</w:t>
            </w:r>
          </w:p>
        </w:tc>
        <w:tc>
          <w:tcPr>
            <w:tcW w:w="1621" w:type="dxa"/>
            <w:tcBorders>
              <w:top w:val="single" w:color="auto" w:sz="8" w:space="0"/>
              <w:left w:val="single" w:color="auto" w:sz="8" w:space="0"/>
              <w:bottom w:val="single" w:color="auto" w:sz="12" w:space="0"/>
              <w:right w:val="single" w:color="auto" w:sz="8" w:space="0"/>
            </w:tcBorders>
            <w:vAlign w:val="center"/>
          </w:tcPr>
          <w:p>
            <w:pPr>
              <w:ind w:firstLine="352"/>
              <w:jc w:val="center"/>
              <w:rPr>
                <w:color w:val="auto"/>
                <w:kern w:val="0"/>
                <w:sz w:val="18"/>
                <w:szCs w:val="24"/>
              </w:rPr>
            </w:pPr>
            <w:r>
              <w:rPr>
                <w:rFonts w:hint="eastAsia"/>
                <w:color w:val="auto"/>
                <w:kern w:val="20"/>
                <w:sz w:val="18"/>
                <w:szCs w:val="24"/>
              </w:rPr>
              <w:t>10个工作日</w:t>
            </w:r>
          </w:p>
        </w:tc>
        <w:tc>
          <w:tcPr>
            <w:tcW w:w="1862" w:type="dxa"/>
            <w:tcBorders>
              <w:top w:val="single" w:color="auto" w:sz="8" w:space="0"/>
              <w:left w:val="single" w:color="auto" w:sz="8" w:space="0"/>
              <w:bottom w:val="single" w:color="auto" w:sz="12" w:space="0"/>
              <w:right w:val="single" w:color="auto" w:sz="8" w:space="0"/>
            </w:tcBorders>
            <w:vAlign w:val="center"/>
          </w:tcPr>
          <w:p>
            <w:pPr>
              <w:ind w:firstLine="352"/>
              <w:jc w:val="center"/>
              <w:rPr>
                <w:color w:val="auto"/>
                <w:kern w:val="0"/>
                <w:sz w:val="18"/>
                <w:szCs w:val="24"/>
              </w:rPr>
            </w:pPr>
            <w:r>
              <w:rPr>
                <w:rFonts w:hint="eastAsia"/>
                <w:color w:val="auto"/>
                <w:kern w:val="20"/>
                <w:sz w:val="18"/>
                <w:szCs w:val="24"/>
              </w:rPr>
              <w:t>15个工作日</w:t>
            </w:r>
          </w:p>
        </w:tc>
        <w:tc>
          <w:tcPr>
            <w:tcW w:w="1595" w:type="dxa"/>
            <w:tcBorders>
              <w:top w:val="single" w:color="auto" w:sz="8" w:space="0"/>
              <w:left w:val="single" w:color="auto" w:sz="8" w:space="0"/>
              <w:bottom w:val="single" w:color="auto" w:sz="12" w:space="0"/>
              <w:right w:val="single" w:color="auto" w:sz="12" w:space="0"/>
            </w:tcBorders>
          </w:tcPr>
          <w:p>
            <w:pPr>
              <w:ind w:firstLine="352"/>
              <w:jc w:val="center"/>
              <w:rPr>
                <w:color w:val="auto"/>
                <w:kern w:val="0"/>
                <w:sz w:val="18"/>
                <w:szCs w:val="24"/>
              </w:rPr>
            </w:pPr>
            <w:r>
              <w:rPr>
                <w:rFonts w:hint="eastAsia"/>
                <w:color w:val="auto"/>
                <w:kern w:val="0"/>
                <w:sz w:val="18"/>
                <w:szCs w:val="24"/>
              </w:rPr>
              <w:t>20个工作日</w:t>
            </w:r>
          </w:p>
        </w:tc>
      </w:tr>
    </w:tbl>
    <w:p>
      <w:pPr>
        <w:ind w:firstLine="472"/>
        <w:rPr>
          <w:color w:val="auto"/>
          <w:szCs w:val="24"/>
        </w:rPr>
      </w:pPr>
      <w:r>
        <w:rPr>
          <w:rFonts w:hint="eastAsia"/>
          <w:color w:val="auto"/>
          <w:szCs w:val="24"/>
        </w:rPr>
        <w:t>发生发函核实等国家税务总局文件中规定的特殊情形，可不受此办结时限限制。</w:t>
      </w:r>
    </w:p>
    <w:p>
      <w:pPr>
        <w:ind w:left="0" w:leftChars="0" w:firstLine="472" w:firstLineChars="200"/>
        <w:rPr>
          <w:color w:val="auto"/>
        </w:rPr>
      </w:pPr>
      <w:r>
        <w:rPr>
          <w:rFonts w:hint="eastAsia"/>
          <w:color w:val="auto"/>
          <w:lang w:val="en-US" w:eastAsia="zh-CN"/>
        </w:rPr>
        <w:t>2.</w:t>
      </w:r>
      <w:r>
        <w:rPr>
          <w:rFonts w:hint="eastAsia"/>
          <w:color w:val="auto"/>
        </w:rPr>
        <w:t>纳税人使用符合电子签名法规定条件的电子签名，与手写签名或者盖章具有同等法律效力。</w:t>
      </w:r>
    </w:p>
    <w:p>
      <w:pPr>
        <w:ind w:firstLine="472"/>
        <w:rPr>
          <w:color w:val="auto"/>
        </w:rPr>
      </w:pPr>
      <w:r>
        <w:rPr>
          <w:rFonts w:hint="eastAsia"/>
          <w:color w:val="auto"/>
          <w:lang w:val="en-US" w:eastAsia="zh-CN"/>
        </w:rPr>
        <w:t>3</w:t>
      </w:r>
      <w:r>
        <w:rPr>
          <w:rFonts w:hint="eastAsia"/>
          <w:color w:val="auto"/>
        </w:rPr>
        <w:t>.纳税人提供的各项资料为复印件的，均须注明“与原件一致”并签章。</w:t>
      </w:r>
    </w:p>
    <w:p>
      <w:pPr>
        <w:ind w:firstLine="472"/>
        <w:rPr>
          <w:rFonts w:hint="eastAsia"/>
          <w:color w:val="auto"/>
        </w:rPr>
      </w:pPr>
      <w:r>
        <w:rPr>
          <w:rFonts w:hint="eastAsia"/>
          <w:color w:val="auto"/>
          <w:lang w:val="en-US" w:eastAsia="zh-CN"/>
        </w:rPr>
        <w:t>4</w:t>
      </w:r>
      <w:r>
        <w:rPr>
          <w:rFonts w:hint="eastAsia"/>
          <w:color w:val="auto"/>
        </w:rPr>
        <w:t>.无纸化企业只应报送通过税控数字证书签名后的申报电子数据，相关纸质申报资料留存备查。</w:t>
      </w:r>
    </w:p>
    <w:p>
      <w:pPr>
        <w:ind w:firstLine="472"/>
        <w:rPr>
          <w:rFonts w:hint="eastAsia"/>
          <w:color w:val="auto"/>
        </w:rPr>
      </w:pPr>
      <w:r>
        <w:rPr>
          <w:rFonts w:hint="eastAsia"/>
          <w:color w:val="auto"/>
          <w:lang w:val="en-US" w:eastAsia="zh-CN"/>
        </w:rPr>
        <w:t>5</w:t>
      </w:r>
      <w:r>
        <w:rPr>
          <w:rFonts w:hint="eastAsia"/>
          <w:color w:val="auto"/>
        </w:rPr>
        <w:t>.纳税人对报送资料的真实性和合法性承担责任。</w:t>
      </w:r>
    </w:p>
    <w:p>
      <w:pPr>
        <w:ind w:firstLine="472"/>
        <w:rPr>
          <w:rFonts w:hint="eastAsia"/>
          <w:color w:val="auto"/>
        </w:rPr>
      </w:pPr>
      <w:r>
        <w:rPr>
          <w:rFonts w:hint="eastAsia"/>
          <w:color w:val="auto"/>
          <w:lang w:val="en-US" w:eastAsia="zh-CN"/>
        </w:rPr>
        <w:t>6</w:t>
      </w:r>
      <w:r>
        <w:rPr>
          <w:rFonts w:hint="eastAsia"/>
          <w:color w:val="auto"/>
        </w:rPr>
        <w:t>.最多跑一次是在资料完整且符合法定受理条件的前提下，最多只需要到税务机关跑一次。</w:t>
      </w:r>
    </w:p>
    <w:p>
      <w:pPr>
        <w:ind w:firstLine="472"/>
        <w:rPr>
          <w:rFonts w:hint="eastAsia" w:eastAsia="宋体"/>
          <w:color w:val="auto"/>
          <w:lang w:val="en-US" w:eastAsia="zh-CN"/>
        </w:rPr>
      </w:pPr>
      <w:r>
        <w:rPr>
          <w:rFonts w:hint="eastAsia"/>
          <w:color w:val="auto"/>
          <w:lang w:val="en-US" w:eastAsia="zh-CN"/>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472C48"/>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2019-10-31T05:11:09Z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