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黑体" w:hAnsi="黑体" w:cs="黑体"/>
          <w:color w:val="auto"/>
        </w:rPr>
      </w:pPr>
      <w:bookmarkStart w:id="1" w:name="_GoBack"/>
      <w:bookmarkEnd w:id="1"/>
      <w:bookmarkStart w:id="0" w:name="_Toc17118"/>
      <w:r>
        <w:rPr>
          <w:rFonts w:hint="eastAsia" w:ascii="黑体" w:hAnsi="黑体" w:cs="黑体"/>
          <w:color w:val="auto"/>
        </w:rPr>
        <w:t>1.1.2.2选择按小规模纳税人纳税的情况说明</w:t>
      </w:r>
      <w:bookmarkEnd w:id="0"/>
    </w:p>
    <w:p>
      <w:pPr>
        <w:pStyle w:val="3"/>
        <w:ind w:firstLine="552"/>
        <w:rPr>
          <w:color w:val="auto"/>
        </w:rPr>
      </w:pPr>
      <w:r>
        <w:rPr>
          <w:rFonts w:hint="eastAsia"/>
          <w:color w:val="auto"/>
        </w:rPr>
        <w:t>一、事项名称</w:t>
      </w:r>
    </w:p>
    <w:p>
      <w:pPr>
        <w:ind w:firstLine="472"/>
        <w:rPr>
          <w:color w:val="auto"/>
        </w:rPr>
      </w:pPr>
      <w:r>
        <w:rPr>
          <w:rFonts w:hint="eastAsia"/>
          <w:color w:val="auto"/>
        </w:rPr>
        <w:t>选择按小规模纳税人纳税的情况说明</w:t>
      </w:r>
    </w:p>
    <w:p>
      <w:pPr>
        <w:pStyle w:val="3"/>
        <w:ind w:firstLine="552"/>
        <w:rPr>
          <w:color w:val="auto"/>
        </w:rPr>
      </w:pPr>
      <w:r>
        <w:rPr>
          <w:rFonts w:hint="eastAsia"/>
          <w:color w:val="auto"/>
        </w:rPr>
        <w:t>二、事项类别</w:t>
      </w:r>
    </w:p>
    <w:p>
      <w:pPr>
        <w:numPr>
          <w:ilvl w:val="0"/>
          <w:numId w:val="3"/>
        </w:numPr>
        <w:ind w:left="0" w:firstLine="420" w:firstLineChars="0"/>
        <w:rPr>
          <w:color w:val="auto"/>
        </w:rPr>
      </w:pPr>
      <w:r>
        <w:rPr>
          <w:rFonts w:hint="eastAsia"/>
          <w:color w:val="auto"/>
        </w:rPr>
        <w:t>发起方式：人工</w:t>
      </w:r>
      <w:r>
        <w:rPr>
          <w:color w:val="auto"/>
        </w:rPr>
        <w:t>发起（</w:t>
      </w:r>
      <w:r>
        <w:rPr>
          <w:rFonts w:hint="eastAsia"/>
          <w:color w:val="auto"/>
        </w:rPr>
        <w:t>纳税人）</w:t>
      </w:r>
    </w:p>
    <w:p>
      <w:pPr>
        <w:numPr>
          <w:ilvl w:val="0"/>
          <w:numId w:val="3"/>
        </w:numPr>
        <w:ind w:left="0" w:firstLine="420" w:firstLineChars="0"/>
        <w:rPr>
          <w:color w:val="auto"/>
        </w:rPr>
      </w:pPr>
      <w:r>
        <w:rPr>
          <w:rFonts w:hint="eastAsia"/>
          <w:color w:val="auto"/>
        </w:rPr>
        <w:t>办结方式：即办</w:t>
      </w:r>
    </w:p>
    <w:p>
      <w:pPr>
        <w:numPr>
          <w:ilvl w:val="0"/>
          <w:numId w:val="3"/>
        </w:numPr>
        <w:ind w:left="0" w:firstLine="420" w:firstLineChars="0"/>
        <w:rPr>
          <w:color w:val="auto"/>
        </w:rPr>
      </w:pPr>
      <w:r>
        <w:rPr>
          <w:rFonts w:hint="eastAsia"/>
          <w:color w:val="auto"/>
        </w:rPr>
        <w:t>全省通办：否</w:t>
      </w:r>
    </w:p>
    <w:p>
      <w:pPr>
        <w:numPr>
          <w:ilvl w:val="0"/>
          <w:numId w:val="3"/>
        </w:numPr>
        <w:ind w:left="0" w:firstLine="420" w:firstLineChars="0"/>
        <w:rPr>
          <w:color w:val="auto"/>
        </w:rPr>
      </w:pPr>
      <w:r>
        <w:rPr>
          <w:rFonts w:hint="eastAsia"/>
          <w:color w:val="auto"/>
        </w:rPr>
        <w:t>网上办理：是</w:t>
      </w:r>
    </w:p>
    <w:p>
      <w:pPr>
        <w:numPr>
          <w:ilvl w:val="0"/>
          <w:numId w:val="3"/>
        </w:numPr>
        <w:ind w:left="0" w:firstLine="420" w:firstLineChars="0"/>
        <w:rPr>
          <w:color w:val="auto"/>
        </w:rPr>
      </w:pPr>
      <w:r>
        <w:rPr>
          <w:rFonts w:hint="eastAsia"/>
          <w:color w:val="auto"/>
        </w:rPr>
        <w:t>适用层级：县(市、区)级</w:t>
      </w:r>
    </w:p>
    <w:p>
      <w:pPr>
        <w:pStyle w:val="47"/>
        <w:numPr>
          <w:ilvl w:val="0"/>
          <w:numId w:val="4"/>
        </w:numPr>
        <w:ind w:firstLineChars="0"/>
        <w:rPr>
          <w:color w:val="auto"/>
        </w:rPr>
      </w:pPr>
      <w:r>
        <w:rPr>
          <w:rFonts w:hint="eastAsia"/>
          <w:color w:val="auto"/>
        </w:rPr>
        <w:t>最多跑一次：是</w:t>
      </w:r>
    </w:p>
    <w:p>
      <w:pPr>
        <w:pStyle w:val="3"/>
        <w:ind w:firstLine="552"/>
        <w:rPr>
          <w:color w:val="auto"/>
        </w:rPr>
      </w:pPr>
      <w:r>
        <w:rPr>
          <w:rFonts w:hint="eastAsia"/>
          <w:color w:val="auto"/>
        </w:rPr>
        <w:t>三、办理条件</w:t>
      </w:r>
    </w:p>
    <w:p>
      <w:pPr>
        <w:ind w:firstLine="472"/>
        <w:rPr>
          <w:rFonts w:hint="eastAsia"/>
          <w:color w:val="auto"/>
        </w:rPr>
      </w:pPr>
      <w:r>
        <w:rPr>
          <w:rFonts w:hint="eastAsia"/>
          <w:color w:val="auto"/>
        </w:rPr>
        <w:t>（一）销售服务、无形资产或者不动产的纳税人，年应税销售额超过规定标准但不经常发生应税行为的单位和个体工商户可选择按照小规模纳税人纳税；销售货物或者提供加工、修理修配劳务的纳税人，非企业性单位、不经常发生应税行为的企业可选择按小规模纳税人纳税。</w:t>
      </w:r>
    </w:p>
    <w:p>
      <w:pPr>
        <w:ind w:firstLine="472"/>
        <w:rPr>
          <w:rFonts w:hint="eastAsia"/>
          <w:color w:val="auto"/>
        </w:rPr>
      </w:pPr>
      <w:r>
        <w:rPr>
          <w:rFonts w:hint="eastAsia"/>
          <w:color w:val="auto"/>
        </w:rPr>
        <w:t>（二）同时符合以下条件的一般纳税人，可选择按照《财政部税务总局关于统一增值税小规模纳税人标准的通知》（财税〔2019〕13号）第五条的规定，转登记为小规模纳税人，或选择继续作为一般纳税人：</w:t>
      </w:r>
    </w:p>
    <w:p>
      <w:pPr>
        <w:ind w:firstLine="472"/>
        <w:rPr>
          <w:rFonts w:hint="eastAsia"/>
          <w:color w:val="auto"/>
        </w:rPr>
      </w:pPr>
      <w:r>
        <w:rPr>
          <w:rFonts w:hint="eastAsia"/>
          <w:color w:val="auto"/>
        </w:rPr>
        <w:t>1.根据《中华人民共和国增值税暂行条例》第十三条和《中华人民共和国增值税暂行条例实施细则》第二十八条的有关规定，登记为一般纳税人。</w:t>
      </w:r>
    </w:p>
    <w:p>
      <w:pPr>
        <w:ind w:firstLine="472"/>
        <w:rPr>
          <w:rFonts w:hint="eastAsia"/>
          <w:color w:val="auto"/>
        </w:rPr>
      </w:pPr>
      <w:r>
        <w:rPr>
          <w:rFonts w:hint="eastAsia"/>
          <w:color w:val="auto"/>
        </w:rPr>
        <w:t>2.转登记日前连续12个月（以1个月为1个纳税期，下同）或者连续4个季度（以1个季度为1个纳税期，下同）累计应征增值税销售额（以下称应税销售额）未超过500万元。</w:t>
      </w:r>
    </w:p>
    <w:p>
      <w:pPr>
        <w:ind w:firstLine="472"/>
        <w:rPr>
          <w:rFonts w:hint="eastAsia"/>
          <w:color w:val="auto"/>
        </w:rPr>
      </w:pPr>
      <w:r>
        <w:rPr>
          <w:rFonts w:hint="eastAsia"/>
          <w:color w:val="auto"/>
        </w:rPr>
        <w:t>转登记日前经营期不满12个月或者4个季度的，按照月（季度）平均应税销售额估算上款规定的累计应税销售额。</w:t>
      </w:r>
    </w:p>
    <w:p>
      <w:pPr>
        <w:ind w:firstLine="472"/>
        <w:rPr>
          <w:rFonts w:hint="eastAsia"/>
          <w:color w:val="auto"/>
        </w:rPr>
      </w:pPr>
      <w:r>
        <w:rPr>
          <w:rFonts w:hint="eastAsia"/>
          <w:color w:val="auto"/>
        </w:rPr>
        <w:t>（三）增值税小规模纳税人标准为年应征增值税销售额500万元及以下。</w:t>
      </w:r>
    </w:p>
    <w:p>
      <w:pPr>
        <w:ind w:firstLine="472"/>
        <w:rPr>
          <w:color w:val="auto"/>
        </w:rPr>
      </w:pPr>
      <w:r>
        <w:rPr>
          <w:rFonts w:hint="eastAsia"/>
          <w:color w:val="auto"/>
        </w:rPr>
        <w:t>（四）选择按照小规模纳税人纳税的，应当向主管税务机关提交书面说明。个体工商户以外的其他个人年应税销售额超过规定标准的，不需要向主管税务机关提交书面说明。</w:t>
      </w:r>
    </w:p>
    <w:p>
      <w:pPr>
        <w:pStyle w:val="3"/>
        <w:ind w:firstLine="552"/>
        <w:rPr>
          <w:color w:val="auto"/>
        </w:rPr>
      </w:pPr>
      <w:r>
        <w:rPr>
          <w:rFonts w:hint="eastAsia"/>
          <w:color w:val="auto"/>
        </w:rPr>
        <w:t>四、设定依据</w:t>
      </w:r>
    </w:p>
    <w:p>
      <w:pPr>
        <w:ind w:firstLine="472"/>
        <w:rPr>
          <w:rFonts w:hint="eastAsia"/>
          <w:color w:val="auto"/>
        </w:rPr>
      </w:pPr>
      <w:r>
        <w:rPr>
          <w:rFonts w:hint="eastAsia"/>
          <w:color w:val="auto"/>
        </w:rPr>
        <w:t>1.《中华人民共和国增值税暂行条例实施细则》第二十九条　</w:t>
      </w:r>
    </w:p>
    <w:p>
      <w:pPr>
        <w:ind w:firstLine="472"/>
        <w:rPr>
          <w:rFonts w:hint="eastAsia" w:eastAsia="宋体"/>
          <w:color w:val="auto"/>
          <w:lang w:eastAsia="zh-CN"/>
        </w:rPr>
      </w:pPr>
      <w:r>
        <w:rPr>
          <w:rFonts w:hint="eastAsia"/>
          <w:color w:val="auto"/>
          <w:lang w:eastAsia="zh-CN"/>
        </w:rPr>
        <w:t>“</w:t>
      </w:r>
      <w:r>
        <w:rPr>
          <w:rFonts w:hint="eastAsia"/>
          <w:color w:val="auto"/>
        </w:rPr>
        <w:t>年应税销售额超过小规模纳税人标准的其他个人按小规模纳税人纳税；非企业性单位、不经常发生应税行为的企业可选择按小规模纳税人纳税。</w:t>
      </w:r>
      <w:r>
        <w:rPr>
          <w:rFonts w:hint="eastAsia"/>
          <w:color w:val="auto"/>
          <w:lang w:eastAsia="zh-CN"/>
        </w:rPr>
        <w:t>”</w:t>
      </w:r>
    </w:p>
    <w:p>
      <w:pPr>
        <w:ind w:firstLine="472"/>
        <w:rPr>
          <w:rFonts w:hint="eastAsia"/>
          <w:color w:val="auto"/>
        </w:rPr>
      </w:pPr>
      <w:r>
        <w:rPr>
          <w:rFonts w:hint="eastAsia"/>
          <w:color w:val="auto"/>
          <w:lang w:val="en-US" w:eastAsia="zh-CN"/>
        </w:rPr>
        <w:t>2.</w:t>
      </w:r>
      <w:r>
        <w:rPr>
          <w:rFonts w:hint="eastAsia"/>
          <w:color w:val="auto"/>
        </w:rPr>
        <w:t>《增值税一般纳税人登记管理办法》（国家税务总局令第43号公布）第七条</w:t>
      </w:r>
    </w:p>
    <w:p>
      <w:pPr>
        <w:ind w:firstLine="472"/>
        <w:rPr>
          <w:rFonts w:hint="eastAsia"/>
          <w:color w:val="auto"/>
          <w:lang w:eastAsia="zh-CN"/>
        </w:rPr>
      </w:pPr>
      <w:r>
        <w:rPr>
          <w:rFonts w:hint="eastAsia"/>
          <w:color w:val="auto"/>
          <w:lang w:eastAsia="zh-CN"/>
        </w:rPr>
        <w:t>“</w:t>
      </w:r>
      <w:r>
        <w:rPr>
          <w:rFonts w:hint="eastAsia"/>
          <w:color w:val="auto"/>
        </w:rPr>
        <w:t>年应税销售额超过规定标准的纳税人符合本办法第四条第一项规定的，应当向主管税务机关提交书面说明（附件2）。</w:t>
      </w:r>
      <w:r>
        <w:rPr>
          <w:rFonts w:hint="eastAsia"/>
          <w:color w:val="auto"/>
          <w:lang w:eastAsia="zh-CN"/>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tcBorders>
              <w:top w:val="single" w:color="auto" w:sz="12" w:space="0"/>
            </w:tcBorders>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tcBorders>
              <w:top w:val="single" w:color="auto" w:sz="12" w:space="0"/>
            </w:tcBorders>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1</w:t>
            </w:r>
          </w:p>
        </w:tc>
        <w:tc>
          <w:tcPr>
            <w:tcW w:w="2551" w:type="dxa"/>
            <w:vAlign w:val="center"/>
          </w:tcPr>
          <w:p>
            <w:pPr>
              <w:widowControl/>
              <w:spacing w:line="280" w:lineRule="exact"/>
              <w:ind w:firstLine="0" w:firstLineChars="0"/>
              <w:jc w:val="left"/>
              <w:rPr>
                <w:rFonts w:cs="宋体"/>
                <w:color w:val="auto"/>
                <w:kern w:val="0"/>
                <w:sz w:val="18"/>
                <w:szCs w:val="18"/>
              </w:rPr>
            </w:pPr>
            <w:r>
              <w:rPr>
                <w:rFonts w:hint="eastAsia"/>
                <w:color w:val="auto"/>
                <w:sz w:val="18"/>
                <w:szCs w:val="18"/>
              </w:rPr>
              <w:t>《一般纳税人转为小规模纳税人登记表》</w:t>
            </w:r>
          </w:p>
        </w:tc>
        <w:tc>
          <w:tcPr>
            <w:tcW w:w="709" w:type="dxa"/>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2</w:t>
            </w:r>
          </w:p>
        </w:tc>
        <w:tc>
          <w:tcPr>
            <w:tcW w:w="992" w:type="dxa"/>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条件报送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符合条件的一般纳税人转登记为小规模纳税人</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微软雅黑"/>
                <w:color w:val="auto"/>
                <w:sz w:val="18"/>
                <w:szCs w:val="18"/>
                <w:lang w:eastAsia="zh-CN"/>
              </w:rPr>
              <w:t>税务机关</w:t>
            </w:r>
            <w:r>
              <w:rPr>
                <w:rFonts w:hint="eastAsia" w:cs="微软雅黑"/>
                <w:color w:val="auto"/>
                <w:sz w:val="18"/>
                <w:szCs w:val="18"/>
              </w:rPr>
              <w:t>留存1份</w:t>
            </w:r>
          </w:p>
        </w:tc>
        <w:tc>
          <w:tcPr>
            <w:tcW w:w="1134" w:type="dxa"/>
            <w:vAlign w:val="top"/>
          </w:tcPr>
          <w:p>
            <w:pPr>
              <w:pStyle w:val="13"/>
              <w:widowControl/>
              <w:spacing w:before="100" w:after="100"/>
              <w:ind w:firstLine="0" w:firstLineChars="0"/>
              <w:jc w:val="center"/>
              <w:rPr>
                <w:rFonts w:hint="eastAsia" w:ascii="宋体" w:hAnsi="宋体" w:eastAsia="宋体" w:cs="Times New Roman"/>
                <w:color w:val="auto"/>
                <w:kern w:val="2"/>
                <w:sz w:val="18"/>
                <w:szCs w:val="18"/>
                <w:lang w:val="en-US" w:eastAsia="zh-CN" w:bidi="ar-SA"/>
              </w:rPr>
            </w:pPr>
            <w:r>
              <w:rPr>
                <w:rFonts w:hint="eastAsia" w:ascii="宋体" w:hAnsi="宋体" w:eastAsia="宋体" w:cs="Times New Roman"/>
                <w:color w:val="auto"/>
                <w:kern w:val="2"/>
                <w:sz w:val="18"/>
                <w:szCs w:val="18"/>
                <w:lang w:val="en-US" w:eastAsia="zh-CN" w:bidi="ar-SA"/>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2</w:t>
            </w:r>
          </w:p>
        </w:tc>
        <w:tc>
          <w:tcPr>
            <w:tcW w:w="2551" w:type="dxa"/>
            <w:vAlign w:val="center"/>
          </w:tcPr>
          <w:p>
            <w:pPr>
              <w:widowControl/>
              <w:spacing w:line="280" w:lineRule="exact"/>
              <w:ind w:firstLine="0" w:firstLineChars="0"/>
              <w:jc w:val="left"/>
              <w:rPr>
                <w:rFonts w:cs="宋体"/>
                <w:color w:val="auto"/>
                <w:kern w:val="0"/>
                <w:sz w:val="18"/>
                <w:szCs w:val="18"/>
              </w:rPr>
            </w:pPr>
            <w:r>
              <w:rPr>
                <w:rFonts w:hint="eastAsia"/>
                <w:color w:val="auto"/>
                <w:sz w:val="18"/>
                <w:szCs w:val="18"/>
              </w:rPr>
              <w:t>《选择按小规模纳税人纳税的情况说明》</w:t>
            </w:r>
          </w:p>
        </w:tc>
        <w:tc>
          <w:tcPr>
            <w:tcW w:w="709" w:type="dxa"/>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1</w:t>
            </w:r>
          </w:p>
        </w:tc>
        <w:tc>
          <w:tcPr>
            <w:tcW w:w="992" w:type="dxa"/>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条件报送</w:t>
            </w:r>
          </w:p>
        </w:tc>
        <w:tc>
          <w:tcPr>
            <w:tcW w:w="1134" w:type="dxa"/>
            <w:vAlign w:val="center"/>
          </w:tcPr>
          <w:p>
            <w:pPr>
              <w:widowControl/>
              <w:spacing w:line="280" w:lineRule="exact"/>
              <w:ind w:firstLine="0" w:firstLineChars="0"/>
              <w:jc w:val="left"/>
              <w:rPr>
                <w:rFonts w:cs="宋体"/>
                <w:color w:val="auto"/>
                <w:kern w:val="0"/>
                <w:sz w:val="18"/>
                <w:szCs w:val="18"/>
              </w:rPr>
            </w:pPr>
            <w:r>
              <w:rPr>
                <w:rFonts w:hint="eastAsia"/>
                <w:color w:val="auto"/>
                <w:sz w:val="18"/>
                <w:szCs w:val="18"/>
              </w:rPr>
              <w:t>个体工商户以外的其他个人不需提供</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lang w:eastAsia="zh-CN"/>
              </w:rPr>
              <w:t>税务机关</w:t>
            </w:r>
            <w:r>
              <w:rPr>
                <w:rFonts w:hint="eastAsia"/>
                <w:color w:val="auto"/>
                <w:sz w:val="18"/>
                <w:szCs w:val="18"/>
              </w:rPr>
              <w:t>留存</w:t>
            </w:r>
          </w:p>
        </w:tc>
        <w:tc>
          <w:tcPr>
            <w:tcW w:w="1134" w:type="dxa"/>
            <w:vAlign w:val="center"/>
          </w:tcPr>
          <w:p>
            <w:pPr>
              <w:pStyle w:val="13"/>
              <w:widowControl/>
              <w:spacing w:before="100" w:after="100"/>
              <w:ind w:firstLine="0" w:firstLineChars="0"/>
              <w:jc w:val="center"/>
              <w:rPr>
                <w:rFonts w:hint="eastAsia" w:ascii="宋体" w:hAnsi="宋体" w:eastAsia="宋体" w:cs="Times New Roman"/>
                <w:color w:val="auto"/>
                <w:kern w:val="2"/>
                <w:sz w:val="18"/>
                <w:szCs w:val="18"/>
                <w:lang w:val="en-US" w:eastAsia="zh-CN" w:bidi="ar-SA"/>
              </w:rPr>
            </w:pPr>
            <w:r>
              <w:rPr>
                <w:rFonts w:hint="eastAsia" w:ascii="宋体" w:hAnsi="宋体" w:eastAsia="宋体" w:cs="Times New Roman"/>
                <w:color w:val="auto"/>
                <w:kern w:val="2"/>
                <w:sz w:val="18"/>
                <w:szCs w:val="18"/>
                <w:lang w:val="en-US" w:eastAsia="zh-CN" w:bidi="ar-SA"/>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tcBorders>
              <w:bottom w:val="single" w:color="auto" w:sz="12" w:space="0"/>
            </w:tcBorders>
            <w:vAlign w:val="center"/>
          </w:tcPr>
          <w:p>
            <w:pPr>
              <w:widowControl/>
              <w:spacing w:line="280" w:lineRule="exact"/>
              <w:ind w:firstLine="0" w:firstLineChars="0"/>
              <w:jc w:val="center"/>
              <w:rPr>
                <w:rFonts w:cs="宋体"/>
                <w:color w:val="auto"/>
                <w:kern w:val="0"/>
                <w:sz w:val="18"/>
                <w:szCs w:val="18"/>
              </w:rPr>
            </w:pPr>
            <w:r>
              <w:rPr>
                <w:color w:val="auto"/>
                <w:sz w:val="18"/>
                <w:szCs w:val="18"/>
              </w:rPr>
              <w:t>3</w:t>
            </w:r>
          </w:p>
        </w:tc>
        <w:tc>
          <w:tcPr>
            <w:tcW w:w="2551" w:type="dxa"/>
            <w:tcBorders>
              <w:bottom w:val="single" w:color="auto" w:sz="12" w:space="0"/>
            </w:tcBorders>
            <w:vAlign w:val="center"/>
          </w:tcPr>
          <w:p>
            <w:pPr>
              <w:widowControl/>
              <w:spacing w:line="280" w:lineRule="exact"/>
              <w:ind w:firstLine="0" w:firstLineChars="0"/>
              <w:jc w:val="left"/>
              <w:rPr>
                <w:rFonts w:hint="eastAsia" w:cs="宋体"/>
                <w:color w:val="auto"/>
                <w:kern w:val="0"/>
                <w:sz w:val="18"/>
                <w:szCs w:val="18"/>
              </w:rPr>
            </w:pPr>
            <w:r>
              <w:rPr>
                <w:rFonts w:hint="eastAsia"/>
                <w:color w:val="auto"/>
                <w:sz w:val="18"/>
                <w:szCs w:val="18"/>
              </w:rPr>
              <w:t>税务登记证件副本或市场监督部门核发的加载统一社会信用代码的营业执照副本</w:t>
            </w:r>
          </w:p>
        </w:tc>
        <w:tc>
          <w:tcPr>
            <w:tcW w:w="709" w:type="dxa"/>
            <w:tcBorders>
              <w:bottom w:val="single" w:color="auto" w:sz="12" w:space="0"/>
            </w:tcBorders>
            <w:vAlign w:val="center"/>
          </w:tcPr>
          <w:p>
            <w:pPr>
              <w:widowControl/>
              <w:spacing w:line="280" w:lineRule="exact"/>
              <w:ind w:firstLine="0" w:firstLineChars="0"/>
              <w:jc w:val="center"/>
              <w:rPr>
                <w:rFonts w:cs="宋体"/>
                <w:color w:val="auto"/>
                <w:kern w:val="0"/>
                <w:sz w:val="18"/>
                <w:szCs w:val="18"/>
              </w:rPr>
            </w:pPr>
            <w:r>
              <w:rPr>
                <w:color w:val="auto"/>
                <w:sz w:val="18"/>
                <w:szCs w:val="18"/>
              </w:rPr>
              <w:t>1</w:t>
            </w:r>
          </w:p>
        </w:tc>
        <w:tc>
          <w:tcPr>
            <w:tcW w:w="992" w:type="dxa"/>
            <w:tcBorders>
              <w:bottom w:val="single" w:color="auto" w:sz="12" w:space="0"/>
            </w:tcBorders>
            <w:vAlign w:val="center"/>
          </w:tcPr>
          <w:p>
            <w:pPr>
              <w:widowControl/>
              <w:spacing w:line="280" w:lineRule="exact"/>
              <w:ind w:firstLine="0" w:firstLineChars="0"/>
              <w:jc w:val="center"/>
              <w:rPr>
                <w:rFonts w:hint="eastAsia" w:cs="宋体"/>
                <w:color w:val="auto"/>
                <w:kern w:val="0"/>
                <w:sz w:val="18"/>
                <w:szCs w:val="18"/>
              </w:rPr>
            </w:pPr>
            <w:r>
              <w:rPr>
                <w:rFonts w:hint="eastAsia"/>
                <w:color w:val="auto"/>
                <w:sz w:val="18"/>
                <w:szCs w:val="18"/>
              </w:rPr>
              <w:t>条件报送</w:t>
            </w:r>
          </w:p>
        </w:tc>
        <w:tc>
          <w:tcPr>
            <w:tcW w:w="1134" w:type="dxa"/>
            <w:tcBorders>
              <w:bottom w:val="single" w:color="auto" w:sz="12" w:space="0"/>
            </w:tcBorders>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已实行实名办税的纳税人可取消报送</w:t>
            </w:r>
          </w:p>
        </w:tc>
        <w:tc>
          <w:tcPr>
            <w:tcW w:w="1134" w:type="dxa"/>
            <w:tcBorders>
              <w:bottom w:val="single" w:color="auto" w:sz="12" w:space="0"/>
            </w:tcBorders>
            <w:vAlign w:val="center"/>
          </w:tcPr>
          <w:p>
            <w:pPr>
              <w:widowControl/>
              <w:spacing w:line="280" w:lineRule="exact"/>
              <w:ind w:firstLine="0" w:firstLineChars="0"/>
              <w:jc w:val="center"/>
              <w:rPr>
                <w:rFonts w:hint="eastAsia" w:cs="宋体"/>
                <w:color w:val="auto"/>
                <w:kern w:val="0"/>
                <w:sz w:val="18"/>
                <w:szCs w:val="18"/>
              </w:rPr>
            </w:pPr>
            <w:r>
              <w:rPr>
                <w:rFonts w:hint="eastAsia"/>
                <w:color w:val="auto"/>
                <w:sz w:val="18"/>
                <w:szCs w:val="18"/>
              </w:rPr>
              <w:t>查验后返还</w:t>
            </w:r>
          </w:p>
        </w:tc>
        <w:tc>
          <w:tcPr>
            <w:tcW w:w="1134" w:type="dxa"/>
            <w:tcBorders>
              <w:bottom w:val="single" w:color="auto" w:sz="12" w:space="0"/>
            </w:tcBorders>
            <w:vAlign w:val="top"/>
          </w:tcPr>
          <w:p>
            <w:pPr>
              <w:pStyle w:val="13"/>
              <w:widowControl/>
              <w:spacing w:before="100" w:after="100"/>
              <w:ind w:firstLine="0" w:firstLineChars="0"/>
              <w:jc w:val="center"/>
              <w:rPr>
                <w:rFonts w:hint="eastAsia" w:ascii="宋体" w:hAnsi="宋体" w:eastAsia="宋体" w:cs="Times New Roman"/>
                <w:color w:val="auto"/>
                <w:kern w:val="2"/>
                <w:sz w:val="18"/>
                <w:szCs w:val="18"/>
                <w:lang w:val="en-US" w:eastAsia="zh-CN" w:bidi="ar-SA"/>
              </w:rPr>
            </w:pPr>
            <w:r>
              <w:rPr>
                <w:rFonts w:hint="eastAsia" w:ascii="宋体" w:hAnsi="宋体" w:eastAsia="宋体" w:cs="Times New Roman"/>
                <w:color w:val="auto"/>
                <w:kern w:val="2"/>
                <w:sz w:val="18"/>
                <w:szCs w:val="18"/>
                <w:lang w:val="en-US" w:eastAsia="zh-CN" w:bidi="ar-SA"/>
              </w:rPr>
              <w:t>是</w:t>
            </w:r>
          </w:p>
        </w:tc>
      </w:tr>
    </w:tbl>
    <w:p>
      <w:pPr>
        <w:pStyle w:val="3"/>
        <w:ind w:firstLine="552"/>
        <w:rPr>
          <w:color w:val="auto"/>
        </w:rPr>
      </w:pPr>
      <w:r>
        <w:rPr>
          <w:rFonts w:hint="eastAsia"/>
          <w:color w:val="auto"/>
        </w:rPr>
        <w:t>六、办理流程</w:t>
      </w:r>
    </w:p>
    <w:p>
      <w:pPr>
        <w:spacing w:line="240" w:lineRule="auto"/>
        <w:ind w:left="472" w:firstLine="0" w:firstLineChars="0"/>
        <w:rPr>
          <w:color w:val="auto"/>
        </w:rPr>
      </w:pPr>
      <w:r>
        <w:rPr>
          <w:color w:val="auto"/>
        </w:rPr>
        <w:object>
          <v:shape id="_x0000_i1027" o:spt="75" type="#_x0000_t75" style="height:89.25pt;width:429pt;" o:ole="t" filled="f" o:preferrelative="t" stroked="f" coordsize="21600,21600">
            <v:path/>
            <v:fill on="f" focussize="0,0"/>
            <v:stroke on="f"/>
            <v:imagedata r:id="rId11" o:title=""/>
            <o:lock v:ext="edit" aspectratio="f"/>
            <w10:wrap type="none"/>
            <w10:anchorlock/>
          </v:shape>
          <o:OLEObject Type="Embed" ProgID="Visio.Drawing.11" ShapeID="_x0000_i1027"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eastAsia"/>
          <w:color w:val="auto"/>
        </w:rPr>
      </w:pPr>
      <w:r>
        <w:rPr>
          <w:color w:val="auto"/>
        </w:rPr>
        <w:t>1.</w:t>
      </w:r>
      <w:r>
        <w:rPr>
          <w:rFonts w:hint="eastAsia"/>
          <w:color w:val="auto"/>
        </w:rPr>
        <w:t>A01077《一般纳税人转为小规模纳税人登记表》(A01077《一般纳税人转为小规模纳税人登记表》（填写样例）)</w:t>
      </w:r>
    </w:p>
    <w:p>
      <w:pPr>
        <w:ind w:firstLine="472"/>
        <w:rPr>
          <w:rFonts w:hint="eastAsia"/>
          <w:color w:val="auto"/>
        </w:rPr>
      </w:pPr>
      <w:r>
        <w:rPr>
          <w:rFonts w:hint="eastAsia"/>
          <w:color w:val="auto"/>
          <w:lang w:val="en-US" w:eastAsia="zh-CN"/>
        </w:rPr>
        <w:t>2</w:t>
      </w:r>
      <w:r>
        <w:rPr>
          <w:rFonts w:hint="eastAsia"/>
          <w:color w:val="auto"/>
        </w:rPr>
        <w:t>.A01058《选择按小规模纳税人纳税的情况说明》</w:t>
      </w:r>
    </w:p>
    <w:p>
      <w:pPr>
        <w:pStyle w:val="3"/>
        <w:ind w:firstLine="552"/>
        <w:rPr>
          <w:color w:val="auto"/>
        </w:rPr>
      </w:pPr>
      <w:r>
        <w:rPr>
          <w:rFonts w:hint="eastAsia"/>
          <w:color w:val="auto"/>
        </w:rPr>
        <w:t>九、注意事项</w:t>
      </w:r>
    </w:p>
    <w:p>
      <w:pPr>
        <w:ind w:firstLine="472"/>
        <w:rPr>
          <w:rFonts w:hint="eastAsia" w:eastAsia="宋体"/>
          <w:color w:val="auto"/>
          <w:lang w:eastAsia="zh-CN"/>
        </w:rPr>
      </w:pPr>
      <w:r>
        <w:rPr>
          <w:color w:val="auto"/>
        </w:rPr>
        <w:t>1.</w:t>
      </w:r>
      <w:r>
        <w:rPr>
          <w:rFonts w:hint="eastAsia"/>
          <w:color w:val="auto"/>
        </w:rPr>
        <w:t>自2018年5月1日起,在2019年12月31日前,按照《中华人民共和国增值税暂行条例实施细则》第二十八条规定已登记为增值税一般纳税人的单位和个人,可转登记为小规模纳税人</w:t>
      </w:r>
      <w:r>
        <w:rPr>
          <w:rFonts w:hint="eastAsia"/>
          <w:color w:val="auto"/>
          <w:lang w:eastAsia="zh-CN"/>
        </w:rPr>
        <w:t>。</w:t>
      </w:r>
    </w:p>
    <w:p>
      <w:pPr>
        <w:ind w:firstLine="472"/>
        <w:rPr>
          <w:rFonts w:hint="eastAsia"/>
          <w:color w:val="auto"/>
        </w:rPr>
      </w:pPr>
      <w:r>
        <w:rPr>
          <w:rFonts w:hint="eastAsia"/>
          <w:color w:val="auto"/>
        </w:rPr>
        <w:t>2.一般纳税人转登记为小规模纳税人（以下称转登记纳税人）后，自转登记日的下期起，按照简易计税方法计算缴纳增值税；转登记日当期仍按照一般纳税人的有关规定计算缴纳增值税。</w:t>
      </w:r>
    </w:p>
    <w:p>
      <w:pPr>
        <w:ind w:firstLine="472"/>
        <w:rPr>
          <w:rFonts w:hint="eastAsia"/>
          <w:color w:val="auto"/>
        </w:rPr>
      </w:pPr>
      <w:r>
        <w:rPr>
          <w:rFonts w:hint="eastAsia"/>
          <w:color w:val="auto"/>
        </w:rPr>
        <w:t>3.转登记纳税人尚未申报抵扣的进项税额以及转登记日当期的期末留抵税额，计入“应交税费—待抵扣进项税额”核算。</w:t>
      </w:r>
    </w:p>
    <w:p>
      <w:pPr>
        <w:ind w:firstLine="472"/>
        <w:rPr>
          <w:rFonts w:hint="eastAsia"/>
          <w:color w:val="auto"/>
        </w:rPr>
      </w:pPr>
      <w:r>
        <w:rPr>
          <w:rFonts w:hint="eastAsia"/>
          <w:color w:val="auto"/>
        </w:rPr>
        <w:t>4.转登记纳税人在一般纳税人期间销售或者购进的货物、劳务、服务、无形资产、不动产，自转登记日的下期起发生销售折让、中止或者退回的，调整转登记日当期的销项税额、进项税额和应纳税额。</w:t>
      </w:r>
    </w:p>
    <w:p>
      <w:pPr>
        <w:ind w:firstLine="472"/>
        <w:rPr>
          <w:rFonts w:hint="eastAsia"/>
          <w:color w:val="auto"/>
        </w:rPr>
      </w:pPr>
      <w:r>
        <w:rPr>
          <w:rFonts w:hint="eastAsia"/>
          <w:color w:val="auto"/>
        </w:rPr>
        <w:t>5.转登记纳税人可以继续使用现有税控设备开具增值税发票，不需要缴销税控设备和增值税发票。</w:t>
      </w:r>
    </w:p>
    <w:p>
      <w:pPr>
        <w:ind w:firstLine="472"/>
        <w:rPr>
          <w:rFonts w:hint="eastAsia"/>
          <w:color w:val="auto"/>
        </w:rPr>
      </w:pPr>
      <w:r>
        <w:rPr>
          <w:rFonts w:hint="eastAsia"/>
          <w:color w:val="auto"/>
        </w:rPr>
        <w:t>6.转登记纳税人在一般纳税人期间发生的增值税应税销售行为，未开具增值税发票需要补开的，应当按照原适用税率或者征收率补开增值税发票；发生销售折让、中止或者退回等情形，需要开具红字发票的，按照原蓝字发票记载的内容开具红字发票；开票有误需要重新开具的，先按照原蓝字发票记载的内容开具红字发票后，再重新开具正确的蓝字发票。</w:t>
      </w:r>
    </w:p>
    <w:p>
      <w:pPr>
        <w:ind w:firstLine="472"/>
        <w:rPr>
          <w:rFonts w:hint="eastAsia"/>
          <w:color w:val="auto"/>
        </w:rPr>
      </w:pPr>
      <w:r>
        <w:rPr>
          <w:rFonts w:hint="eastAsia"/>
          <w:color w:val="auto"/>
        </w:rPr>
        <w:t>7.自转登记日的下期起连续不超过12个月或者连续不超过4个季度的经营期内，转登记纳税人应税销售额超过财政部、国家税务总局规定的小规模纳税人标准的，应当按照《增值税一般纳税人登记管理办法》（国家税务总局令第43号）的有关规定，向主管税务机关办理一般纳税人登记。</w:t>
      </w:r>
    </w:p>
    <w:p>
      <w:pPr>
        <w:ind w:firstLine="472"/>
        <w:rPr>
          <w:color w:val="auto"/>
        </w:rPr>
      </w:pPr>
      <w:r>
        <w:rPr>
          <w:rFonts w:hint="eastAsia"/>
          <w:color w:val="auto"/>
        </w:rPr>
        <w:t>8.转登记纳税人按规定再次登记为一般纳税人后，不得再转登记为小规模纳税人。</w:t>
      </w:r>
    </w:p>
    <w:p>
      <w:pPr>
        <w:ind w:firstLine="472"/>
        <w:rPr>
          <w:color w:val="auto"/>
        </w:rPr>
      </w:pPr>
      <w:r>
        <w:rPr>
          <w:rFonts w:hint="eastAsia"/>
          <w:color w:val="auto"/>
          <w:lang w:val="en-US" w:eastAsia="zh-CN"/>
        </w:rPr>
        <w:t>9</w:t>
      </w:r>
      <w:r>
        <w:rPr>
          <w:color w:val="auto"/>
        </w:rPr>
        <w:t>.</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10</w:t>
      </w:r>
      <w:r>
        <w:rPr>
          <w:color w:val="auto"/>
        </w:rPr>
        <w:t>.</w:t>
      </w:r>
      <w:r>
        <w:rPr>
          <w:rFonts w:hint="eastAsia"/>
          <w:color w:val="auto"/>
        </w:rPr>
        <w:t>最多跑一次是在资料完整且符合法定受理条件的前提下，最多只需要到税务机关跑一次。</w:t>
      </w:r>
    </w:p>
    <w:p>
      <w:pPr>
        <w:ind w:firstLine="472"/>
        <w:jc w:val="left"/>
        <w:rPr>
          <w:rFonts w:hint="eastAsia"/>
          <w:color w:val="auto"/>
        </w:rPr>
      </w:pPr>
      <w:r>
        <w:rPr>
          <w:rFonts w:hint="eastAsia"/>
          <w:color w:val="auto"/>
          <w:lang w:val="en-US" w:eastAsia="zh-CN"/>
        </w:rPr>
        <w:t>11</w:t>
      </w:r>
      <w:r>
        <w:rPr>
          <w:rFonts w:hint="eastAsia"/>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5AB875CD"/>
    <w:multiLevelType w:val="singleLevel"/>
    <w:tmpl w:val="5AB875CD"/>
    <w:lvl w:ilvl="0" w:tentative="0">
      <w:start w:val="1"/>
      <w:numFmt w:val="bullet"/>
      <w:lvlText w:val=""/>
      <w:lvlJc w:val="left"/>
      <w:pPr>
        <w:ind w:left="420"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472435C"/>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2019-10-31T03:28:32Z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