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7164"/>
      <w:r>
        <w:rPr>
          <w:rFonts w:ascii="黑体" w:hAnsi="黑体"/>
          <w:bCs w:val="0"/>
          <w:color w:val="auto"/>
        </w:rPr>
        <w:t>1.3.3.7</w:t>
      </w:r>
      <w:r>
        <w:rPr>
          <w:color w:val="auto"/>
        </w:rPr>
        <w:t>非居民企业所得税自行申报</w:t>
      </w:r>
      <w:bookmarkEnd w:id="0"/>
    </w:p>
    <w:p>
      <w:pPr>
        <w:pStyle w:val="3"/>
        <w:ind w:firstLine="552"/>
        <w:rPr>
          <w:color w:val="auto"/>
        </w:rPr>
      </w:pPr>
      <w:r>
        <w:rPr>
          <w:color w:val="auto"/>
        </w:rPr>
        <w:t>一、事项名称</w:t>
      </w:r>
    </w:p>
    <w:p>
      <w:pPr>
        <w:ind w:firstLine="472"/>
        <w:rPr>
          <w:color w:val="auto"/>
        </w:rPr>
      </w:pPr>
      <w:r>
        <w:rPr>
          <w:rFonts w:hint="eastAsia"/>
          <w:color w:val="auto"/>
        </w:rPr>
        <w:t>非居民企业所得税自行申报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在中国境内未设立机构、场所的，或虽设立机构、场所但取得的所得与其所设机构、场所没有实际联系的非居民企业，应当就其来源于中国境内的所得缴纳企业所得税，以及在中国境内取得承包工程作业和提供劳务所得并实行指定扣缴的非居民企业，在无扣缴义务人情况下或其他原因需自行向税务机关申报纳税时，使用《中华人民共和国扣缴企业所得税报告表（2019年版）(F500)》按次或按期申报其所得并缴纳企业所得税。</w:t>
      </w:r>
    </w:p>
    <w:p>
      <w:pPr>
        <w:ind w:firstLine="472"/>
        <w:rPr>
          <w:color w:val="auto"/>
        </w:rPr>
      </w:pPr>
      <w:r>
        <w:rPr>
          <w:rFonts w:hint="eastAsia"/>
          <w:color w:val="auto"/>
        </w:rPr>
        <w:t>享受税收协定、或者享受税收协定外的其他类协定规定的税收优惠的非居民企业，在无扣缴义务人情况下或其他原因需自行向税务机关申报纳税时，向主管税务机关报送《中华人民共和国扣缴企业所得税报告表（2019年版）(F500)》。</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1.《中华人民共和国税收征收管理法》第二十五条第一款</w:t>
      </w:r>
    </w:p>
    <w:p>
      <w:pPr>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color w:val="auto"/>
        </w:rPr>
      </w:pPr>
      <w:r>
        <w:rPr>
          <w:color w:val="auto"/>
        </w:rPr>
        <w:t>2.《中华人民共和国企业所得税法》第三条</w:t>
      </w:r>
    </w:p>
    <w:p>
      <w:pPr>
        <w:ind w:firstLine="472"/>
        <w:rPr>
          <w:color w:val="auto"/>
        </w:rPr>
      </w:pPr>
      <w:r>
        <w:rPr>
          <w:rFonts w:hint="eastAsia"/>
          <w:color w:val="auto"/>
        </w:rPr>
        <w:t>“居民企业应当就其来源于中国境内、境外的所得缴纳企业所得税。</w:t>
      </w:r>
    </w:p>
    <w:p>
      <w:pPr>
        <w:ind w:firstLine="472"/>
        <w:rPr>
          <w:color w:val="auto"/>
        </w:rPr>
      </w:pPr>
      <w:r>
        <w:rPr>
          <w:rFonts w:hint="eastAsia"/>
          <w:color w:val="auto"/>
        </w:rPr>
        <w:t>非居民企业在中国境内设立机构、场所的，应当就其所设机构、场所取得的来源于中国境内的所得，以及发生在中国境外但与其所设机构、场所有实际联系的所得，缴纳企业所得税。</w:t>
      </w:r>
    </w:p>
    <w:p>
      <w:pPr>
        <w:ind w:firstLine="472"/>
        <w:rPr>
          <w:color w:val="auto"/>
        </w:rPr>
      </w:pPr>
      <w:r>
        <w:rPr>
          <w:rFonts w:hint="eastAsia"/>
          <w:color w:val="auto"/>
        </w:rPr>
        <w:t>非居民企业在中国境内未设立机构、场所的，或者虽设立机构、场所但取得的所得与其所设机构、场所没有实际联系的，应当就其来源于中国境内的所得缴纳企业所得税。”</w:t>
      </w:r>
    </w:p>
    <w:p>
      <w:pPr>
        <w:ind w:firstLine="472"/>
        <w:rPr>
          <w:rFonts w:hint="eastAsia" w:eastAsia="宋体"/>
          <w:color w:val="auto"/>
          <w:lang w:eastAsia="zh-CN"/>
        </w:rPr>
      </w:pPr>
      <w:r>
        <w:rPr>
          <w:rFonts w:hint="eastAsia"/>
          <w:color w:val="auto"/>
        </w:rPr>
        <w:t>3.</w:t>
      </w:r>
      <w:r>
        <w:rPr>
          <w:color w:val="auto"/>
        </w:rPr>
        <w:t>《中华人民共和国企业所得税法》</w:t>
      </w:r>
      <w:r>
        <w:rPr>
          <w:rFonts w:hint="eastAsia"/>
          <w:color w:val="auto"/>
        </w:rPr>
        <w:t>第五十四条第二款</w:t>
      </w:r>
    </w:p>
    <w:p>
      <w:pPr>
        <w:ind w:firstLine="472"/>
        <w:rPr>
          <w:color w:val="auto"/>
        </w:rPr>
      </w:pPr>
      <w:r>
        <w:rPr>
          <w:rFonts w:hint="eastAsia"/>
          <w:color w:val="auto"/>
        </w:rPr>
        <w:t>“企业应当自月份或者季度终了之日起十五日内，向税务机关报送预缴企业所得税纳税申报表，预缴税款。”</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《中华人民共和国扣缴企业所得税报告表（2019年版）</w:t>
            </w:r>
            <w:r>
              <w:rPr>
                <w:color w:val="auto"/>
                <w:sz w:val="18"/>
                <w:szCs w:val="18"/>
              </w:rPr>
              <w:t>(F500)</w:t>
            </w:r>
            <w:r>
              <w:rPr>
                <w:rFonts w:hint="eastAsia"/>
                <w:color w:val="auto"/>
                <w:sz w:val="18"/>
                <w:szCs w:val="18"/>
              </w:rPr>
              <w:t>》</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2" w:firstLine="0" w:firstLineChars="0"/>
        <w:rPr>
          <w:color w:val="auto"/>
        </w:rPr>
      </w:pPr>
      <w:r>
        <w:rPr>
          <w:color w:val="auto"/>
        </w:rPr>
        <w:drawing>
          <wp:inline distT="0" distB="0" distL="0" distR="0">
            <wp:extent cx="4236720" cy="1144270"/>
            <wp:effectExtent l="0" t="0" r="11430" b="177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237200" cy="1144800"/>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A06865</w:t>
      </w:r>
      <w:r>
        <w:rPr>
          <w:rFonts w:hint="eastAsia"/>
          <w:color w:val="auto"/>
        </w:rPr>
        <w:t>《中华人民共和国扣缴企业所得税报告表（2019年版）</w:t>
      </w:r>
      <w:r>
        <w:rPr>
          <w:color w:val="auto"/>
        </w:rPr>
        <w:t>(F500)</w:t>
      </w:r>
      <w:r>
        <w:rPr>
          <w:rFonts w:hint="eastAsia"/>
          <w:color w:val="auto"/>
        </w:rPr>
        <w:t>》</w:t>
      </w:r>
    </w:p>
    <w:p>
      <w:pPr>
        <w:pStyle w:val="3"/>
        <w:ind w:firstLine="552"/>
        <w:rPr>
          <w:color w:val="auto"/>
        </w:rPr>
      </w:pPr>
      <w:r>
        <w:rPr>
          <w:rFonts w:hint="eastAsia"/>
          <w:color w:val="auto"/>
        </w:rPr>
        <w:t>九、注意事项</w:t>
      </w:r>
    </w:p>
    <w:p>
      <w:pPr>
        <w:ind w:firstLine="472"/>
        <w:rPr>
          <w:color w:val="auto"/>
        </w:rPr>
      </w:pPr>
      <w:r>
        <w:rPr>
          <w:rFonts w:hint="eastAsia"/>
          <w:color w:val="auto"/>
        </w:rPr>
        <w:t>1.</w:t>
      </w:r>
      <w:r>
        <w:rPr>
          <w:color w:val="auto"/>
        </w:rPr>
        <w:t>如需调整前期的申报或对前期申报进行补充申报，则通过申报错误更正业务进行办理；如属于纳税评估自查补报，则通过纳税评估通知书进行办理。</w:t>
      </w:r>
    </w:p>
    <w:p>
      <w:pPr>
        <w:ind w:firstLine="472"/>
        <w:rPr>
          <w:color w:val="auto"/>
        </w:rPr>
      </w:pPr>
      <w:r>
        <w:rPr>
          <w:rFonts w:hint="eastAsia"/>
          <w:color w:val="auto"/>
        </w:rPr>
        <w:t>2.税务</w:t>
      </w:r>
      <w:r>
        <w:rPr>
          <w:color w:val="auto"/>
        </w:rPr>
        <w:t>机关</w:t>
      </w:r>
      <w:r>
        <w:rPr>
          <w:rFonts w:hint="eastAsia"/>
          <w:color w:val="auto"/>
        </w:rPr>
        <w:t>根据应补税额判断是否需要缴款开票；对于应补税额大于零的，办理“缴款开票”业务。</w:t>
      </w:r>
    </w:p>
    <w:p>
      <w:pPr>
        <w:ind w:firstLine="472"/>
        <w:rPr>
          <w:rFonts w:hint="eastAsia" w:eastAsia="宋体"/>
          <w:color w:val="auto"/>
          <w:lang w:eastAsia="zh-CN"/>
        </w:rPr>
      </w:pPr>
      <w:r>
        <w:rPr>
          <w:rFonts w:hint="eastAsia"/>
          <w:color w:val="auto"/>
        </w:rPr>
        <w:t>3.纳税人既有应退税款又有欠缴税款的，可以办理“抵缴欠税”业务。</w:t>
      </w:r>
    </w:p>
    <w:p>
      <w:pPr>
        <w:ind w:firstLine="472"/>
        <w:rPr>
          <w:color w:val="auto"/>
        </w:rPr>
      </w:pPr>
      <w:r>
        <w:rPr>
          <w:rFonts w:hint="eastAsia"/>
          <w:color w:val="auto"/>
        </w:rPr>
        <w:t>4.纳税人对报送材料的真实性和合法性承担责任。</w:t>
      </w:r>
    </w:p>
    <w:p>
      <w:pPr>
        <w:ind w:firstLine="472"/>
        <w:rPr>
          <w:color w:val="auto"/>
        </w:rPr>
      </w:pPr>
      <w:r>
        <w:rPr>
          <w:rFonts w:hint="eastAsia"/>
          <w:color w:val="auto"/>
        </w:rPr>
        <w:t>5.纳税人在资料完整且符合法定受理条件的前提下，最多只需要到税务机关跑一次。</w:t>
      </w:r>
    </w:p>
    <w:p>
      <w:pPr>
        <w:ind w:firstLine="472"/>
        <w:jc w:val="left"/>
        <w:rPr>
          <w:rFonts w:hint="eastAsia"/>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12499D"/>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2019-10-31T03:46:05Z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