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4495"/>
      <w:r>
        <w:rPr>
          <w:rFonts w:hint="eastAsia" w:ascii="黑体" w:hAnsi="黑体"/>
          <w:color w:val="auto"/>
        </w:rPr>
        <w:t>1.3.1.3</w:t>
      </w:r>
      <w:r>
        <w:rPr>
          <w:rFonts w:hint="eastAsia"/>
          <w:color w:val="auto"/>
        </w:rPr>
        <w:t>原油天然气增值税申报</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原油天然气增值税申报</w:t>
      </w:r>
    </w:p>
    <w:p>
      <w:pPr>
        <w:pStyle w:val="3"/>
        <w:ind w:firstLine="552"/>
        <w:rPr>
          <w:color w:val="auto"/>
        </w:rPr>
      </w:pPr>
      <w:r>
        <w:rPr>
          <w:rFonts w:hint="eastAsia"/>
          <w:color w:val="auto"/>
        </w:rPr>
        <w:t>二、事项类别</w:t>
      </w:r>
    </w:p>
    <w:p>
      <w:pPr>
        <w:pStyle w:val="49"/>
        <w:numPr>
          <w:ilvl w:val="0"/>
          <w:numId w:val="3"/>
        </w:numPr>
        <w:ind w:firstLineChars="0"/>
        <w:rPr>
          <w:color w:val="auto"/>
        </w:rPr>
      </w:pPr>
      <w:r>
        <w:rPr>
          <w:rFonts w:hint="eastAsia"/>
          <w:color w:val="auto"/>
        </w:rPr>
        <w:t>发起方式：人工发起</w:t>
      </w:r>
      <w:r>
        <w:rPr>
          <w:color w:val="auto"/>
        </w:rPr>
        <w:t>（</w:t>
      </w:r>
      <w:r>
        <w:rPr>
          <w:rFonts w:hint="eastAsia"/>
          <w:color w:val="auto"/>
        </w:rPr>
        <w:t>纳税人）</w:t>
      </w:r>
    </w:p>
    <w:p>
      <w:pPr>
        <w:pStyle w:val="49"/>
        <w:numPr>
          <w:ilvl w:val="0"/>
          <w:numId w:val="3"/>
        </w:numPr>
        <w:ind w:firstLineChars="0"/>
        <w:rPr>
          <w:color w:val="auto"/>
        </w:rPr>
      </w:pPr>
      <w:r>
        <w:rPr>
          <w:rFonts w:hint="eastAsia"/>
          <w:color w:val="auto"/>
        </w:rPr>
        <w:t>办结方式：即办</w:t>
      </w:r>
    </w:p>
    <w:p>
      <w:pPr>
        <w:pStyle w:val="49"/>
        <w:numPr>
          <w:ilvl w:val="0"/>
          <w:numId w:val="3"/>
        </w:numPr>
        <w:ind w:firstLineChars="0"/>
        <w:rPr>
          <w:color w:val="auto"/>
        </w:rPr>
      </w:pPr>
      <w:r>
        <w:rPr>
          <w:rFonts w:hint="eastAsia"/>
          <w:color w:val="auto"/>
        </w:rPr>
        <w:t>全省通办：是</w:t>
      </w:r>
    </w:p>
    <w:p>
      <w:pPr>
        <w:pStyle w:val="49"/>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原油天然气增值税纳税人应依照税收法律、法规、规章及其他有关规定，在规定的纳税期限内填报《原油天然气增值税申报表》及其他有关资料，向税务机关进行纳税申报。</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《原油天然气增值税纳税申报表》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销售价格、销售费用、销售去向等明细资料</w:t>
            </w:r>
          </w:p>
        </w:tc>
        <w:tc>
          <w:tcPr>
            <w:tcW w:w="709"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六、办理流程</w:t>
      </w:r>
    </w:p>
    <w:p>
      <w:pPr>
        <w:ind w:left="472" w:firstLine="0" w:firstLineChars="0"/>
        <w:rPr>
          <w:color w:val="auto"/>
        </w:rPr>
      </w:pPr>
      <w:r>
        <w:rPr>
          <w:color w:val="auto"/>
        </w:rPr>
        <w:drawing>
          <wp:anchor distT="0" distB="0" distL="114300" distR="114300" simplePos="0" relativeHeight="251707392" behindDoc="0" locked="0" layoutInCell="1" allowOverlap="1">
            <wp:simplePos x="0" y="0"/>
            <wp:positionH relativeFrom="column">
              <wp:posOffset>109220</wp:posOffset>
            </wp:positionH>
            <wp:positionV relativeFrom="paragraph">
              <wp:posOffset>210820</wp:posOffset>
            </wp:positionV>
            <wp:extent cx="5579110" cy="1326515"/>
            <wp:effectExtent l="0" t="0" r="2540" b="0"/>
            <wp:wrapSquare wrapText="bothSides"/>
            <wp:docPr id="9" name="图片 2"/>
            <wp:cNvGraphicFramePr/>
            <a:graphic xmlns:a="http://schemas.openxmlformats.org/drawingml/2006/main">
              <a:graphicData uri="http://schemas.openxmlformats.org/drawingml/2006/picture">
                <pic:pic xmlns:pic="http://schemas.openxmlformats.org/drawingml/2006/picture">
                  <pic:nvPicPr>
                    <pic:cNvPr id="9" name="图片 2"/>
                    <pic:cNvPicPr/>
                  </pic:nvPicPr>
                  <pic:blipFill>
                    <a:blip r:embed="rId10"/>
                    <a:stretch>
                      <a:fillRect/>
                    </a:stretch>
                  </pic:blipFill>
                  <pic:spPr>
                    <a:xfrm>
                      <a:off x="0" y="0"/>
                      <a:ext cx="5579110" cy="1326515"/>
                    </a:xfrm>
                    <a:prstGeom prst="rect">
                      <a:avLst/>
                    </a:prstGeom>
                    <a:noFill/>
                    <a:ln w="9525">
                      <a:noFill/>
                    </a:ln>
                  </pic:spPr>
                </pic:pic>
              </a:graphicData>
            </a:graphic>
          </wp:anchor>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A06012《原油天然气增值税纳税申报表》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合作油（气）田的原油、天然气增值税按期申报纳税，纳税期限可以是</w:t>
      </w:r>
      <w:r>
        <w:rPr>
          <w:color w:val="auto"/>
        </w:rPr>
        <w:t>1</w:t>
      </w:r>
      <w:r>
        <w:rPr>
          <w:rFonts w:hint="eastAsia"/>
          <w:color w:val="auto"/>
        </w:rPr>
        <w:t>日、</w:t>
      </w:r>
      <w:r>
        <w:rPr>
          <w:color w:val="auto"/>
        </w:rPr>
        <w:t>3</w:t>
      </w:r>
      <w:r>
        <w:rPr>
          <w:rFonts w:hint="eastAsia"/>
          <w:color w:val="auto"/>
        </w:rPr>
        <w:t>日、</w:t>
      </w:r>
      <w:r>
        <w:rPr>
          <w:color w:val="auto"/>
        </w:rPr>
        <w:t>5</w:t>
      </w:r>
      <w:r>
        <w:rPr>
          <w:rFonts w:hint="eastAsia"/>
          <w:color w:val="auto"/>
        </w:rPr>
        <w:t>日、</w:t>
      </w:r>
      <w:r>
        <w:rPr>
          <w:color w:val="auto"/>
        </w:rPr>
        <w:t>10</w:t>
      </w:r>
      <w:r>
        <w:rPr>
          <w:rFonts w:hint="eastAsia"/>
          <w:color w:val="auto"/>
        </w:rPr>
        <w:t>日、</w:t>
      </w:r>
      <w:r>
        <w:rPr>
          <w:color w:val="auto"/>
        </w:rPr>
        <w:t>15</w:t>
      </w:r>
      <w:r>
        <w:rPr>
          <w:rFonts w:hint="eastAsia"/>
          <w:color w:val="auto"/>
        </w:rPr>
        <w:t>日或</w:t>
      </w:r>
      <w:r>
        <w:rPr>
          <w:color w:val="auto"/>
        </w:rPr>
        <w:t>1</w:t>
      </w:r>
      <w:r>
        <w:rPr>
          <w:rFonts w:hint="eastAsia"/>
          <w:color w:val="auto"/>
        </w:rPr>
        <w:t>个月。鉴于每月实际油价一般在次月</w:t>
      </w:r>
      <w:r>
        <w:rPr>
          <w:color w:val="auto"/>
        </w:rPr>
        <w:t>10</w:t>
      </w:r>
      <w:r>
        <w:rPr>
          <w:rFonts w:hint="eastAsia"/>
          <w:color w:val="auto"/>
        </w:rPr>
        <w:t>日左右才能确定，因此采用按期纳税的纳税人，应自确定的纳税期限期满之日起</w:t>
      </w:r>
      <w:r>
        <w:rPr>
          <w:color w:val="auto"/>
        </w:rPr>
        <w:t>5</w:t>
      </w:r>
      <w:r>
        <w:rPr>
          <w:rFonts w:hint="eastAsia"/>
          <w:color w:val="auto"/>
        </w:rPr>
        <w:t>日内预缴税款，于次月</w:t>
      </w:r>
      <w:r>
        <w:rPr>
          <w:color w:val="auto"/>
        </w:rPr>
        <w:t>1</w:t>
      </w:r>
      <w:r>
        <w:rPr>
          <w:rFonts w:hint="eastAsia"/>
          <w:color w:val="auto"/>
        </w:rPr>
        <w:t>日起</w:t>
      </w:r>
      <w:r>
        <w:rPr>
          <w:color w:val="auto"/>
        </w:rPr>
        <w:t>15</w:t>
      </w:r>
      <w:r>
        <w:rPr>
          <w:rFonts w:hint="eastAsia"/>
          <w:color w:val="auto"/>
        </w:rPr>
        <w:t>日内申报纳税并结清上月应纳税款。遇最后一日是法定休假日的，以休假日期满的次日为期限的最后一日；在期限内有连续</w:t>
      </w:r>
      <w:r>
        <w:rPr>
          <w:color w:val="auto"/>
        </w:rPr>
        <w:t>3</w:t>
      </w:r>
      <w:r>
        <w:rPr>
          <w:rFonts w:hint="eastAsia"/>
          <w:color w:val="auto"/>
        </w:rPr>
        <w:t>日以上法定休假日的，按休假日天数顺延。中国海洋石油总公司海上自营油（气）田比照上述有关规定执行。</w:t>
      </w:r>
    </w:p>
    <w:p>
      <w:pPr>
        <w:ind w:firstLine="472"/>
        <w:rPr>
          <w:color w:val="auto"/>
        </w:rPr>
      </w:pPr>
      <w:r>
        <w:rPr>
          <w:color w:val="auto"/>
        </w:rPr>
        <w:t>2.</w:t>
      </w:r>
      <w:r>
        <w:rPr>
          <w:rFonts w:hint="eastAsia"/>
          <w:color w:val="auto"/>
        </w:rPr>
        <w:t>纳税人对报送资料的真实性和合法性承担责任。</w:t>
      </w:r>
    </w:p>
    <w:p>
      <w:pPr>
        <w:ind w:firstLine="472"/>
        <w:jc w:val="left"/>
        <w:rPr>
          <w:color w:val="auto"/>
        </w:rPr>
      </w:pPr>
      <w:r>
        <w:rPr>
          <w:color w:val="auto"/>
        </w:rPr>
        <w:t>3.</w:t>
      </w:r>
      <w:r>
        <w:rPr>
          <w:rFonts w:hint="eastAsia"/>
          <w:color w:val="auto"/>
        </w:rPr>
        <w:t>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2026B72"/>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2019-10-31T03:44:09Z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