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840"/>
      <w:r>
        <w:rPr>
          <w:rFonts w:hint="eastAsia" w:ascii="黑体" w:hAnsi="黑体"/>
          <w:color w:val="auto"/>
        </w:rPr>
        <w:t>1.3.14.3其他情况土地增值税申报</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其他情况土地增值税申报</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rFonts w:hint="default"/>
          <w:color w:val="auto"/>
        </w:rPr>
      </w:pPr>
      <w:r>
        <w:rPr>
          <w:color w:val="auto"/>
        </w:rPr>
        <w:t>三、</w:t>
      </w:r>
      <w:r>
        <w:rPr>
          <w:rFonts w:hint="default"/>
          <w:color w:val="auto"/>
          <w:lang w:val="en-US" w:eastAsia="zh-CN"/>
        </w:rPr>
        <w:t>办理条件</w:t>
      </w:r>
    </w:p>
    <w:p>
      <w:pPr>
        <w:pStyle w:val="47"/>
        <w:ind w:firstLineChars="0"/>
        <w:rPr>
          <w:bCs/>
          <w:color w:val="auto"/>
        </w:rPr>
      </w:pPr>
      <w:r>
        <w:rPr>
          <w:rFonts w:hint="eastAsia"/>
          <w:bCs/>
          <w:color w:val="auto"/>
        </w:rPr>
        <w:t>转让国有土地使用权、地上的建筑物及其附着物（以下简称转让房地产）并取得收入的非房地产开发的纳税人应当依照税收法律、法规、规章及其他有关规定，自转让房地产合同签订之日起</w:t>
      </w:r>
      <w:r>
        <w:rPr>
          <w:bCs/>
          <w:color w:val="auto"/>
        </w:rPr>
        <w:t>7日内提交房屋及建筑物产权、土地使用权证书，土地转让、房产买卖合同，房地产评估报告及其他与转让房地产有关的资料，向税务机关进行纳税申报，缴纳土地增值税。</w:t>
      </w:r>
    </w:p>
    <w:p>
      <w:pPr>
        <w:pStyle w:val="3"/>
        <w:ind w:firstLine="552"/>
        <w:rPr>
          <w:color w:val="auto"/>
        </w:rPr>
      </w:pPr>
      <w:r>
        <w:rPr>
          <w:rFonts w:hint="default"/>
          <w:color w:val="auto"/>
        </w:rPr>
        <w:t>四、设定依据</w:t>
      </w:r>
    </w:p>
    <w:p>
      <w:pPr>
        <w:pStyle w:val="47"/>
        <w:ind w:firstLine="354" w:firstLineChars="150"/>
        <w:rPr>
          <w:color w:val="auto"/>
        </w:rPr>
      </w:pPr>
      <w:r>
        <w:rPr>
          <w:color w:val="auto"/>
        </w:rPr>
        <w:t>1.《中华人民共和国税收征收管理法》第二十五条第一款</w:t>
      </w:r>
    </w:p>
    <w:p>
      <w:pPr>
        <w:pStyle w:val="47"/>
        <w:ind w:firstLine="354" w:firstLineChars="150"/>
        <w:rPr>
          <w:color w:val="auto"/>
        </w:rPr>
      </w:pPr>
      <w:r>
        <w:rPr>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47"/>
        <w:ind w:firstLine="354" w:firstLineChars="150"/>
        <w:rPr>
          <w:rFonts w:eastAsia="黑体" w:asciiTheme="majorHAnsi" w:hAnsiTheme="majorHAnsi" w:cstheme="majorBidi"/>
          <w:bCs/>
          <w:color w:val="auto"/>
          <w:sz w:val="28"/>
          <w:szCs w:val="32"/>
        </w:rPr>
      </w:pPr>
      <w:r>
        <w:rPr>
          <w:color w:val="auto"/>
        </w:rPr>
        <w:t>2.《中华人民共和国土地增值税暂行条例》第六条</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“计算增值额的扣除项目：</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（一）取得土地使用权所支付的金额；</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（二）开发土地的成本、费用；</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（三）新建房及配套设施的成本、费用，或者旧房及建筑物的评估价格；</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（四）与转让房地产有关的税金；</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（五）财政部规定的其他扣除项目。”</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3.《中华人民共和国土地增值税暂行条例实施细则》第七条</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“条例第六条所列的计算增值额的扣除项目，具体为：</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（一）取得土地使用权所支付的金额，是指纳税人为取得土地使用权所支付的地价款和按国家统一规定交纳的有关费用。</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二）开发土地和新建房及配套设施（以下简称房增开发）的成本，是指纳税人房地产开发项目实际发生的成本（以下简称房增开发成本），包括土地征用及拆迁补偿费、前期工程费、建筑安装工程费、基础设施费、公共配套设施费、开发间接费用。</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土地征用及拆迁补偿费，包括土地征用费、耕地占用税、劳动力安置费及有关地上、地下附着物拆迁补偿的净支出、安置动迁用房支出等。</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前期工程费，包括规划、设计、项目可行性研究和水文、地质、勘察、测绘、“三通一平”等支出。</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建筑安装工程费，是指以出包方式支付给承包单位的建筑安装工程费，以自营方式发生的建筑安装工程费。</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基础设施费，包括开发小区内道路、供水、供电、供气、排污、排洪、通讯、照明、环卫、绿化等工程发生的支出。</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公共配套设施费，包括不能有偿转让的开发小区内公共配套设施发生的支出。</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开发间接费用，是指直接组织、管理开发项目发生的费用，包括工资、职工福利费、折旧费、修理费、办公费、水电费、劳动保护费、周转房摊销等。</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（三）开发土地和新建房及配套设施的费用（以下简称房地产开发费用），是指与房地产开发项目有关的销售费用、管理费用、财务费用。</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财务费用中的利息支出，凡能够按转让房地产项目计算分摊并提供金融机构证明的，允许据实扣除，但最高不能超过按商业银行同类同期贷款利率计算的金额。其他房地产开发费用，按本条（一）、（二）项规定计算的金额之和的5%以内计算扣除。</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凡不能按转让房地产项目计算分摊利息支出或不能提供金融机构证明的，房地产开发费用按本条（一）、（二）项规定计算的金额之和的10%以内计算扣除。</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上述计算扣除的具体比例，由各省、自治区、直辖市人民政府规定。</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（四）旧房及建筑物的评估价格，是指在转让已使用的房屋及建筑物时，由政府批准设立的房地产评估机构评定的重置成本价乘以成新度折扣率后的价格。评估价格须经当地税务机关确认。</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（五）与转让房地产有关的税金，是指在转让房地产时缴纳的营业税、城市维护建设税、印花税。因转让房地产交纳的教育费附加，也可视同税金予以扣除。</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（六）根据条例第六条（五）项规定，对从事房地产开发的纳税人可按本条（一）、（二）项规定计算的金额之和，加计20%的扣除。”</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4"/>
              <w:widowControl/>
              <w:spacing w:line="280" w:lineRule="exact"/>
              <w:ind w:firstLine="352"/>
              <w:jc w:val="both"/>
              <w:rPr>
                <w:rFonts w:ascii="宋体" w:hAnsi="宋体" w:eastAsia="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rPr>
                <w:color w:val="auto"/>
                <w:sz w:val="18"/>
                <w:szCs w:val="18"/>
              </w:rPr>
            </w:pPr>
            <w:r>
              <w:rPr>
                <w:rFonts w:hint="eastAsia" w:cs="宋体"/>
                <w:color w:val="auto"/>
                <w:kern w:val="0"/>
                <w:sz w:val="18"/>
                <w:szCs w:val="18"/>
              </w:rPr>
              <w:t>《土地增值税纳税申报表（三）（非从事房地产开发的纳税人适用）》</w:t>
            </w:r>
          </w:p>
        </w:tc>
        <w:tc>
          <w:tcPr>
            <w:tcW w:w="709" w:type="dxa"/>
            <w:shd w:val="clear" w:color="auto" w:fill="auto"/>
            <w:vAlign w:val="center"/>
          </w:tcPr>
          <w:p>
            <w:pPr>
              <w:widowControl/>
              <w:spacing w:line="280" w:lineRule="exact"/>
              <w:ind w:firstLine="0" w:firstLineChars="0"/>
              <w:jc w:val="center"/>
              <w:rPr>
                <w:rStyle w:val="17"/>
                <w:rFonts w:cs="微软雅黑"/>
                <w:b w:val="0"/>
                <w:color w:val="auto"/>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非从事房地产开发的纳税人在签订房地产转让合同后7日内</w:t>
            </w:r>
          </w:p>
        </w:tc>
        <w:tc>
          <w:tcPr>
            <w:tcW w:w="1134" w:type="dxa"/>
            <w:vAlign w:val="center"/>
          </w:tcPr>
          <w:p>
            <w:pPr>
              <w:pStyle w:val="64"/>
              <w:widowControl/>
              <w:spacing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4"/>
              <w:widowControl/>
              <w:spacing w:line="280" w:lineRule="exact"/>
              <w:ind w:firstLine="352"/>
              <w:jc w:val="both"/>
              <w:rPr>
                <w:rFonts w:ascii="宋体" w:hAnsi="宋体" w:eastAsia="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《土地增值税纳税申报表（七）（非从事房地产开发的纳税人核定征收适用）》</w:t>
            </w:r>
          </w:p>
        </w:tc>
        <w:tc>
          <w:tcPr>
            <w:tcW w:w="709" w:type="dxa"/>
            <w:shd w:val="clear" w:color="auto" w:fill="auto"/>
            <w:vAlign w:val="center"/>
          </w:tcPr>
          <w:p>
            <w:pPr>
              <w:widowControl/>
              <w:spacing w:line="280" w:lineRule="exact"/>
              <w:ind w:firstLine="0" w:firstLineChars="0"/>
              <w:jc w:val="center"/>
              <w:rPr>
                <w:rStyle w:val="17"/>
                <w:rFonts w:cs="微软雅黑"/>
                <w:b w:val="0"/>
                <w:color w:val="auto"/>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非从事房地产开发的纳税人核定征收时报送</w:t>
            </w:r>
          </w:p>
        </w:tc>
        <w:tc>
          <w:tcPr>
            <w:tcW w:w="1134" w:type="dxa"/>
            <w:vAlign w:val="center"/>
          </w:tcPr>
          <w:p>
            <w:pPr>
              <w:pStyle w:val="64"/>
              <w:widowControl/>
              <w:spacing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4"/>
              <w:widowControl/>
              <w:spacing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房屋所有权证复印件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非从事房地产开发的纳税人申报土地增值税</w:t>
            </w:r>
          </w:p>
        </w:tc>
        <w:tc>
          <w:tcPr>
            <w:tcW w:w="1134" w:type="dxa"/>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4"/>
              <w:widowControl/>
              <w:spacing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4</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土地使用权证复印件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非从事房地产开发的纳税人申报土地增值税</w:t>
            </w:r>
          </w:p>
        </w:tc>
        <w:tc>
          <w:tcPr>
            <w:tcW w:w="1134" w:type="dxa"/>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4"/>
              <w:widowControl/>
              <w:spacing w:line="280" w:lineRule="exact"/>
              <w:ind w:firstLine="352"/>
              <w:jc w:val="both"/>
              <w:rPr>
                <w:rFonts w:ascii="宋体" w:hAnsi="宋体" w:eastAsia="宋体"/>
                <w:color w:val="auto"/>
                <w:sz w:val="18"/>
                <w:szCs w:val="18"/>
              </w:rPr>
            </w:pPr>
            <w:r>
              <w:rPr>
                <w:rFonts w:hint="eastAsia" w:ascii="宋体" w:hAnsi="宋体" w:eastAsia="宋体" w:cs="微软雅黑"/>
                <w:color w:val="auto"/>
                <w:sz w:val="18"/>
                <w:szCs w:val="18"/>
              </w:rPr>
              <w:t>5</w:t>
            </w:r>
          </w:p>
        </w:tc>
        <w:tc>
          <w:tcPr>
            <w:tcW w:w="2551" w:type="dxa"/>
            <w:shd w:val="clear" w:color="auto" w:fill="auto"/>
            <w:vAlign w:val="center"/>
          </w:tcPr>
          <w:p>
            <w:pPr>
              <w:widowControl/>
              <w:spacing w:line="280" w:lineRule="exact"/>
              <w:ind w:firstLine="0" w:firstLineChars="0"/>
              <w:rPr>
                <w:color w:val="auto"/>
                <w:sz w:val="18"/>
                <w:szCs w:val="18"/>
              </w:rPr>
            </w:pPr>
            <w:r>
              <w:rPr>
                <w:rFonts w:hint="eastAsia" w:cs="宋体"/>
                <w:color w:val="auto"/>
                <w:kern w:val="0"/>
                <w:sz w:val="18"/>
                <w:szCs w:val="18"/>
              </w:rPr>
              <w:t>房屋买卖合同复印件</w:t>
            </w:r>
          </w:p>
        </w:tc>
        <w:tc>
          <w:tcPr>
            <w:tcW w:w="709"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color w:val="auto"/>
                <w:sz w:val="18"/>
                <w:szCs w:val="18"/>
              </w:rPr>
            </w:pPr>
            <w:r>
              <w:rPr>
                <w:rFonts w:hint="eastAsia" w:cs="宋体"/>
                <w:color w:val="auto"/>
                <w:kern w:val="0"/>
                <w:sz w:val="18"/>
                <w:szCs w:val="18"/>
              </w:rPr>
              <w:t>非从事房地产开发的纳税人申报土地增值税</w:t>
            </w:r>
          </w:p>
        </w:tc>
        <w:tc>
          <w:tcPr>
            <w:tcW w:w="1134" w:type="dxa"/>
            <w:vAlign w:val="center"/>
          </w:tcPr>
          <w:p>
            <w:pPr>
              <w:widowControl/>
              <w:spacing w:line="280" w:lineRule="exact"/>
              <w:ind w:firstLine="0" w:firstLineChars="0"/>
              <w:jc w:val="center"/>
              <w:rPr>
                <w:color w:val="auto"/>
                <w:sz w:val="18"/>
                <w:szCs w:val="18"/>
              </w:rPr>
            </w:pPr>
            <w:r>
              <w:rPr>
                <w:rFonts w:hint="eastAsia"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4"/>
              <w:widowControl/>
              <w:spacing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6</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房地产评估报告复印件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非从事房地产开发的纳税人申报土地增值税</w:t>
            </w:r>
          </w:p>
        </w:tc>
        <w:tc>
          <w:tcPr>
            <w:tcW w:w="1134" w:type="dxa"/>
            <w:vAlign w:val="center"/>
          </w:tcPr>
          <w:p>
            <w:pPr>
              <w:widowControl/>
              <w:spacing w:line="280" w:lineRule="exact"/>
              <w:ind w:firstLine="176" w:firstLineChars="100"/>
              <w:jc w:val="center"/>
              <w:rPr>
                <w:rFonts w:cs="宋体"/>
                <w:color w:val="auto"/>
                <w:kern w:val="0"/>
                <w:sz w:val="18"/>
                <w:szCs w:val="18"/>
              </w:rPr>
            </w:pPr>
            <w:r>
              <w:rPr>
                <w:rFonts w:hint="eastAsia"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4"/>
              <w:widowControl/>
              <w:spacing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7</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减免土地增值税证明材料复印件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享受土地增值税优惠的纳税人报送</w:t>
            </w:r>
          </w:p>
        </w:tc>
        <w:tc>
          <w:tcPr>
            <w:tcW w:w="1134" w:type="dxa"/>
            <w:vAlign w:val="center"/>
          </w:tcPr>
          <w:p>
            <w:pPr>
              <w:widowControl/>
              <w:spacing w:line="280" w:lineRule="exact"/>
              <w:ind w:firstLine="176" w:firstLineChars="100"/>
              <w:jc w:val="center"/>
              <w:rPr>
                <w:rFonts w:cs="微软雅黑"/>
                <w:color w:val="auto"/>
                <w:sz w:val="18"/>
                <w:szCs w:val="18"/>
              </w:rPr>
            </w:pPr>
            <w:r>
              <w:rPr>
                <w:rFonts w:hint="eastAsia"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59" o:spid="_x0000_s1059" o:spt="75" type="#_x0000_t75" style="position:absolute;left:0pt;margin-left:8.6pt;margin-top:16.6pt;height:104.45pt;width:439.3pt;mso-wrap-distance-bottom:0pt;mso-wrap-distance-left:9pt;mso-wrap-distance-right:9pt;mso-wrap-distance-top:0pt;z-index:251768832;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59"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A06108《土地增值税纳税申报表（三）（非从事房地产开发的纳税人适用）》</w:t>
      </w:r>
    </w:p>
    <w:p>
      <w:pPr>
        <w:ind w:left="472" w:leftChars="200" w:firstLine="0" w:firstLineChars="0"/>
        <w:rPr>
          <w:rFonts w:hint="eastAsia"/>
          <w:color w:val="auto"/>
        </w:rPr>
      </w:pPr>
      <w:r>
        <w:rPr>
          <w:rFonts w:hint="eastAsia"/>
          <w:color w:val="auto"/>
        </w:rPr>
        <w:t>2.</w:t>
      </w:r>
      <w:r>
        <w:rPr>
          <w:color w:val="auto"/>
        </w:rPr>
        <w:t>A06677《土地增值税纳税申报表（七）（非从事房地产开发的纳税人核定征收适用）》</w:t>
      </w:r>
    </w:p>
    <w:p>
      <w:pPr>
        <w:ind w:left="472" w:leftChars="200" w:firstLine="0" w:firstLineChars="0"/>
        <w:rPr>
          <w:color w:val="auto"/>
        </w:rPr>
      </w:pPr>
      <w:r>
        <w:rPr>
          <w:rFonts w:hint="eastAsia" w:eastAsia="黑体" w:asciiTheme="majorHAnsi" w:hAnsiTheme="majorHAnsi" w:cstheme="majorBidi"/>
          <w:bCs/>
          <w:color w:val="auto"/>
          <w:sz w:val="28"/>
          <w:szCs w:val="32"/>
        </w:rPr>
        <w:t>九、注意事项</w:t>
      </w:r>
    </w:p>
    <w:p>
      <w:pPr>
        <w:ind w:firstLine="472"/>
        <w:rPr>
          <w:color w:val="auto"/>
        </w:rPr>
      </w:pPr>
      <w:r>
        <w:rPr>
          <w:color w:val="auto"/>
        </w:rPr>
        <w:t>1.纳税人对报送资料的真实性和合法性承担责任。</w:t>
      </w:r>
    </w:p>
    <w:p>
      <w:pPr>
        <w:ind w:firstLine="472"/>
        <w:rPr>
          <w:rFonts w:hint="eastAsia"/>
          <w:color w:val="auto"/>
        </w:rPr>
      </w:pPr>
      <w:r>
        <w:rPr>
          <w:color w:val="auto"/>
        </w:rPr>
        <w:t>2.最多跑一次是在资料完整且符合法定受理条件的前提下，最多只需要到税务机关跑一次。</w:t>
      </w:r>
    </w:p>
    <w:p>
      <w:pPr>
        <w:ind w:firstLine="472"/>
        <w:rPr>
          <w:color w:val="auto"/>
        </w:rPr>
      </w:pPr>
      <w:r>
        <w:rPr>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B223690"/>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2019-10-31T06:26:11Z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