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3599"/>
      <w:r>
        <w:rPr>
          <w:rFonts w:hint="eastAsia" w:ascii="黑体" w:hAnsi="黑体"/>
          <w:color w:val="auto"/>
        </w:rPr>
        <w:t>2.4.8.1农产品增值税进项税额扣除标准核定</w:t>
      </w:r>
      <w:bookmarkEnd w:id="0"/>
    </w:p>
    <w:p>
      <w:pPr>
        <w:pStyle w:val="3"/>
        <w:ind w:firstLine="552"/>
        <w:rPr>
          <w:color w:val="auto"/>
        </w:rPr>
      </w:pPr>
      <w:r>
        <w:rPr>
          <w:color w:val="auto"/>
        </w:rPr>
        <w:t>一、事项名称</w:t>
      </w:r>
    </w:p>
    <w:p>
      <w:pPr>
        <w:ind w:firstLine="472"/>
        <w:rPr>
          <w:rFonts w:hint="eastAsia"/>
          <w:color w:val="auto"/>
        </w:rPr>
      </w:pPr>
      <w:r>
        <w:rPr>
          <w:rFonts w:hint="eastAsia" w:ascii="黑体" w:hAnsi="黑体"/>
          <w:color w:val="auto"/>
        </w:rPr>
        <w:t>农产品增值税进项税额扣除标准核定</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办结方式：限时</w:t>
      </w:r>
      <w:r>
        <w:rPr>
          <w:color w:val="auto"/>
        </w:rPr>
        <w:t>办结</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w:t>
      </w:r>
      <w:r>
        <w:rPr>
          <w:rFonts w:hint="eastAsia"/>
          <w:color w:val="auto"/>
          <w:lang w:eastAsia="zh-CN"/>
        </w:rPr>
        <w:t>是</w:t>
      </w:r>
    </w:p>
    <w:p>
      <w:pPr>
        <w:pStyle w:val="3"/>
        <w:ind w:firstLine="552"/>
        <w:rPr>
          <w:color w:val="auto"/>
        </w:rPr>
      </w:pPr>
      <w:r>
        <w:rPr>
          <w:color w:val="auto"/>
        </w:rPr>
        <w:t>三、</w:t>
      </w:r>
      <w:r>
        <w:rPr>
          <w:rFonts w:hint="eastAsia" w:eastAsia="黑体" w:asciiTheme="majorHAnsi" w:hAnsiTheme="majorHAnsi" w:cstheme="majorBidi"/>
          <w:bCs/>
          <w:color w:val="auto"/>
          <w:kern w:val="2"/>
          <w:sz w:val="28"/>
          <w:szCs w:val="32"/>
          <w:lang w:val="en-US" w:eastAsia="zh-CN" w:bidi="ar-SA"/>
        </w:rPr>
        <w:t>办理条件</w:t>
      </w:r>
    </w:p>
    <w:p>
      <w:pPr>
        <w:ind w:firstLine="472"/>
        <w:rPr>
          <w:rFonts w:hint="eastAsia"/>
          <w:color w:val="auto"/>
        </w:rPr>
      </w:pPr>
      <w:r>
        <w:rPr>
          <w:rFonts w:hint="eastAsia"/>
          <w:color w:val="auto"/>
        </w:rPr>
        <w:t>增值增值税留抵税额退税，是指对符合条件的增值税一般纳税人，由于特定事项产生的留抵税额，按照一定的计算公式予以计算退还，具体包括：</w:t>
      </w:r>
    </w:p>
    <w:p>
      <w:pPr>
        <w:ind w:firstLine="472"/>
        <w:rPr>
          <w:rFonts w:hint="eastAsia"/>
          <w:color w:val="auto"/>
        </w:rPr>
      </w:pPr>
      <w:r>
        <w:rPr>
          <w:rFonts w:hint="eastAsia"/>
          <w:color w:val="auto"/>
        </w:rPr>
        <w:t>（一）对外购用于生产乙烯、芳烃类化工产品的石脑油、燃料油价格中消费税部分对应的增值税额退税</w:t>
      </w:r>
    </w:p>
    <w:p>
      <w:pPr>
        <w:ind w:firstLine="472"/>
        <w:rPr>
          <w:rFonts w:hint="eastAsia"/>
          <w:color w:val="auto"/>
        </w:rPr>
      </w:pPr>
      <w:r>
        <w:rPr>
          <w:rFonts w:hint="eastAsia"/>
          <w:color w:val="auto"/>
        </w:rPr>
        <w:t>自2014年3月1日起，对外购用于生产乙烯、芳烃类化工产品（以下称特定化工产品）的石脑油、燃料油（以下称2类油品），且使用2类油品生产特定化工产品的产量占本企业用石脑油、燃料油生产各类产品总量的50％（含）以上的企业，其外购2类油品的价格中消费税部分对应的增值税额，予以退还。企业在2014年2月28日前形成的增值税期末留抵税额，可在不超过其购进2类油品的价格中消费税部分对应的增值税的规模下，申请一次性退还。</w:t>
      </w:r>
    </w:p>
    <w:p>
      <w:pPr>
        <w:ind w:firstLine="472"/>
        <w:rPr>
          <w:rFonts w:hint="eastAsia"/>
          <w:color w:val="auto"/>
        </w:rPr>
      </w:pPr>
      <w:r>
        <w:rPr>
          <w:rFonts w:hint="eastAsia"/>
          <w:color w:val="auto"/>
        </w:rPr>
        <w:t>（二）自2018年7月27日起，对实行增值税期末留抵退税的纳税人，允许其从城市维护建设税、教育费附加和地方教育附加的计税（征）依据中扣除退还的增值税税额。</w:t>
      </w:r>
    </w:p>
    <w:p>
      <w:pPr>
        <w:ind w:firstLine="472"/>
        <w:rPr>
          <w:rFonts w:hint="eastAsia"/>
          <w:color w:val="auto"/>
        </w:rPr>
      </w:pPr>
      <w:r>
        <w:rPr>
          <w:rFonts w:hint="eastAsia"/>
          <w:color w:val="auto"/>
        </w:rPr>
        <w:t>（三）自2019年4月1日起，试行增值税期末留抵税额退税制度。　</w:t>
      </w:r>
    </w:p>
    <w:p>
      <w:pPr>
        <w:ind w:firstLine="472"/>
        <w:rPr>
          <w:rFonts w:hint="eastAsia"/>
          <w:color w:val="auto"/>
        </w:rPr>
      </w:pPr>
      <w:r>
        <w:rPr>
          <w:rFonts w:hint="eastAsia"/>
          <w:color w:val="auto"/>
        </w:rPr>
        <w:t>符合以下条件的纳税人，可以向主管税务机关申请退还增量留抵税额：自2019年4月税款所属期起，连续六个月（按季纳税的，连续两个季度）增量留抵税额均大于零，且第六个月增量留抵税额不低于50万元；纳税信用等级为A级或者B级；申请退税前36个月未发生骗取留抵退税、出口退税或虚开增值税专用发票情形的；申请退税前36个月未因偷税被税务机关处罚两次及以上的；自2019年4月1日起未享受即征即退、先征后返（退）政策的。</w:t>
      </w:r>
    </w:p>
    <w:p>
      <w:pPr>
        <w:ind w:firstLine="472"/>
        <w:rPr>
          <w:rFonts w:hint="eastAsia" w:eastAsia="宋体"/>
          <w:color w:val="auto"/>
          <w:lang w:eastAsia="zh-CN"/>
        </w:rPr>
      </w:pPr>
      <w:r>
        <w:rPr>
          <w:rFonts w:hint="eastAsia"/>
          <w:color w:val="auto"/>
        </w:rPr>
        <w:t>（四）自2019年6月1日起,同时符合以下条件的部分先进制造业纳税人,可以自2019年7月及以后纳税申报期向主管税务机关申请退还增量留抵税额:</w:t>
      </w:r>
    </w:p>
    <w:p>
      <w:pPr>
        <w:ind w:firstLine="472"/>
        <w:rPr>
          <w:rFonts w:hint="eastAsia" w:eastAsia="宋体"/>
          <w:color w:val="auto"/>
          <w:lang w:eastAsia="zh-CN"/>
        </w:rPr>
      </w:pPr>
      <w:r>
        <w:rPr>
          <w:rFonts w:hint="eastAsia"/>
          <w:color w:val="auto"/>
        </w:rPr>
        <w:t>1.增量留抵税额大于零;</w:t>
      </w:r>
    </w:p>
    <w:p>
      <w:pPr>
        <w:ind w:firstLine="472"/>
        <w:rPr>
          <w:rFonts w:hint="eastAsia" w:eastAsia="宋体"/>
          <w:color w:val="auto"/>
          <w:lang w:eastAsia="zh-CN"/>
        </w:rPr>
      </w:pPr>
      <w:r>
        <w:rPr>
          <w:rFonts w:hint="eastAsia"/>
          <w:color w:val="auto"/>
        </w:rPr>
        <w:t>2.纳税信用等级为A级或者B级;</w:t>
      </w:r>
    </w:p>
    <w:p>
      <w:pPr>
        <w:ind w:firstLine="472"/>
        <w:rPr>
          <w:rFonts w:hint="eastAsia" w:eastAsia="宋体"/>
          <w:color w:val="auto"/>
          <w:lang w:eastAsia="zh-CN"/>
        </w:rPr>
      </w:pPr>
      <w:r>
        <w:rPr>
          <w:rFonts w:hint="eastAsia"/>
          <w:color w:val="auto"/>
        </w:rPr>
        <w:t>3.申请退税前36个月未发生骗取留抵退税、出口退税或虚开增值税专用发票情形;</w:t>
      </w:r>
    </w:p>
    <w:p>
      <w:pPr>
        <w:ind w:firstLine="472"/>
        <w:rPr>
          <w:rFonts w:hint="eastAsia" w:eastAsia="宋体"/>
          <w:color w:val="auto"/>
          <w:lang w:eastAsia="zh-CN"/>
        </w:rPr>
      </w:pPr>
      <w:r>
        <w:rPr>
          <w:rFonts w:hint="eastAsia"/>
          <w:color w:val="auto"/>
        </w:rPr>
        <w:t>4.申请退税前36个月未因偷税被税务机关处罚两次及以上;</w:t>
      </w:r>
    </w:p>
    <w:p>
      <w:pPr>
        <w:ind w:firstLine="472"/>
        <w:rPr>
          <w:rFonts w:hint="eastAsia"/>
          <w:color w:val="auto"/>
        </w:rPr>
      </w:pPr>
      <w:r>
        <w:rPr>
          <w:rFonts w:hint="eastAsia"/>
          <w:color w:val="auto"/>
        </w:rPr>
        <w:t>5.自2019年4月1日起未享受即征即退、先征后返(退)政策。</w:t>
      </w:r>
    </w:p>
    <w:p>
      <w:pPr>
        <w:ind w:firstLine="472"/>
        <w:rPr>
          <w:rFonts w:hint="eastAsia" w:eastAsia="宋体"/>
          <w:color w:val="auto"/>
          <w:lang w:eastAsia="zh-CN"/>
        </w:rPr>
      </w:pPr>
      <w:r>
        <w:rPr>
          <w:rFonts w:hint="eastAsia"/>
          <w:color w:val="auto"/>
        </w:rPr>
        <w:t>部分先进制造业纳税人,是指按照《国民经济行业分类》,生产并销售非金属矿物制品、通用设备、专用设备及计算机、通信和其他电子设备销售额占全部销售额的比重超过50%的纳税人。</w:t>
      </w:r>
    </w:p>
    <w:p>
      <w:pPr>
        <w:ind w:firstLine="472"/>
        <w:rPr>
          <w:rFonts w:hint="eastAsia"/>
          <w:color w:val="auto"/>
        </w:rPr>
      </w:pPr>
      <w:r>
        <w:rPr>
          <w:rFonts w:hint="eastAsia"/>
          <w:color w:val="auto"/>
        </w:rPr>
        <w:t>上述销售额比重根据纳税人申请退税前连续12个月的销售额计算确定;申请退税前经营期不满12个月但满3个月的,按照实际经营期的销售额计算确定。</w:t>
      </w:r>
    </w:p>
    <w:p>
      <w:pPr>
        <w:ind w:firstLine="472"/>
        <w:rPr>
          <w:color w:val="auto"/>
        </w:rPr>
      </w:pPr>
      <w:r>
        <w:rPr>
          <w:rFonts w:hint="eastAsia"/>
          <w:color w:val="auto"/>
        </w:rPr>
        <w:t>除部分先进制造业纳税人以外的其他纳税人申请退还增量留抵税额的规定,继续按照《财政部　税务总局　海关总署关于深化增值税改革有关政策的公告》（财政部税务总局海关总署公告2019年第39号）执行。</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1.《中华人民共和国增值税暂行条例》（中华人民共和国国务院令538号）全文</w:t>
      </w:r>
    </w:p>
    <w:p>
      <w:pPr>
        <w:ind w:firstLine="472"/>
        <w:rPr>
          <w:rFonts w:hint="eastAsia"/>
          <w:color w:val="auto"/>
        </w:rPr>
      </w:pPr>
      <w:r>
        <w:rPr>
          <w:rFonts w:hint="eastAsia"/>
          <w:color w:val="auto"/>
        </w:rPr>
        <w:t>2.《中华人民共和国增值税暂行条例实施细则》（财政部国家税务总局令50号）全文</w:t>
      </w:r>
    </w:p>
    <w:p>
      <w:pPr>
        <w:ind w:firstLine="472"/>
        <w:rPr>
          <w:rFonts w:hint="eastAsia"/>
          <w:color w:val="auto"/>
        </w:rPr>
      </w:pPr>
      <w:r>
        <w:rPr>
          <w:rFonts w:hint="eastAsia"/>
          <w:color w:val="auto"/>
        </w:rPr>
        <w:t>3.《财政部国家税务总局关于在部分行业试行农产品增值税进项税额核定扣除办法的通知》（财税〔2012〕38号）全文</w:t>
      </w:r>
    </w:p>
    <w:p>
      <w:pPr>
        <w:ind w:firstLine="472"/>
        <w:rPr>
          <w:rFonts w:hint="eastAsia"/>
          <w:color w:val="auto"/>
        </w:rPr>
      </w:pPr>
      <w:r>
        <w:rPr>
          <w:rFonts w:hint="eastAsia"/>
          <w:color w:val="auto"/>
        </w:rPr>
        <w:t>4.《国家税务总局关于在部分行业试行农产品增值税进项税额核定扣除办法有关问题的公告》（国家税务总局公告2012年第35号）全文</w:t>
      </w:r>
    </w:p>
    <w:p>
      <w:pPr>
        <w:ind w:firstLine="472"/>
        <w:rPr>
          <w:rFonts w:hint="eastAsia"/>
          <w:color w:val="auto"/>
        </w:rPr>
      </w:pPr>
      <w:r>
        <w:rPr>
          <w:rFonts w:hint="eastAsia"/>
          <w:color w:val="auto"/>
        </w:rPr>
        <w:t>5.《财政部国家税务总局关于扩大农产品增值税进项税额核定扣除试点行业范围的通知》（财税〔2013〕57号）全文</w:t>
      </w:r>
    </w:p>
    <w:p>
      <w:pPr>
        <w:ind w:firstLine="472"/>
        <w:rPr>
          <w:color w:val="auto"/>
        </w:rPr>
      </w:pPr>
      <w:r>
        <w:rPr>
          <w:rFonts w:hint="eastAsia"/>
          <w:color w:val="auto"/>
        </w:rPr>
        <w:t>6.《国家税务总局河南省税务局河南省财政厅关于在精制茶加工业试行农产品增值税进项税额核定扣除办法的公告》（国家税务总局河南省税务局河南省财政厅公告2019年第1号）全文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《农产品增值税进项税额核定扣除试点纳税人申请核定表》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4</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hint="eastAsia" w:cs="宋体"/>
                <w:color w:val="auto"/>
                <w:kern w:val="0"/>
                <w:sz w:val="18"/>
                <w:szCs w:val="18"/>
                <w:lang w:val="en-US" w:eastAsia="zh-CN"/>
              </w:rPr>
              <w:t>3</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《扣除标准核定申请报告》</w:t>
            </w:r>
          </w:p>
          <w:p>
            <w:pPr>
              <w:widowControl/>
              <w:spacing w:line="280" w:lineRule="exact"/>
              <w:ind w:firstLine="0" w:firstLineChars="0"/>
              <w:jc w:val="left"/>
              <w:rPr>
                <w:rFonts w:hint="eastAsia" w:ascii="宋体" w:hAnsi="宋体" w:eastAsia="宋体" w:cs="宋体"/>
                <w:color w:val="auto"/>
                <w:sz w:val="18"/>
                <w:szCs w:val="18"/>
              </w:rPr>
            </w:pPr>
            <w:r>
              <w:rPr>
                <w:rFonts w:hint="eastAsia"/>
                <w:color w:val="auto"/>
                <w:sz w:val="18"/>
                <w:szCs w:val="18"/>
              </w:rPr>
              <w:t>企业报送的申请中应包括生产工艺流程、财务核算方式、上年度农产品购销存数据、上年度生产成本数据等内容</w:t>
            </w:r>
          </w:p>
        </w:tc>
        <w:tc>
          <w:tcPr>
            <w:tcW w:w="709" w:type="dxa"/>
            <w:shd w:val="clear" w:color="auto" w:fill="auto"/>
            <w:vAlign w:val="center"/>
          </w:tcPr>
          <w:p>
            <w:pPr>
              <w:widowControl/>
              <w:spacing w:line="280" w:lineRule="exact"/>
              <w:ind w:firstLine="0" w:firstLineChars="0"/>
              <w:jc w:val="center"/>
              <w:rPr>
                <w:rFonts w:ascii="宋体" w:hAnsi="宋体" w:eastAsia="宋体" w:cs="宋体"/>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p>
        </w:tc>
      </w:tr>
    </w:tbl>
    <w:p>
      <w:pPr>
        <w:pStyle w:val="3"/>
        <w:ind w:firstLine="552"/>
        <w:rPr>
          <w:rFonts w:hint="eastAsia"/>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r>
        <w:rPr>
          <w:color w:val="auto"/>
        </w:rPr>
        <w:object>
          <v:shape id="_x0000_i1162" o:spt="75" type="#_x0000_t75" style="height:149.55pt;width:486pt;" o:ole="t" filled="f" o:preferrelative="t" stroked="f" coordsize="21600,21600">
            <v:path/>
            <v:fill on="f" focussize="0,0"/>
            <v:stroke on="f"/>
            <v:imagedata r:id="rId11" o:title=""/>
            <o:lock v:ext="edit" aspectratio="t"/>
            <w10:wrap type="none"/>
            <w10:anchorlock/>
          </v:shape>
          <o:OLEObject Type="Embed" ProgID="Visio.Drawing.11" ShapeID="_x0000_i1162"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rFonts w:hint="eastAsia"/>
          <w:color w:val="auto"/>
        </w:rPr>
      </w:pPr>
      <w:r>
        <w:rPr>
          <w:rFonts w:hint="eastAsia"/>
          <w:color w:val="auto"/>
        </w:rPr>
        <w:t>资料齐全、符合法定形式的，税务机关受理后</w:t>
      </w:r>
      <w:r>
        <w:rPr>
          <w:rFonts w:hint="eastAsia"/>
          <w:color w:val="auto"/>
          <w:lang w:val="en-US" w:eastAsia="zh-CN"/>
        </w:rPr>
        <w:t>20</w:t>
      </w:r>
      <w:r>
        <w:rPr>
          <w:rFonts w:hint="eastAsia"/>
          <w:color w:val="auto"/>
        </w:rPr>
        <w:t>个工作日办结。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1.A06276《农产品增值税进项税额核定扣除试点纳税人申请核定表》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1.各级税务机关对核定的农产品增值税进项税额扣除标准进行公布。主管税务机关通过网站、报刊等多种方式及时向社会公告核定结果。未经公告的扣除标准无效。</w:t>
      </w:r>
    </w:p>
    <w:p>
      <w:pPr>
        <w:ind w:firstLine="472"/>
        <w:rPr>
          <w:rFonts w:hint="eastAsia"/>
          <w:color w:val="auto"/>
        </w:rPr>
      </w:pPr>
      <w:r>
        <w:rPr>
          <w:rFonts w:hint="eastAsia"/>
          <w:color w:val="auto"/>
        </w:rPr>
        <w:t>2.若核定的扣除标准与上年实际采用的扣除标准不同，对上年的增值税进项税额调整的业务可以通过申报错误更正处理。</w:t>
      </w:r>
    </w:p>
    <w:p>
      <w:pPr>
        <w:ind w:firstLine="472"/>
        <w:rPr>
          <w:rFonts w:hint="eastAsia"/>
          <w:color w:val="auto"/>
        </w:rPr>
      </w:pPr>
      <w:r>
        <w:rPr>
          <w:rFonts w:hint="eastAsia"/>
          <w:color w:val="auto"/>
        </w:rPr>
        <w:t>3.对于以购进农产品为原料生产货物的，农产品增值税进项税额可按照以下方法核定：</w:t>
      </w:r>
    </w:p>
    <w:p>
      <w:pPr>
        <w:ind w:firstLine="472"/>
        <w:rPr>
          <w:rFonts w:hint="eastAsia"/>
          <w:color w:val="auto"/>
        </w:rPr>
      </w:pPr>
      <w:r>
        <w:rPr>
          <w:rFonts w:hint="eastAsia"/>
          <w:color w:val="auto"/>
        </w:rPr>
        <w:t>（1）投入产出法：参照国家标准、行业标准（包括行业公认标准和行业平均耗用值）确定销售单位数量货物耗用外购农产品的数量（以下称农产品单耗数量）。</w:t>
      </w:r>
    </w:p>
    <w:p>
      <w:pPr>
        <w:ind w:firstLine="472"/>
        <w:rPr>
          <w:rFonts w:hint="eastAsia"/>
          <w:color w:val="auto"/>
        </w:rPr>
      </w:pPr>
      <w:r>
        <w:rPr>
          <w:rFonts w:hint="eastAsia"/>
          <w:color w:val="auto"/>
        </w:rPr>
        <w:t>当期允许抵扣农产品增值税进项税额依据农产品单耗数量、当期销售货物数量、农产品平均购买单价（含税，下同）和农产品增值税进项税额扣除率（以下简称“扣除率”）计算。公式为：</w:t>
      </w:r>
    </w:p>
    <w:p>
      <w:pPr>
        <w:ind w:firstLine="472"/>
        <w:rPr>
          <w:rFonts w:hint="eastAsia"/>
          <w:color w:val="auto"/>
        </w:rPr>
      </w:pPr>
      <w:r>
        <w:rPr>
          <w:rFonts w:hint="eastAsia"/>
          <w:color w:val="auto"/>
        </w:rPr>
        <w:t>当期允许抵扣农产品增值税进项税额＝当期农产品耗用数量×农产品平均购买单价×扣除率/（1＋扣除率）</w:t>
      </w:r>
    </w:p>
    <w:p>
      <w:pPr>
        <w:ind w:firstLine="472"/>
        <w:rPr>
          <w:rFonts w:hint="eastAsia"/>
          <w:color w:val="auto"/>
        </w:rPr>
      </w:pPr>
      <w:r>
        <w:rPr>
          <w:rFonts w:hint="eastAsia"/>
          <w:color w:val="auto"/>
        </w:rPr>
        <w:t>当期农产品耗用数量＝当期销售货物数量（不含采购除农产品以外的半成品生产的货物数量）×农产品单耗数量</w:t>
      </w:r>
    </w:p>
    <w:p>
      <w:pPr>
        <w:ind w:firstLine="472"/>
        <w:rPr>
          <w:rFonts w:hint="eastAsia"/>
          <w:color w:val="auto"/>
        </w:rPr>
      </w:pPr>
      <w:r>
        <w:rPr>
          <w:rFonts w:hint="eastAsia"/>
          <w:color w:val="auto"/>
        </w:rPr>
        <w:t>对以单一农产品原料生产多种货物或者多种农产品原料生产多种货物的，在核算当期农产品耗用数量和平均购买单价时，应依据合理的方法归集和分配。</w:t>
      </w:r>
    </w:p>
    <w:p>
      <w:pPr>
        <w:ind w:firstLine="472"/>
        <w:rPr>
          <w:rFonts w:hint="eastAsia"/>
          <w:color w:val="auto"/>
        </w:rPr>
      </w:pPr>
      <w:r>
        <w:rPr>
          <w:rFonts w:hint="eastAsia"/>
          <w:color w:val="auto"/>
        </w:rPr>
        <w:t>平均购买单价是指购买农产品期末平均买价，不包括买价之外单独支付的运费和入库前的整理费用。期末平均买价计算公式：</w:t>
      </w:r>
    </w:p>
    <w:p>
      <w:pPr>
        <w:ind w:firstLine="472"/>
        <w:rPr>
          <w:rFonts w:hint="eastAsia"/>
          <w:color w:val="auto"/>
        </w:rPr>
      </w:pPr>
      <w:r>
        <w:rPr>
          <w:rFonts w:hint="eastAsia"/>
          <w:color w:val="auto"/>
        </w:rPr>
        <w:t>期末平均买价＝（期初库存农产品数量×期初平均买价＋当期购进农产品数量×当期买价）/（期初库存农产品数量＋当期购进农产品数量）</w:t>
      </w:r>
    </w:p>
    <w:p>
      <w:pPr>
        <w:ind w:firstLine="472"/>
        <w:rPr>
          <w:rFonts w:hint="eastAsia"/>
          <w:color w:val="auto"/>
        </w:rPr>
      </w:pPr>
      <w:r>
        <w:rPr>
          <w:rFonts w:hint="eastAsia"/>
          <w:color w:val="auto"/>
        </w:rPr>
        <w:t>（2）成本法：依据试点纳税人年度会计核算资料，计算确定耗用农产品的外购金额占生产成本的比例（以下称农产品耗用率）。当期允许抵扣农产品增值税进项税额依据当期主营业务成本、农产品耗用率以及扣除率计算。公式为：</w:t>
      </w:r>
    </w:p>
    <w:p>
      <w:pPr>
        <w:ind w:firstLine="472"/>
        <w:rPr>
          <w:rFonts w:hint="eastAsia"/>
          <w:color w:val="auto"/>
        </w:rPr>
      </w:pPr>
      <w:r>
        <w:rPr>
          <w:rFonts w:hint="eastAsia"/>
          <w:color w:val="auto"/>
        </w:rPr>
        <w:t>当期允许抵扣农产品增值税进项税额＝当期主营业务成本×农产品耗用率×扣除率/（1＋扣除率）</w:t>
      </w:r>
    </w:p>
    <w:p>
      <w:pPr>
        <w:ind w:firstLine="472"/>
        <w:rPr>
          <w:rFonts w:hint="eastAsia"/>
          <w:color w:val="auto"/>
        </w:rPr>
      </w:pPr>
      <w:r>
        <w:rPr>
          <w:rFonts w:hint="eastAsia"/>
          <w:color w:val="auto"/>
        </w:rPr>
        <w:t>农产品耗用率＝上年投入生产的农产品外购金额/上年生产成本</w:t>
      </w:r>
    </w:p>
    <w:p>
      <w:pPr>
        <w:ind w:firstLine="472"/>
        <w:rPr>
          <w:rFonts w:hint="eastAsia"/>
          <w:color w:val="auto"/>
        </w:rPr>
      </w:pPr>
      <w:r>
        <w:rPr>
          <w:rFonts w:hint="eastAsia"/>
          <w:color w:val="auto"/>
        </w:rPr>
        <w:t>农产品外购金额（含税）不包括不构成货物实体的农产品（包括包装物、辅助材料、燃料、低值易耗品等）和在购进农产品之外单独支付的运费、入库前的整理费用。</w:t>
      </w:r>
    </w:p>
    <w:p>
      <w:pPr>
        <w:ind w:firstLine="472"/>
        <w:rPr>
          <w:rFonts w:hint="eastAsia"/>
          <w:color w:val="auto"/>
        </w:rPr>
      </w:pPr>
      <w:r>
        <w:rPr>
          <w:rFonts w:hint="eastAsia"/>
          <w:color w:val="auto"/>
        </w:rPr>
        <w:t>对以单一农产品原料生产多种货物或者多种农产品原料生产多种货物的，在核算当期主营业务成本以及核定农产品耗用率时，试点纳税人应依据合理的方法进行归集和分配。</w:t>
      </w:r>
    </w:p>
    <w:p>
      <w:pPr>
        <w:ind w:firstLine="472"/>
        <w:rPr>
          <w:rFonts w:hint="eastAsia"/>
          <w:color w:val="auto"/>
        </w:rPr>
      </w:pPr>
      <w:r>
        <w:rPr>
          <w:rFonts w:hint="eastAsia"/>
          <w:color w:val="auto"/>
        </w:rPr>
        <w:t>（3）参照法：新办的试点纳税人或者试点纳税人新增产品的，试点纳税人可参照所属行业或者生产结构相近的其他试点纳税人确定农产品单耗数量或者农产品耗用率。次年，试点纳税人向主管税务机关申请核定当期的农产品单耗数量或者农产品耗用率，并据此计算确定当年允许抵扣的农产品增值税进项税额，同时对上一年增值税进项税额进行调整。核定的进项税额超过实际抵扣增值税进项税额的，其差额部分可以结转下期继续抵扣；核定的进项税额低于实际抵扣增值税进项税额的，其差额部分应按现行增值税的有关规定将进项税额作转出处理。</w:t>
      </w:r>
    </w:p>
    <w:p>
      <w:pPr>
        <w:ind w:firstLine="472"/>
        <w:rPr>
          <w:rFonts w:hint="eastAsia"/>
          <w:color w:val="auto"/>
        </w:rPr>
      </w:pPr>
      <w:r>
        <w:rPr>
          <w:rFonts w:hint="eastAsia"/>
          <w:color w:val="auto"/>
        </w:rPr>
        <w:t>4.除附列资料列明的需归档的资料外，《农产品增值税进项税额扣除核定公告》与《税务事项通知书》（增值税进项税额扣除标准核定通知）一并进行归档。</w:t>
      </w:r>
    </w:p>
    <w:p>
      <w:pPr>
        <w:ind w:firstLine="472"/>
        <w:rPr>
          <w:color w:val="auto"/>
        </w:rPr>
      </w:pPr>
      <w:r>
        <w:rPr>
          <w:rFonts w:hint="eastAsia"/>
          <w:color w:val="auto"/>
          <w:lang w:val="en-US" w:eastAsia="zh-CN"/>
        </w:rPr>
        <w:t>5</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6</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7</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8.</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AA3787"/>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2019-10-31T05:08:49Z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