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1154"/>
      <w:r>
        <w:rPr>
          <w:rFonts w:hint="eastAsia" w:ascii="黑体" w:hAnsi="黑体"/>
          <w:color w:val="auto"/>
        </w:rPr>
        <w:t>1.3.22.</w:t>
      </w:r>
      <w:r>
        <w:rPr>
          <w:rFonts w:hint="eastAsia" w:ascii="黑体" w:hAnsi="黑体"/>
          <w:color w:val="auto"/>
          <w:lang w:val="en-US" w:eastAsia="zh-CN"/>
        </w:rPr>
        <w:t>7</w:t>
      </w:r>
      <w:r>
        <w:rPr>
          <w:rFonts w:hint="eastAsia" w:ascii="黑体" w:hAnsi="黑体"/>
          <w:color w:val="auto"/>
        </w:rPr>
        <w:t>软件和集成电路产业企业所得税优惠事项资料采集</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软件和集成电路产业企业所得税优惠事项资料采集</w:t>
      </w:r>
    </w:p>
    <w:p>
      <w:pPr>
        <w:pStyle w:val="3"/>
        <w:ind w:firstLine="552"/>
        <w:rPr>
          <w:color w:val="auto"/>
        </w:rPr>
      </w:pPr>
      <w:r>
        <w:rPr>
          <w:color w:val="auto"/>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全省通办：否</w:t>
      </w:r>
    </w:p>
    <w:p>
      <w:pPr>
        <w:pStyle w:val="47"/>
        <w:numPr>
          <w:ilvl w:val="0"/>
          <w:numId w:val="3"/>
        </w:numPr>
        <w:ind w:firstLineChars="0"/>
        <w:rPr>
          <w:rFonts w:hint="eastAsia"/>
          <w:color w:val="auto"/>
        </w:rPr>
      </w:pPr>
      <w:r>
        <w:rPr>
          <w:rFonts w:hint="eastAsia"/>
          <w:color w:val="auto"/>
        </w:rPr>
        <w:t>网上办理：否</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享受《财政部国家税务总局发展改革委工业和信息化部关于软件和集成电路产业企业所得税优惠政策有关问题的通知》（财税〔2016〕49号）文规定优惠政策的企业应当在完成年度汇算清缴后，按照《企业所得税优惠管理事项目录（2017年版）》“后续管理要求”项目中列示的清单向税务机关提交资料。对于后续管理的提交资料，由省级税务机关汇总企业名单和资料后转请有关部门核查。</w:t>
      </w:r>
    </w:p>
    <w:p>
      <w:pPr>
        <w:pStyle w:val="3"/>
        <w:ind w:firstLine="552"/>
        <w:rPr>
          <w:color w:val="auto"/>
        </w:rPr>
      </w:pPr>
      <w:r>
        <w:rPr>
          <w:rFonts w:hint="eastAsia"/>
          <w:color w:val="auto"/>
        </w:rPr>
        <w:t>四、设定依据</w:t>
      </w:r>
    </w:p>
    <w:p>
      <w:pPr>
        <w:ind w:firstLine="472"/>
        <w:rPr>
          <w:rFonts w:hint="eastAsia"/>
          <w:color w:val="auto"/>
        </w:rPr>
      </w:pPr>
      <w:r>
        <w:rPr>
          <w:rFonts w:hint="eastAsia"/>
          <w:color w:val="auto"/>
          <w:lang w:val="en-US" w:eastAsia="zh-CN"/>
        </w:rPr>
        <w:t>1.</w:t>
      </w:r>
      <w:r>
        <w:rPr>
          <w:rFonts w:hint="eastAsia"/>
          <w:color w:val="auto"/>
        </w:rPr>
        <w:t>《企业所得税优惠政策事项办理办法》（国家税务总局公告</w:t>
      </w:r>
      <w:r>
        <w:rPr>
          <w:rFonts w:hint="eastAsia"/>
          <w:color w:val="auto"/>
          <w:lang w:eastAsia="zh-CN"/>
        </w:rPr>
        <w:t>2015</w:t>
      </w:r>
      <w:r>
        <w:rPr>
          <w:rFonts w:hint="eastAsia"/>
          <w:color w:val="auto"/>
        </w:rPr>
        <w:t>年第</w:t>
      </w:r>
      <w:r>
        <w:rPr>
          <w:rFonts w:hint="eastAsia"/>
          <w:color w:val="auto"/>
          <w:lang w:eastAsia="zh-CN"/>
        </w:rPr>
        <w:t>76</w:t>
      </w:r>
      <w:r>
        <w:rPr>
          <w:rFonts w:hint="eastAsia"/>
          <w:color w:val="auto"/>
        </w:rPr>
        <w:t>号公布，国家税务总局公告</w:t>
      </w:r>
      <w:r>
        <w:rPr>
          <w:rFonts w:hint="eastAsia"/>
          <w:color w:val="auto"/>
          <w:lang w:eastAsia="zh-CN"/>
        </w:rPr>
        <w:t>2018</w:t>
      </w:r>
      <w:r>
        <w:rPr>
          <w:rFonts w:hint="eastAsia"/>
          <w:color w:val="auto"/>
        </w:rPr>
        <w:t>年第</w:t>
      </w:r>
      <w:r>
        <w:rPr>
          <w:rFonts w:hint="eastAsia"/>
          <w:color w:val="auto"/>
          <w:lang w:eastAsia="zh-CN"/>
        </w:rPr>
        <w:t>23</w:t>
      </w:r>
      <w:r>
        <w:rPr>
          <w:rFonts w:hint="eastAsia"/>
          <w:color w:val="auto"/>
        </w:rPr>
        <w:t>号修改）第十二条</w:t>
      </w:r>
    </w:p>
    <w:p>
      <w:pPr>
        <w:ind w:firstLine="472"/>
        <w:rPr>
          <w:rFonts w:hint="eastAsia" w:eastAsia="宋体"/>
          <w:color w:val="auto"/>
          <w:lang w:eastAsia="zh-CN"/>
        </w:rPr>
      </w:pPr>
      <w:r>
        <w:rPr>
          <w:rFonts w:hint="eastAsia"/>
          <w:color w:val="auto"/>
          <w:lang w:eastAsia="zh-CN"/>
        </w:rPr>
        <w:t>“</w:t>
      </w:r>
      <w:r>
        <w:rPr>
          <w:rFonts w:hint="eastAsia"/>
          <w:color w:val="auto"/>
        </w:rPr>
        <w:t>企业享受优惠事项后，税务机关将适时开展后续管理。在后续管理时，企业应当根据税务机关管理服务的需要，按照规定的期限和方式提供留存备查资料，以证实享受优惠事项符合条件。其中，享受集成电路生产企业、集成电路设计企业、软件企业、国家规划布局内的重点软件企业和集成电路设计企业等优惠事项的企业,应当在完成年度汇算清缴后，按照《目录》“后续管理要求”项目中列示的清单向税务机关提交资料。</w:t>
      </w:r>
      <w:r>
        <w:rPr>
          <w:rFonts w:hint="eastAsia"/>
          <w:color w:val="auto"/>
          <w:lang w:eastAsia="zh-CN"/>
        </w:rPr>
        <w:t>”</w:t>
      </w:r>
    </w:p>
    <w:p>
      <w:pPr>
        <w:pStyle w:val="3"/>
        <w:numPr>
          <w:ilvl w:val="0"/>
          <w:numId w:val="4"/>
        </w:numPr>
        <w:ind w:firstLine="552"/>
        <w:rPr>
          <w:rFonts w:hint="eastAsia"/>
          <w:color w:val="auto"/>
        </w:rPr>
      </w:pPr>
      <w:r>
        <w:rPr>
          <w:rFonts w:hint="eastAsia"/>
          <w:color w:val="auto"/>
        </w:rPr>
        <w:t>办理材料</w:t>
      </w:r>
    </w:p>
    <w:p>
      <w:pPr>
        <w:numPr>
          <w:ilvl w:val="0"/>
          <w:numId w:val="0"/>
        </w:numPr>
        <w:ind w:firstLine="472" w:firstLineChars="200"/>
        <w:rPr>
          <w:rFonts w:hint="eastAsia"/>
          <w:color w:val="auto"/>
        </w:rPr>
      </w:pPr>
      <w:r>
        <w:rPr>
          <w:rFonts w:hint="eastAsia"/>
          <w:color w:val="auto"/>
        </w:rPr>
        <w:t>1.集成电路生产企业提交资料的报送条件为享受49号文规定优惠政策时报送，报送时间为完成年度汇算清缴后，汇算清缴期结束前。</w:t>
      </w:r>
    </w:p>
    <w:p>
      <w:pPr>
        <w:numPr>
          <w:ilvl w:val="0"/>
          <w:numId w:val="0"/>
        </w:numPr>
        <w:ind w:firstLine="472" w:firstLineChars="200"/>
        <w:rPr>
          <w:rFonts w:hint="default" w:eastAsia="宋体"/>
          <w:color w:val="auto"/>
          <w:lang w:val="en-US" w:eastAsia="zh-CN"/>
        </w:rPr>
      </w:pPr>
      <w:r>
        <w:rPr>
          <w:rFonts w:hint="eastAsia"/>
          <w:color w:val="auto"/>
        </w:rPr>
        <w:t>集成电路生产企业报送资料清单：</w:t>
      </w:r>
    </w:p>
    <w:tbl>
      <w:tblPr>
        <w:tblStyle w:val="15"/>
        <w:tblW w:w="850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ascii="宋体" w:hAnsi="宋体" w:cs="微软雅黑"/>
                <w:color w:val="auto"/>
                <w:sz w:val="18"/>
                <w:szCs w:val="18"/>
              </w:rPr>
              <w:t>1</w:t>
            </w:r>
          </w:p>
        </w:tc>
        <w:tc>
          <w:tcPr>
            <w:tcW w:w="2551"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在发展改革或工业和信息化部门立项的备案文件（应注明总投资额、工艺线宽标准）复印件以及企业取得的资质证书复印件等；</w:t>
            </w:r>
          </w:p>
        </w:tc>
        <w:tc>
          <w:tcPr>
            <w:tcW w:w="709"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widowControl/>
              <w:spacing w:before="100" w:after="100"/>
              <w:ind w:firstLine="0" w:firstLineChars="0"/>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hint="eastAsia" w:ascii="宋体" w:hAnsi="宋体" w:cs="微软雅黑"/>
                <w:color w:val="auto"/>
                <w:sz w:val="18"/>
                <w:szCs w:val="18"/>
              </w:rPr>
              <w:t>2</w:t>
            </w:r>
          </w:p>
        </w:tc>
        <w:tc>
          <w:tcPr>
            <w:tcW w:w="2551"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企业职工人数、学历结构、研究开发人员情况及其占企业职工总数的比例说明，以及汇算清缴年度最后一个月社会保险缴纳证明等证明材料；</w:t>
            </w:r>
          </w:p>
        </w:tc>
        <w:tc>
          <w:tcPr>
            <w:tcW w:w="709"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3</w:t>
            </w:r>
          </w:p>
        </w:tc>
        <w:tc>
          <w:tcPr>
            <w:tcW w:w="2551"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加工集成电路产品主要列表及国家知识产权局（或国外知识产权相关主管机构）出具的企业自主开发或拥有的一至两份代表性知识产权（如专利、布图设计登记、软件著作权等）的证明材料</w:t>
            </w:r>
          </w:p>
        </w:tc>
        <w:tc>
          <w:tcPr>
            <w:tcW w:w="709"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4</w:t>
            </w:r>
          </w:p>
        </w:tc>
        <w:tc>
          <w:tcPr>
            <w:tcW w:w="2551"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经具有资质的中介机构鉴证的企业财务会计报告（包括会计报表、会计报表附注和财务情况说明书）以及集成电路制造销售（营业）收入、研究开发费用、境内研究开发费用等情况说明；</w:t>
            </w:r>
          </w:p>
        </w:tc>
        <w:tc>
          <w:tcPr>
            <w:tcW w:w="709"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5</w:t>
            </w:r>
          </w:p>
        </w:tc>
        <w:tc>
          <w:tcPr>
            <w:tcW w:w="2551"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与主要客户签订的一至两份代表性销售合同复印件</w:t>
            </w:r>
          </w:p>
        </w:tc>
        <w:tc>
          <w:tcPr>
            <w:tcW w:w="709"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cs="微软雅黑"/>
                <w:color w:val="auto"/>
                <w:sz w:val="18"/>
                <w:szCs w:val="18"/>
              </w:rPr>
              <w:t>6</w:t>
            </w:r>
          </w:p>
        </w:tc>
        <w:tc>
          <w:tcPr>
            <w:tcW w:w="2551" w:type="dxa"/>
            <w:shd w:val="clear" w:color="auto" w:fill="auto"/>
            <w:vAlign w:val="center"/>
          </w:tcPr>
          <w:p>
            <w:pPr>
              <w:widowControl/>
              <w:spacing w:line="280" w:lineRule="exact"/>
              <w:ind w:firstLine="0" w:firstLineChars="0"/>
              <w:jc w:val="left"/>
              <w:rPr>
                <w:rFonts w:hint="eastAsia" w:cs="宋体"/>
                <w:color w:val="auto"/>
                <w:kern w:val="0"/>
                <w:sz w:val="18"/>
                <w:szCs w:val="18"/>
              </w:rPr>
            </w:pPr>
            <w:r>
              <w:rPr>
                <w:rFonts w:hint="eastAsia" w:cs="微软雅黑"/>
                <w:color w:val="auto"/>
                <w:sz w:val="18"/>
                <w:szCs w:val="18"/>
              </w:rPr>
              <w:t>保证产品质量的证明材料（如质量管理认证证书复印件等）</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widowControl/>
              <w:spacing w:line="280" w:lineRule="exact"/>
              <w:ind w:firstLine="0" w:firstLineChars="0"/>
              <w:jc w:val="left"/>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ind w:firstLine="472"/>
        <w:rPr>
          <w:rFonts w:hint="eastAsia"/>
          <w:color w:val="auto"/>
        </w:rPr>
      </w:pPr>
      <w:r>
        <w:rPr>
          <w:rFonts w:hint="eastAsia"/>
          <w:color w:val="auto"/>
        </w:rPr>
        <w:t>2．集成电路设计企业提交资料的报送条件为享受49号文规定优惠政策时报送，报送时间为完成年度汇算清缴后，汇算清缴期结束前。</w:t>
      </w:r>
    </w:p>
    <w:p>
      <w:pPr>
        <w:ind w:firstLine="472"/>
        <w:rPr>
          <w:rFonts w:hint="eastAsia"/>
          <w:color w:val="auto"/>
        </w:rPr>
      </w:pPr>
      <w:r>
        <w:rPr>
          <w:rFonts w:hint="eastAsia"/>
          <w:color w:val="auto"/>
        </w:rPr>
        <w:t>集成电路设计企业报送资料清单：</w:t>
      </w:r>
    </w:p>
    <w:tbl>
      <w:tblPr>
        <w:tblStyle w:val="15"/>
        <w:tblW w:w="850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2551"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企业职工人数、学历结构、研究开发人员情况及其占企业职工总数的比例说明，以及汇算清缴年度最后一个月社会保险缴纳证明等证明材料；</w:t>
            </w:r>
          </w:p>
        </w:tc>
        <w:tc>
          <w:tcPr>
            <w:tcW w:w="709"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352"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p>
        </w:tc>
        <w:tc>
          <w:tcPr>
            <w:tcW w:w="1134"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2</w:t>
            </w:r>
          </w:p>
        </w:tc>
        <w:tc>
          <w:tcPr>
            <w:tcW w:w="2551"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加工集成电路产品主要列表及国家知识产权局（或国外知识产权相关主管机构）出具的企业自主开发或拥有的一至两份代表性知识产权（如专利、布图设计登记、软件著作权等）的证明材料</w:t>
            </w:r>
          </w:p>
        </w:tc>
        <w:tc>
          <w:tcPr>
            <w:tcW w:w="709"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352"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3</w:t>
            </w:r>
          </w:p>
        </w:tc>
        <w:tc>
          <w:tcPr>
            <w:tcW w:w="2551"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经具有资质的中介机构鉴证的企业财务会计报告（包括会计报表、会计报表附注和财务情况说明书）以及集成电路制造销售（营业）收入、研究开发费用、境内研究开发费用等情况说明；</w:t>
            </w:r>
          </w:p>
        </w:tc>
        <w:tc>
          <w:tcPr>
            <w:tcW w:w="709"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352"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4</w:t>
            </w:r>
          </w:p>
        </w:tc>
        <w:tc>
          <w:tcPr>
            <w:tcW w:w="2551"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与主要客户签订的一至两份代表性销售合同复印件</w:t>
            </w:r>
          </w:p>
        </w:tc>
        <w:tc>
          <w:tcPr>
            <w:tcW w:w="709"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352"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5</w:t>
            </w:r>
          </w:p>
        </w:tc>
        <w:tc>
          <w:tcPr>
            <w:tcW w:w="25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保证产品质量的证明材料（如质量管理认证证书复印件等）</w:t>
            </w:r>
          </w:p>
        </w:tc>
        <w:tc>
          <w:tcPr>
            <w:tcW w:w="709"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352"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w:t>
            </w:r>
          </w:p>
        </w:tc>
        <w:tc>
          <w:tcPr>
            <w:tcW w:w="992"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必报</w:t>
            </w:r>
          </w:p>
        </w:tc>
        <w:tc>
          <w:tcPr>
            <w:tcW w:w="1134" w:type="dxa"/>
            <w:shd w:val="clear" w:color="auto" w:fill="auto"/>
            <w:vAlign w:val="center"/>
          </w:tcPr>
          <w:p>
            <w:pPr>
              <w:pStyle w:val="13"/>
              <w:keepNext w:val="0"/>
              <w:keepLines w:val="0"/>
              <w:pageBreakBefore w:val="0"/>
              <w:widowControl/>
              <w:kinsoku/>
              <w:wordWrap/>
              <w:overflowPunct/>
              <w:topLinePunct w:val="0"/>
              <w:autoSpaceDE/>
              <w:autoSpaceDN/>
              <w:bidi w:val="0"/>
              <w:adjustRightInd/>
              <w:snapToGrid/>
              <w:spacing w:before="100" w:after="100" w:line="280" w:lineRule="exact"/>
              <w:ind w:firstLine="0" w:firstLineChars="0"/>
              <w:jc w:val="center"/>
              <w:textAlignment w:val="auto"/>
              <w:rPr>
                <w:rFonts w:hint="eastAsia" w:ascii="宋体" w:hAnsi="宋体" w:eastAsia="宋体" w:cs="宋体"/>
                <w:color w:val="auto"/>
                <w:kern w:val="0"/>
                <w:sz w:val="18"/>
                <w:szCs w:val="18"/>
                <w:lang w:val="en-US" w:eastAsia="zh-CN" w:bidi="ar-SA"/>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ind w:firstLine="472"/>
        <w:rPr>
          <w:rFonts w:hint="eastAsia"/>
          <w:color w:val="auto"/>
          <w:lang w:val="en-US" w:eastAsia="zh-CN"/>
        </w:rPr>
      </w:pPr>
      <w:r>
        <w:rPr>
          <w:rFonts w:hint="eastAsia"/>
          <w:color w:val="auto"/>
          <w:lang w:val="en-US" w:eastAsia="zh-CN"/>
        </w:rPr>
        <w:t>3．软件企业提交资料的报送条件为享受49号文规定优惠政策时报送，报送时间为在完成年度汇算清缴后，汇算清缴期结束前。</w:t>
      </w:r>
    </w:p>
    <w:p>
      <w:pPr>
        <w:ind w:firstLine="472"/>
        <w:rPr>
          <w:rFonts w:hint="eastAsia"/>
          <w:color w:val="auto"/>
        </w:rPr>
      </w:pPr>
      <w:r>
        <w:rPr>
          <w:rFonts w:hint="eastAsia"/>
          <w:color w:val="auto"/>
          <w:lang w:val="en-US" w:eastAsia="zh-CN"/>
        </w:rPr>
        <w:t>软件企业报送资料：</w:t>
      </w:r>
    </w:p>
    <w:tbl>
      <w:tblPr>
        <w:tblStyle w:val="15"/>
        <w:tblW w:w="850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1</w:t>
            </w:r>
          </w:p>
        </w:tc>
        <w:tc>
          <w:tcPr>
            <w:tcW w:w="2551"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企业开发销售的主要软件产品列表或技术服务列表；</w:t>
            </w:r>
          </w:p>
        </w:tc>
        <w:tc>
          <w:tcPr>
            <w:tcW w:w="709"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必报</w:t>
            </w:r>
          </w:p>
        </w:tc>
        <w:tc>
          <w:tcPr>
            <w:tcW w:w="1134" w:type="dxa"/>
            <w:shd w:val="clear" w:color="auto" w:fill="auto"/>
            <w:vAlign w:val="center"/>
          </w:tcPr>
          <w:p>
            <w:pPr>
              <w:pStyle w:val="13"/>
              <w:widowControl/>
              <w:spacing w:before="100" w:after="100"/>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2</w:t>
            </w:r>
          </w:p>
        </w:tc>
        <w:tc>
          <w:tcPr>
            <w:tcW w:w="2551"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企业职工人数、学历结构、研究开发人员情况及其占企业职工总数的比例说明，以及汇算清缴年度最后一个月社会保险缴纳证明等证明材料；</w:t>
            </w:r>
          </w:p>
        </w:tc>
        <w:tc>
          <w:tcPr>
            <w:tcW w:w="709"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3</w:t>
            </w:r>
          </w:p>
        </w:tc>
        <w:tc>
          <w:tcPr>
            <w:tcW w:w="2551"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主营业务为软件产品开发的企业，提供至少1个主要产品的软件著作权或专利权等自主知识产权的有效证明文件，以及第三方检测机构提供的软件产品测试报告；主营业务仅为技术服务的企业提供核心技术说明；</w:t>
            </w:r>
          </w:p>
        </w:tc>
        <w:tc>
          <w:tcPr>
            <w:tcW w:w="709"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4</w:t>
            </w:r>
          </w:p>
        </w:tc>
        <w:tc>
          <w:tcPr>
            <w:tcW w:w="2551"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经具有资质的中介机构鉴证的企业财务会计报告（包括会计报表、会计报表附注和财务情况说明书）以及软件产品开发销售（营业）收入、软件产品自主开发销售（营业）收入、研究开发费用、境内研究开发费用等情况说明；</w:t>
            </w:r>
          </w:p>
        </w:tc>
        <w:tc>
          <w:tcPr>
            <w:tcW w:w="709"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必报</w:t>
            </w:r>
          </w:p>
        </w:tc>
        <w:tc>
          <w:tcPr>
            <w:tcW w:w="1134" w:type="dxa"/>
            <w:shd w:val="clear" w:color="auto" w:fill="auto"/>
            <w:vAlign w:val="center"/>
          </w:tcPr>
          <w:p>
            <w:pPr>
              <w:pStyle w:val="13"/>
              <w:widowControl/>
              <w:spacing w:before="100" w:after="100"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5</w:t>
            </w:r>
          </w:p>
        </w:tc>
        <w:tc>
          <w:tcPr>
            <w:tcW w:w="2551"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与主要客户签订的一至两份代表性的软件产品销售合同或技术服务合同复印件；</w:t>
            </w:r>
          </w:p>
        </w:tc>
        <w:tc>
          <w:tcPr>
            <w:tcW w:w="709"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必报</w:t>
            </w:r>
          </w:p>
        </w:tc>
        <w:tc>
          <w:tcPr>
            <w:tcW w:w="1134" w:type="dxa"/>
            <w:shd w:val="clear" w:color="auto" w:fill="auto"/>
            <w:vAlign w:val="center"/>
          </w:tcPr>
          <w:p>
            <w:pPr>
              <w:pStyle w:val="13"/>
              <w:widowControl/>
              <w:spacing w:before="100" w:after="100"/>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2" w:hRule="atLeast"/>
        </w:trPr>
        <w:tc>
          <w:tcPr>
            <w:tcW w:w="851"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6</w:t>
            </w:r>
          </w:p>
        </w:tc>
        <w:tc>
          <w:tcPr>
            <w:tcW w:w="2551"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企业开发环境等证明材料</w:t>
            </w:r>
          </w:p>
        </w:tc>
        <w:tc>
          <w:tcPr>
            <w:tcW w:w="709"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cs="微软雅黑"/>
                <w:color w:val="auto"/>
                <w:sz w:val="18"/>
                <w:szCs w:val="18"/>
              </w:rPr>
            </w:pPr>
            <w:r>
              <w:rPr>
                <w:rFonts w:hint="eastAsia" w:cs="微软雅黑"/>
                <w:color w:val="auto"/>
                <w:sz w:val="18"/>
                <w:szCs w:val="18"/>
              </w:rPr>
              <w:t>必报</w:t>
            </w:r>
          </w:p>
        </w:tc>
        <w:tc>
          <w:tcPr>
            <w:tcW w:w="1134" w:type="dxa"/>
            <w:shd w:val="clear" w:color="auto" w:fill="auto"/>
            <w:vAlign w:val="center"/>
          </w:tcPr>
          <w:p>
            <w:pPr>
              <w:pStyle w:val="13"/>
              <w:widowControl/>
              <w:spacing w:before="100" w:after="100"/>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ind w:firstLine="472"/>
        <w:rPr>
          <w:rFonts w:hint="eastAsia"/>
          <w:color w:val="auto"/>
        </w:rPr>
      </w:pPr>
      <w:r>
        <w:rPr>
          <w:rFonts w:hint="eastAsia"/>
          <w:color w:val="auto"/>
        </w:rPr>
        <w:t>4．国家规划布局内重点软件企业提交资料的报送条件为享受49号文规定优惠政策时报送，报送时间为年度汇算清缴后，汇算清缴期结束前。</w:t>
      </w:r>
    </w:p>
    <w:p>
      <w:pPr>
        <w:ind w:firstLine="472"/>
        <w:rPr>
          <w:rFonts w:hint="eastAsia"/>
          <w:color w:val="auto"/>
        </w:rPr>
      </w:pPr>
      <w:r>
        <w:rPr>
          <w:rFonts w:hint="eastAsia"/>
          <w:color w:val="auto"/>
        </w:rPr>
        <w:t>国家规划布局内重点软件企业报送资料清单：</w:t>
      </w:r>
    </w:p>
    <w:tbl>
      <w:tblPr>
        <w:tblStyle w:val="15"/>
        <w:tblW w:w="850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企业开发销售的主要软件产品列表或技术服务列表；</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必报</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p>
        </w:tc>
        <w:tc>
          <w:tcPr>
            <w:tcW w:w="1134"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2</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企业职工人数、学历结构、研究开发人员情况及其占企业职工总数的比例说明，以及汇算清缴年度最后一个月社会保险缴纳证明等证明材料；</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必报</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3</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主营业务为软件产品开发的企业，提供至少1个主要产品的软件著作权或专利权等自主知识产权的有效证明文件，以及第三方检测机构提供的软件产品测试报告；主营业务仅为技术服务的企业提供核心技术说明；</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必报</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4</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经具有资质的中介机构鉴证的企业财务会计报告（包括会计报表、会计报表附注和财务情况说明书）以及软件产品开发销售（营业）收入、软件产品自主开发销售（营业）收入、研究开发费用、境内研究开发费用等情况说明；</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必报</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5</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与主要客户签订的一至两份代表性的软件产品销售合同或技术服务合同复印件；</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必报</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6</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企业开发环境等证明材料</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必报</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7</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在国家规定的重点软件领域内销售（营业）情况说明</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条件报送</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符合财税〔2016〕49号文件第六条规定的第二类条件的软件企业提供</w:t>
            </w:r>
          </w:p>
        </w:tc>
        <w:tc>
          <w:tcPr>
            <w:tcW w:w="1134" w:type="dxa"/>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8</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商务主管部门核发的软件出口合同登记证书，以及有效出口合同和结汇证明等材料</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条件报送</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符合财税〔2016〕49号文件第六条规定的第三类条件的软件企业提供</w:t>
            </w:r>
          </w:p>
        </w:tc>
        <w:tc>
          <w:tcPr>
            <w:tcW w:w="1134" w:type="dxa"/>
            <w:vAlign w:val="center"/>
          </w:tcPr>
          <w:p>
            <w:pPr>
              <w:widowControl/>
              <w:spacing w:line="280" w:lineRule="exact"/>
              <w:ind w:firstLine="0" w:firstLineChars="0"/>
              <w:jc w:val="center"/>
              <w:rPr>
                <w:rFonts w:hint="eastAsia" w:cs="宋体"/>
                <w:color w:val="auto"/>
                <w:kern w:val="0"/>
                <w:sz w:val="18"/>
                <w:szCs w:val="18"/>
                <w:lang w:eastAsia="zh-CN"/>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ind w:firstLine="472"/>
        <w:rPr>
          <w:rFonts w:hint="eastAsia"/>
          <w:color w:val="auto"/>
        </w:rPr>
      </w:pPr>
      <w:r>
        <w:rPr>
          <w:rFonts w:hint="eastAsia"/>
          <w:color w:val="auto"/>
        </w:rPr>
        <w:t>5．国家规划布局内重点集成电路设计企业提交资料的报送条件为享受49号文规定优惠政策时报送，报送时间为年度汇算清缴后，汇算清缴期结束前。</w:t>
      </w:r>
    </w:p>
    <w:p>
      <w:pPr>
        <w:ind w:firstLine="472"/>
        <w:rPr>
          <w:rFonts w:hint="eastAsia"/>
          <w:color w:val="auto"/>
        </w:rPr>
      </w:pPr>
      <w:r>
        <w:rPr>
          <w:rFonts w:hint="eastAsia"/>
          <w:color w:val="auto"/>
        </w:rPr>
        <w:t>国家规划布局内重点集成电路设计企业报送资料清单：</w:t>
      </w:r>
    </w:p>
    <w:tbl>
      <w:tblPr>
        <w:tblStyle w:val="15"/>
        <w:tblW w:w="850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企业职工人数、学历结构、研究开发人员情况及其占企业职工总数的比例说明，以及汇算清缴年度最后一个月社会保险缴纳证明等证明材料；</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必报</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p>
        </w:tc>
        <w:tc>
          <w:tcPr>
            <w:tcW w:w="1134" w:type="dxa"/>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2</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加工集成电路产品主要列表及国家知识产权局（或国外知识产权相关主管机构）出具的企业自主开发或拥有的一至两份代表性知识产权（如专利、布图设计登记、软件著作权等）的证明材料</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必报</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3</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经具有资质的中介机构鉴证的企业财务会计报告（包括会计报表、会计报表附注和财务情况说明书）以及集成电路制造销售（营业）收入、研究开发费用、境内研究开发费用等情况说明；</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必报</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4</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与主要客户签订的一至两份代表性销售合同复印件</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必报</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5</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保证产品质量的证明材料（如质量管理认证证书复印件等）</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必报</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6</w:t>
            </w:r>
          </w:p>
        </w:tc>
        <w:tc>
          <w:tcPr>
            <w:tcW w:w="2551"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在国家规定的重点集成电路设计领域内销售（营业）情况说明</w:t>
            </w:r>
          </w:p>
        </w:tc>
        <w:tc>
          <w:tcPr>
            <w:tcW w:w="709"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条件报送</w:t>
            </w:r>
          </w:p>
        </w:tc>
        <w:tc>
          <w:tcPr>
            <w:tcW w:w="1134" w:type="dxa"/>
            <w:shd w:val="clear" w:color="auto" w:fill="auto"/>
            <w:vAlign w:val="center"/>
          </w:tcPr>
          <w:p>
            <w:pPr>
              <w:widowControl/>
              <w:spacing w:line="280" w:lineRule="exact"/>
              <w:ind w:firstLine="0" w:firstLineChars="0"/>
              <w:jc w:val="center"/>
              <w:rPr>
                <w:rFonts w:hint="eastAsia" w:ascii="宋体" w:hAnsi="宋体" w:eastAsia="宋体" w:cs="微软雅黑"/>
                <w:color w:val="auto"/>
                <w:kern w:val="2"/>
                <w:sz w:val="18"/>
                <w:szCs w:val="18"/>
                <w:lang w:val="en-US" w:eastAsia="zh-CN" w:bidi="ar-SA"/>
              </w:rPr>
            </w:pPr>
            <w:r>
              <w:rPr>
                <w:rFonts w:hint="eastAsia" w:ascii="宋体" w:hAnsi="宋体" w:eastAsia="宋体" w:cs="微软雅黑"/>
                <w:color w:val="auto"/>
                <w:kern w:val="2"/>
                <w:sz w:val="18"/>
                <w:szCs w:val="18"/>
                <w:lang w:val="en-US" w:eastAsia="zh-CN" w:bidi="ar-SA"/>
              </w:rPr>
              <w:t>符合财税〔2016〕49号文件第五条规定的第二类条件的集成电路企业提供</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税务机关留存后转交相关部门</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p>
        </w:tc>
      </w:tr>
    </w:tbl>
    <w:p>
      <w:pPr>
        <w:ind w:left="0" w:leftChars="0" w:firstLine="0" w:firstLineChars="0"/>
        <w:rPr>
          <w:rFonts w:hint="eastAsia"/>
          <w:color w:val="auto"/>
        </w:rPr>
      </w:pPr>
    </w:p>
    <w:p>
      <w:pPr>
        <w:pStyle w:val="3"/>
        <w:pageBreakBefore w:val="0"/>
        <w:widowControl w:val="0"/>
        <w:kinsoku/>
        <w:wordWrap/>
        <w:overflowPunct/>
        <w:topLinePunct w:val="0"/>
        <w:autoSpaceDE/>
        <w:autoSpaceDN/>
        <w:bidi w:val="0"/>
        <w:adjustRightInd/>
        <w:snapToGrid/>
        <w:spacing w:line="240" w:lineRule="auto"/>
        <w:textAlignment w:val="auto"/>
        <w:rPr>
          <w:color w:val="auto"/>
        </w:rPr>
      </w:pPr>
      <w:r>
        <w:rPr>
          <w:rFonts w:hint="eastAsia"/>
          <w:color w:val="auto"/>
        </w:rPr>
        <w:t>六</w:t>
      </w:r>
      <w:r>
        <w:rPr>
          <w:color w:val="auto"/>
        </w:rPr>
        <w:t>、办理流程</w:t>
      </w:r>
    </w:p>
    <w:p>
      <w:pPr>
        <w:pageBreakBefore w:val="0"/>
        <w:widowControl w:val="0"/>
        <w:kinsoku/>
        <w:wordWrap/>
        <w:overflowPunct/>
        <w:topLinePunct w:val="0"/>
        <w:autoSpaceDE/>
        <w:autoSpaceDN/>
        <w:bidi w:val="0"/>
        <w:adjustRightInd/>
        <w:snapToGrid/>
        <w:spacing w:line="240" w:lineRule="auto"/>
        <w:ind w:left="472" w:firstLine="0" w:firstLineChars="0"/>
        <w:textAlignment w:val="auto"/>
        <w:rPr>
          <w:color w:val="auto"/>
        </w:rPr>
      </w:pPr>
      <w:r>
        <w:rPr>
          <w:color w:val="auto"/>
        </w:rPr>
        <w:object>
          <v:shape id="_x0000_i1124" o:spt="75" type="#_x0000_t75" style="height:153.25pt;width:418.5pt;" o:ole="t" filled="f" o:preferrelative="t" stroked="f" coordsize="21600,21600">
            <v:path/>
            <v:fill on="f" focussize="0,0"/>
            <v:stroke on="f"/>
            <v:imagedata r:id="rId11" o:title=""/>
            <o:lock v:ext="edit" aspectratio="t"/>
            <w10:wrap type="none"/>
            <w10:anchorlock/>
          </v:shape>
          <o:OLEObject Type="Embed" ProgID="Visio.Drawing.11" ShapeID="_x0000_i1124" DrawAspect="Content" ObjectID="_1468075725" r:id="rId10">
            <o:LockedField>false</o:LockedField>
          </o:OLEObject>
        </w:object>
      </w: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eastAsia="zh-CN"/>
        </w:rPr>
      </w:pPr>
      <w:r>
        <w:rPr>
          <w:rFonts w:hint="eastAsia"/>
          <w:color w:val="auto"/>
          <w:lang w:eastAsia="zh-CN"/>
        </w:rPr>
        <w:t>无</w:t>
      </w:r>
    </w:p>
    <w:p>
      <w:pPr>
        <w:pStyle w:val="3"/>
        <w:ind w:firstLine="552"/>
        <w:rPr>
          <w:color w:val="auto"/>
        </w:rPr>
      </w:pPr>
      <w:r>
        <w:rPr>
          <w:rFonts w:hint="eastAsia"/>
          <w:color w:val="auto"/>
        </w:rPr>
        <w:t>九、注意事项</w:t>
      </w:r>
    </w:p>
    <w:p>
      <w:pPr>
        <w:rPr>
          <w:rFonts w:hint="eastAsia"/>
          <w:color w:val="auto"/>
        </w:rPr>
      </w:pPr>
      <w:r>
        <w:rPr>
          <w:rFonts w:hint="eastAsia"/>
          <w:color w:val="auto"/>
          <w:lang w:val="en-US" w:eastAsia="zh-CN"/>
        </w:rPr>
        <w:t>1</w:t>
      </w:r>
      <w:r>
        <w:rPr>
          <w:rFonts w:hint="eastAsia"/>
          <w:color w:val="auto"/>
          <w:lang w:eastAsia="zh-CN"/>
        </w:rPr>
        <w:t>.</w:t>
      </w:r>
      <w:r>
        <w:rPr>
          <w:rFonts w:hint="eastAsia"/>
          <w:color w:val="auto"/>
        </w:rPr>
        <w:t>纳税人进行软件和集成电路产业企业所得税优惠事项资料报告后，还应将提交资料的留存件留存备查，从企业享受优惠事项当年的企业所得税汇算清缴期结束次日起保留</w:t>
      </w:r>
      <w:r>
        <w:rPr>
          <w:rFonts w:hint="eastAsia"/>
          <w:color w:val="auto"/>
          <w:lang w:eastAsia="zh-CN"/>
        </w:rPr>
        <w:t>10</w:t>
      </w:r>
      <w:r>
        <w:rPr>
          <w:rFonts w:hint="eastAsia"/>
          <w:color w:val="auto"/>
        </w:rPr>
        <w:t>年。</w:t>
      </w:r>
    </w:p>
    <w:p>
      <w:pPr>
        <w:ind w:firstLine="472"/>
        <w:rPr>
          <w:rFonts w:hint="eastAsia"/>
          <w:color w:val="auto"/>
        </w:rPr>
      </w:pPr>
      <w:r>
        <w:rPr>
          <w:rFonts w:hint="eastAsia"/>
          <w:color w:val="auto"/>
          <w:lang w:val="en-US" w:eastAsia="zh-CN"/>
        </w:rPr>
        <w:t>2</w:t>
      </w:r>
      <w:r>
        <w:rPr>
          <w:rFonts w:hint="eastAsia"/>
          <w:color w:val="auto"/>
          <w:lang w:eastAsia="zh-CN"/>
        </w:rPr>
        <w:t>.</w:t>
      </w:r>
      <w:r>
        <w:rPr>
          <w:rFonts w:hint="eastAsia"/>
          <w:color w:val="auto"/>
        </w:rPr>
        <w:t>企业未能按照税务机关要求提供留存备查资料，或者提供的留存备查资料与实际生产经营情况、财务核算情况、相关技术领域、产业、目录、资格证书等不符，无法证实符合优惠事项规定条件的，或者存在弄虚作假情况的，税务机关将依法追缴其已享受的企业所得税优惠，并按照税收征管法等相关规定处理。</w:t>
      </w:r>
    </w:p>
    <w:p>
      <w:pPr>
        <w:ind w:firstLine="472"/>
        <w:rPr>
          <w:rFonts w:hint="eastAsia"/>
          <w:color w:val="auto"/>
        </w:rPr>
      </w:pPr>
      <w:r>
        <w:rPr>
          <w:rFonts w:hint="eastAsia"/>
          <w:color w:val="auto"/>
          <w:lang w:val="en-US" w:eastAsia="zh-CN"/>
        </w:rPr>
        <w:t>3</w:t>
      </w:r>
      <w:r>
        <w:rPr>
          <w:rFonts w:hint="eastAsia"/>
          <w:color w:val="auto"/>
          <w:lang w:eastAsia="zh-CN"/>
        </w:rPr>
        <w:t>.</w:t>
      </w:r>
      <w:r>
        <w:rPr>
          <w:rFonts w:hint="eastAsia"/>
          <w:color w:val="auto"/>
        </w:rPr>
        <w:t>集成电路生产企业税收优惠的情形包括：</w:t>
      </w:r>
    </w:p>
    <w:p>
      <w:pPr>
        <w:ind w:firstLine="472"/>
        <w:rPr>
          <w:rFonts w:hint="eastAsia"/>
          <w:color w:val="auto"/>
        </w:rPr>
      </w:pPr>
      <w:r>
        <w:rPr>
          <w:rFonts w:hint="eastAsia"/>
          <w:color w:val="auto"/>
        </w:rPr>
        <w:t>（</w:t>
      </w:r>
      <w:r>
        <w:rPr>
          <w:rFonts w:hint="eastAsia"/>
          <w:color w:val="auto"/>
          <w:lang w:eastAsia="zh-CN"/>
        </w:rPr>
        <w:t>1</w:t>
      </w:r>
      <w:r>
        <w:rPr>
          <w:rFonts w:hint="eastAsia"/>
          <w:color w:val="auto"/>
        </w:rPr>
        <w:t>）</w:t>
      </w:r>
      <w:r>
        <w:rPr>
          <w:rFonts w:hint="eastAsia"/>
          <w:color w:val="auto"/>
          <w:lang w:eastAsia="zh-CN"/>
        </w:rPr>
        <w:t>2018</w:t>
      </w:r>
      <w:r>
        <w:rPr>
          <w:rFonts w:hint="eastAsia"/>
          <w:color w:val="auto"/>
        </w:rPr>
        <w:t>年</w:t>
      </w:r>
      <w:r>
        <w:rPr>
          <w:rFonts w:hint="eastAsia"/>
          <w:color w:val="auto"/>
          <w:lang w:eastAsia="zh-CN"/>
        </w:rPr>
        <w:t>1</w:t>
      </w:r>
      <w:r>
        <w:rPr>
          <w:rFonts w:hint="eastAsia"/>
          <w:color w:val="auto"/>
        </w:rPr>
        <w:t>月</w:t>
      </w:r>
      <w:r>
        <w:rPr>
          <w:rFonts w:hint="eastAsia"/>
          <w:color w:val="auto"/>
          <w:lang w:eastAsia="zh-CN"/>
        </w:rPr>
        <w:t>1</w:t>
      </w:r>
      <w:r>
        <w:rPr>
          <w:rFonts w:hint="eastAsia"/>
          <w:color w:val="auto"/>
        </w:rPr>
        <w:t>日后投资新设的集成电路线宽小于</w:t>
      </w:r>
      <w:r>
        <w:rPr>
          <w:rFonts w:hint="eastAsia"/>
          <w:color w:val="auto"/>
          <w:lang w:eastAsia="zh-CN"/>
        </w:rPr>
        <w:t>130</w:t>
      </w:r>
      <w:r>
        <w:rPr>
          <w:rFonts w:hint="eastAsia"/>
          <w:color w:val="auto"/>
        </w:rPr>
        <w:t>纳米，且经营期在</w:t>
      </w:r>
      <w:r>
        <w:rPr>
          <w:rFonts w:hint="eastAsia"/>
          <w:color w:val="auto"/>
          <w:lang w:eastAsia="zh-CN"/>
        </w:rPr>
        <w:t>10</w:t>
      </w:r>
      <w:r>
        <w:rPr>
          <w:rFonts w:hint="eastAsia"/>
          <w:color w:val="auto"/>
        </w:rPr>
        <w:t>年以上的集成电路生产企业或项目，第一年至第二年免征企业所得税，第三年至第五年按照</w:t>
      </w:r>
      <w:r>
        <w:rPr>
          <w:rFonts w:hint="eastAsia"/>
          <w:color w:val="auto"/>
          <w:lang w:eastAsia="zh-CN"/>
        </w:rPr>
        <w:t>25</w:t>
      </w:r>
      <w:r>
        <w:rPr>
          <w:rFonts w:hint="eastAsia"/>
          <w:color w:val="auto"/>
        </w:rPr>
        <w:t>%的法定税率减半征收企业所得税，并享受至期满为止。</w:t>
      </w:r>
    </w:p>
    <w:p>
      <w:pPr>
        <w:ind w:firstLine="472"/>
        <w:rPr>
          <w:rFonts w:hint="eastAsia"/>
          <w:color w:val="auto"/>
        </w:rPr>
      </w:pPr>
      <w:r>
        <w:rPr>
          <w:rFonts w:hint="eastAsia"/>
          <w:color w:val="auto"/>
        </w:rPr>
        <w:t>（</w:t>
      </w:r>
      <w:r>
        <w:rPr>
          <w:rFonts w:hint="eastAsia"/>
          <w:color w:val="auto"/>
          <w:lang w:eastAsia="zh-CN"/>
        </w:rPr>
        <w:t>2</w:t>
      </w:r>
      <w:r>
        <w:rPr>
          <w:rFonts w:hint="eastAsia"/>
          <w:color w:val="auto"/>
        </w:rPr>
        <w:t>）</w:t>
      </w:r>
      <w:r>
        <w:rPr>
          <w:rFonts w:hint="eastAsia"/>
          <w:color w:val="auto"/>
          <w:lang w:eastAsia="zh-CN"/>
        </w:rPr>
        <w:t>2018</w:t>
      </w:r>
      <w:r>
        <w:rPr>
          <w:rFonts w:hint="eastAsia"/>
          <w:color w:val="auto"/>
        </w:rPr>
        <w:t>年</w:t>
      </w:r>
      <w:r>
        <w:rPr>
          <w:rFonts w:hint="eastAsia"/>
          <w:color w:val="auto"/>
          <w:lang w:eastAsia="zh-CN"/>
        </w:rPr>
        <w:t>1</w:t>
      </w:r>
      <w:r>
        <w:rPr>
          <w:rFonts w:hint="eastAsia"/>
          <w:color w:val="auto"/>
        </w:rPr>
        <w:t>月</w:t>
      </w:r>
      <w:r>
        <w:rPr>
          <w:rFonts w:hint="eastAsia"/>
          <w:color w:val="auto"/>
          <w:lang w:eastAsia="zh-CN"/>
        </w:rPr>
        <w:t>1</w:t>
      </w:r>
      <w:r>
        <w:rPr>
          <w:rFonts w:hint="eastAsia"/>
          <w:color w:val="auto"/>
        </w:rPr>
        <w:t>日后投资新设的集成电路线宽小于</w:t>
      </w:r>
      <w:r>
        <w:rPr>
          <w:rFonts w:hint="eastAsia"/>
          <w:color w:val="auto"/>
          <w:lang w:eastAsia="zh-CN"/>
        </w:rPr>
        <w:t>65</w:t>
      </w:r>
      <w:r>
        <w:rPr>
          <w:rFonts w:hint="eastAsia"/>
          <w:color w:val="auto"/>
        </w:rPr>
        <w:t>纳米或投资额超过</w:t>
      </w:r>
      <w:r>
        <w:rPr>
          <w:rFonts w:hint="eastAsia"/>
          <w:color w:val="auto"/>
          <w:lang w:eastAsia="zh-CN"/>
        </w:rPr>
        <w:t>150</w:t>
      </w:r>
      <w:r>
        <w:rPr>
          <w:rFonts w:hint="eastAsia"/>
          <w:color w:val="auto"/>
        </w:rPr>
        <w:t>亿元，且经营期在</w:t>
      </w:r>
      <w:r>
        <w:rPr>
          <w:rFonts w:hint="eastAsia"/>
          <w:color w:val="auto"/>
          <w:lang w:eastAsia="zh-CN"/>
        </w:rPr>
        <w:t>15</w:t>
      </w:r>
      <w:r>
        <w:rPr>
          <w:rFonts w:hint="eastAsia"/>
          <w:color w:val="auto"/>
        </w:rPr>
        <w:t>年以上的集成电路生产企业或项目，第一年至第五年免征企业所得税，第六年至第十年按照</w:t>
      </w:r>
      <w:r>
        <w:rPr>
          <w:rFonts w:hint="eastAsia"/>
          <w:color w:val="auto"/>
          <w:lang w:eastAsia="zh-CN"/>
        </w:rPr>
        <w:t>25</w:t>
      </w:r>
      <w:r>
        <w:rPr>
          <w:rFonts w:hint="eastAsia"/>
          <w:color w:val="auto"/>
        </w:rPr>
        <w:t>%的法定税率减半征收企业所得税，并享受至期满为止。</w:t>
      </w:r>
    </w:p>
    <w:p>
      <w:pPr>
        <w:ind w:firstLine="472"/>
        <w:rPr>
          <w:rFonts w:hint="eastAsia"/>
          <w:color w:val="auto"/>
        </w:rPr>
      </w:pPr>
      <w:r>
        <w:rPr>
          <w:rFonts w:hint="eastAsia"/>
          <w:color w:val="auto"/>
        </w:rPr>
        <w:t>（</w:t>
      </w:r>
      <w:r>
        <w:rPr>
          <w:rFonts w:hint="eastAsia"/>
          <w:color w:val="auto"/>
          <w:lang w:eastAsia="zh-CN"/>
        </w:rPr>
        <w:t>3</w:t>
      </w:r>
      <w:r>
        <w:rPr>
          <w:rFonts w:hint="eastAsia"/>
          <w:color w:val="auto"/>
        </w:rPr>
        <w:t>）集成电路线宽小于</w:t>
      </w:r>
      <w:r>
        <w:rPr>
          <w:rFonts w:hint="eastAsia"/>
          <w:color w:val="auto"/>
          <w:lang w:eastAsia="zh-CN"/>
        </w:rPr>
        <w:t>0.8</w:t>
      </w:r>
      <w:r>
        <w:rPr>
          <w:rFonts w:hint="eastAsia"/>
          <w:color w:val="auto"/>
        </w:rPr>
        <w:t>微米（含）的集成电路生产企业，在</w:t>
      </w:r>
      <w:r>
        <w:rPr>
          <w:rFonts w:hint="eastAsia"/>
          <w:color w:val="auto"/>
          <w:lang w:eastAsia="zh-CN"/>
        </w:rPr>
        <w:t>2017</w:t>
      </w:r>
      <w:r>
        <w:rPr>
          <w:rFonts w:hint="eastAsia"/>
          <w:color w:val="auto"/>
        </w:rPr>
        <w:t>年</w:t>
      </w:r>
      <w:r>
        <w:rPr>
          <w:rFonts w:hint="eastAsia"/>
          <w:color w:val="auto"/>
          <w:lang w:eastAsia="zh-CN"/>
        </w:rPr>
        <w:t>12</w:t>
      </w:r>
      <w:r>
        <w:rPr>
          <w:rFonts w:hint="eastAsia"/>
          <w:color w:val="auto"/>
        </w:rPr>
        <w:t>月</w:t>
      </w:r>
      <w:r>
        <w:rPr>
          <w:rFonts w:hint="eastAsia"/>
          <w:color w:val="auto"/>
          <w:lang w:eastAsia="zh-CN"/>
        </w:rPr>
        <w:t>31</w:t>
      </w:r>
      <w:r>
        <w:rPr>
          <w:rFonts w:hint="eastAsia"/>
          <w:color w:val="auto"/>
        </w:rPr>
        <w:t>日前自获利年度起计算优惠期，第一年至第二年免征企业所得税，第三年至第五年按照</w:t>
      </w:r>
      <w:r>
        <w:rPr>
          <w:rFonts w:hint="eastAsia"/>
          <w:color w:val="auto"/>
          <w:lang w:eastAsia="zh-CN"/>
        </w:rPr>
        <w:t>25</w:t>
      </w:r>
      <w:r>
        <w:rPr>
          <w:rFonts w:hint="eastAsia"/>
          <w:color w:val="auto"/>
        </w:rPr>
        <w:t>%的法定税率减半征收企业所得税，并享受至期满为止。</w:t>
      </w:r>
    </w:p>
    <w:p>
      <w:pPr>
        <w:ind w:firstLine="472"/>
        <w:rPr>
          <w:rFonts w:hint="eastAsia"/>
          <w:color w:val="auto"/>
        </w:rPr>
      </w:pPr>
      <w:r>
        <w:rPr>
          <w:rFonts w:hint="eastAsia"/>
          <w:color w:val="auto"/>
        </w:rPr>
        <w:t>（</w:t>
      </w:r>
      <w:r>
        <w:rPr>
          <w:rFonts w:hint="eastAsia"/>
          <w:color w:val="auto"/>
          <w:lang w:eastAsia="zh-CN"/>
        </w:rPr>
        <w:t>4</w:t>
      </w:r>
      <w:r>
        <w:rPr>
          <w:rFonts w:hint="eastAsia"/>
          <w:color w:val="auto"/>
        </w:rPr>
        <w:t>）</w:t>
      </w:r>
      <w:r>
        <w:rPr>
          <w:rFonts w:hint="eastAsia"/>
          <w:color w:val="auto"/>
          <w:lang w:eastAsia="zh-CN"/>
        </w:rPr>
        <w:t>2017</w:t>
      </w:r>
      <w:r>
        <w:rPr>
          <w:rFonts w:hint="eastAsia"/>
          <w:color w:val="auto"/>
        </w:rPr>
        <w:t>年</w:t>
      </w:r>
      <w:r>
        <w:rPr>
          <w:rFonts w:hint="eastAsia"/>
          <w:color w:val="auto"/>
          <w:lang w:eastAsia="zh-CN"/>
        </w:rPr>
        <w:t>12</w:t>
      </w:r>
      <w:r>
        <w:rPr>
          <w:rFonts w:hint="eastAsia"/>
          <w:color w:val="auto"/>
        </w:rPr>
        <w:t>月</w:t>
      </w:r>
      <w:r>
        <w:rPr>
          <w:rFonts w:hint="eastAsia"/>
          <w:color w:val="auto"/>
          <w:lang w:eastAsia="zh-CN"/>
        </w:rPr>
        <w:t>31</w:t>
      </w:r>
      <w:r>
        <w:rPr>
          <w:rFonts w:hint="eastAsia"/>
          <w:color w:val="auto"/>
        </w:rPr>
        <w:t>日前设立但未获利的集成电路线宽小于</w:t>
      </w:r>
      <w:r>
        <w:rPr>
          <w:rFonts w:hint="eastAsia"/>
          <w:color w:val="auto"/>
          <w:lang w:eastAsia="zh-CN"/>
        </w:rPr>
        <w:t>0.8</w:t>
      </w:r>
      <w:r>
        <w:rPr>
          <w:rFonts w:hint="eastAsia"/>
          <w:color w:val="auto"/>
        </w:rPr>
        <w:t>微米（含）的集成电路生产企业，自获利年度起第一年至第二年免征企业所得税，第三年至第五年按照</w:t>
      </w:r>
      <w:r>
        <w:rPr>
          <w:rFonts w:hint="eastAsia"/>
          <w:color w:val="auto"/>
          <w:lang w:eastAsia="zh-CN"/>
        </w:rPr>
        <w:t>25</w:t>
      </w:r>
      <w:r>
        <w:rPr>
          <w:rFonts w:hint="eastAsia"/>
          <w:color w:val="auto"/>
        </w:rPr>
        <w:t>%的法定税率减半征收企业所得税，并享受至期满为止。</w:t>
      </w:r>
    </w:p>
    <w:p>
      <w:pPr>
        <w:ind w:firstLine="472"/>
        <w:rPr>
          <w:rFonts w:hint="eastAsia"/>
          <w:color w:val="auto"/>
        </w:rPr>
      </w:pPr>
      <w:r>
        <w:rPr>
          <w:rFonts w:hint="eastAsia"/>
          <w:color w:val="auto"/>
        </w:rPr>
        <w:t>（</w:t>
      </w:r>
      <w:r>
        <w:rPr>
          <w:rFonts w:hint="eastAsia"/>
          <w:color w:val="auto"/>
          <w:lang w:eastAsia="zh-CN"/>
        </w:rPr>
        <w:t>5</w:t>
      </w:r>
      <w:r>
        <w:rPr>
          <w:rFonts w:hint="eastAsia"/>
          <w:color w:val="auto"/>
        </w:rPr>
        <w:t>）线宽小于</w:t>
      </w:r>
      <w:r>
        <w:rPr>
          <w:rFonts w:hint="eastAsia"/>
          <w:color w:val="auto"/>
          <w:lang w:eastAsia="zh-CN"/>
        </w:rPr>
        <w:t>0.25</w:t>
      </w:r>
      <w:r>
        <w:rPr>
          <w:rFonts w:hint="eastAsia"/>
          <w:color w:val="auto"/>
        </w:rPr>
        <w:t>微米或投资额超过</w:t>
      </w:r>
      <w:r>
        <w:rPr>
          <w:rFonts w:hint="eastAsia"/>
          <w:color w:val="auto"/>
          <w:lang w:eastAsia="zh-CN"/>
        </w:rPr>
        <w:t>80</w:t>
      </w:r>
      <w:r>
        <w:rPr>
          <w:rFonts w:hint="eastAsia"/>
          <w:color w:val="auto"/>
        </w:rPr>
        <w:t>亿元的集成电路生产企业，减按</w:t>
      </w:r>
      <w:r>
        <w:rPr>
          <w:rFonts w:hint="eastAsia"/>
          <w:color w:val="auto"/>
          <w:lang w:eastAsia="zh-CN"/>
        </w:rPr>
        <w:t>15</w:t>
      </w:r>
      <w:r>
        <w:rPr>
          <w:rFonts w:hint="eastAsia"/>
          <w:color w:val="auto"/>
        </w:rPr>
        <w:t>%的税率征收企业所得税。</w:t>
      </w:r>
    </w:p>
    <w:p>
      <w:pPr>
        <w:ind w:firstLine="472"/>
        <w:rPr>
          <w:rFonts w:hint="eastAsia"/>
          <w:color w:val="auto"/>
        </w:rPr>
      </w:pPr>
      <w:r>
        <w:rPr>
          <w:rFonts w:hint="eastAsia"/>
          <w:color w:val="auto"/>
        </w:rPr>
        <w:t>（</w:t>
      </w:r>
      <w:r>
        <w:rPr>
          <w:rFonts w:hint="eastAsia"/>
          <w:color w:val="auto"/>
          <w:lang w:eastAsia="zh-CN"/>
        </w:rPr>
        <w:t>6</w:t>
      </w:r>
      <w:r>
        <w:rPr>
          <w:rFonts w:hint="eastAsia"/>
          <w:color w:val="auto"/>
        </w:rPr>
        <w:t>）线宽小于</w:t>
      </w:r>
      <w:r>
        <w:rPr>
          <w:rFonts w:hint="eastAsia"/>
          <w:color w:val="auto"/>
          <w:lang w:eastAsia="zh-CN"/>
        </w:rPr>
        <w:t>0.25</w:t>
      </w:r>
      <w:r>
        <w:rPr>
          <w:rFonts w:hint="eastAsia"/>
          <w:color w:val="auto"/>
        </w:rPr>
        <w:t>微米或投资额超过</w:t>
      </w:r>
      <w:r>
        <w:rPr>
          <w:rFonts w:hint="eastAsia"/>
          <w:color w:val="auto"/>
          <w:lang w:eastAsia="zh-CN"/>
        </w:rPr>
        <w:t>80</w:t>
      </w:r>
      <w:r>
        <w:rPr>
          <w:rFonts w:hint="eastAsia"/>
          <w:color w:val="auto"/>
        </w:rPr>
        <w:t>亿元的集成电路生产企业，经营期在</w:t>
      </w:r>
      <w:r>
        <w:rPr>
          <w:rFonts w:hint="eastAsia"/>
          <w:color w:val="auto"/>
          <w:lang w:eastAsia="zh-CN"/>
        </w:rPr>
        <w:t>15</w:t>
      </w:r>
      <w:r>
        <w:rPr>
          <w:rFonts w:hint="eastAsia"/>
          <w:color w:val="auto"/>
        </w:rPr>
        <w:t>年以上的，在</w:t>
      </w:r>
      <w:r>
        <w:rPr>
          <w:rFonts w:hint="eastAsia"/>
          <w:color w:val="auto"/>
          <w:lang w:eastAsia="zh-CN"/>
        </w:rPr>
        <w:t>2017</w:t>
      </w:r>
      <w:r>
        <w:rPr>
          <w:rFonts w:hint="eastAsia"/>
          <w:color w:val="auto"/>
        </w:rPr>
        <w:t>年</w:t>
      </w:r>
      <w:r>
        <w:rPr>
          <w:rFonts w:hint="eastAsia"/>
          <w:color w:val="auto"/>
          <w:lang w:eastAsia="zh-CN"/>
        </w:rPr>
        <w:t>12</w:t>
      </w:r>
      <w:r>
        <w:rPr>
          <w:rFonts w:hint="eastAsia"/>
          <w:color w:val="auto"/>
        </w:rPr>
        <w:t>月</w:t>
      </w:r>
      <w:r>
        <w:rPr>
          <w:rFonts w:hint="eastAsia"/>
          <w:color w:val="auto"/>
          <w:lang w:eastAsia="zh-CN"/>
        </w:rPr>
        <w:t>31</w:t>
      </w:r>
      <w:r>
        <w:rPr>
          <w:rFonts w:hint="eastAsia"/>
          <w:color w:val="auto"/>
        </w:rPr>
        <w:t>日前自获利年度起计算优惠期，第一年至第五年免征企业所得税，第六年至第十年按照</w:t>
      </w:r>
      <w:r>
        <w:rPr>
          <w:rFonts w:hint="eastAsia"/>
          <w:color w:val="auto"/>
          <w:lang w:eastAsia="zh-CN"/>
        </w:rPr>
        <w:t>25</w:t>
      </w:r>
      <w:r>
        <w:rPr>
          <w:rFonts w:hint="eastAsia"/>
          <w:color w:val="auto"/>
        </w:rPr>
        <w:t>%的法定税率减半征收企业所得税，并享受至期满为止。</w:t>
      </w:r>
    </w:p>
    <w:p>
      <w:pPr>
        <w:ind w:firstLine="472"/>
        <w:rPr>
          <w:rFonts w:hint="eastAsia"/>
          <w:color w:val="auto"/>
        </w:rPr>
      </w:pPr>
      <w:r>
        <w:rPr>
          <w:rFonts w:hint="eastAsia"/>
          <w:color w:val="auto"/>
        </w:rPr>
        <w:t>（</w:t>
      </w:r>
      <w:r>
        <w:rPr>
          <w:rFonts w:hint="eastAsia"/>
          <w:color w:val="auto"/>
          <w:lang w:eastAsia="zh-CN"/>
        </w:rPr>
        <w:t>7</w:t>
      </w:r>
      <w:r>
        <w:rPr>
          <w:rFonts w:hint="eastAsia"/>
          <w:color w:val="auto"/>
        </w:rPr>
        <w:t>）</w:t>
      </w:r>
      <w:r>
        <w:rPr>
          <w:rFonts w:hint="eastAsia"/>
          <w:color w:val="auto"/>
          <w:lang w:eastAsia="zh-CN"/>
        </w:rPr>
        <w:t>2017</w:t>
      </w:r>
      <w:r>
        <w:rPr>
          <w:rFonts w:hint="eastAsia"/>
          <w:color w:val="auto"/>
        </w:rPr>
        <w:t>年</w:t>
      </w:r>
      <w:r>
        <w:rPr>
          <w:rFonts w:hint="eastAsia"/>
          <w:color w:val="auto"/>
          <w:lang w:eastAsia="zh-CN"/>
        </w:rPr>
        <w:t>12</w:t>
      </w:r>
      <w:r>
        <w:rPr>
          <w:rFonts w:hint="eastAsia"/>
          <w:color w:val="auto"/>
        </w:rPr>
        <w:t>月</w:t>
      </w:r>
      <w:r>
        <w:rPr>
          <w:rFonts w:hint="eastAsia"/>
          <w:color w:val="auto"/>
          <w:lang w:eastAsia="zh-CN"/>
        </w:rPr>
        <w:t>31</w:t>
      </w:r>
      <w:r>
        <w:rPr>
          <w:rFonts w:hint="eastAsia"/>
          <w:color w:val="auto"/>
        </w:rPr>
        <w:t>日前设立但未获利的集成电路线宽小于</w:t>
      </w:r>
      <w:r>
        <w:rPr>
          <w:rFonts w:hint="eastAsia"/>
          <w:color w:val="auto"/>
          <w:lang w:eastAsia="zh-CN"/>
        </w:rPr>
        <w:t>0.25</w:t>
      </w:r>
      <w:r>
        <w:rPr>
          <w:rFonts w:hint="eastAsia"/>
          <w:color w:val="auto"/>
        </w:rPr>
        <w:t>微米或投资额超过</w:t>
      </w:r>
      <w:r>
        <w:rPr>
          <w:rFonts w:hint="eastAsia"/>
          <w:color w:val="auto"/>
          <w:lang w:eastAsia="zh-CN"/>
        </w:rPr>
        <w:t>80</w:t>
      </w:r>
      <w:r>
        <w:rPr>
          <w:rFonts w:hint="eastAsia"/>
          <w:color w:val="auto"/>
        </w:rPr>
        <w:t>亿元，且经营期在</w:t>
      </w:r>
      <w:r>
        <w:rPr>
          <w:rFonts w:hint="eastAsia"/>
          <w:color w:val="auto"/>
          <w:lang w:eastAsia="zh-CN"/>
        </w:rPr>
        <w:t>15</w:t>
      </w:r>
      <w:r>
        <w:rPr>
          <w:rFonts w:hint="eastAsia"/>
          <w:color w:val="auto"/>
        </w:rPr>
        <w:t>年以上的集成电路生产企业，自获利年度起第一年至第五年免征企业所得税，第六年至第十年按照</w:t>
      </w:r>
      <w:r>
        <w:rPr>
          <w:rFonts w:hint="eastAsia"/>
          <w:color w:val="auto"/>
          <w:lang w:eastAsia="zh-CN"/>
        </w:rPr>
        <w:t>25</w:t>
      </w:r>
      <w:r>
        <w:rPr>
          <w:rFonts w:hint="eastAsia"/>
          <w:color w:val="auto"/>
        </w:rPr>
        <w:t>%的法定税率减半征收企业所得税，并享受至期满为止。</w:t>
      </w:r>
    </w:p>
    <w:p>
      <w:pPr>
        <w:ind w:firstLine="472"/>
        <w:rPr>
          <w:rFonts w:hint="eastAsia"/>
          <w:color w:val="auto"/>
        </w:rPr>
      </w:pPr>
      <w:r>
        <w:rPr>
          <w:rFonts w:hint="eastAsia"/>
          <w:color w:val="auto"/>
          <w:lang w:val="en-US" w:eastAsia="zh-CN"/>
        </w:rPr>
        <w:t>4</w:t>
      </w:r>
      <w:r>
        <w:rPr>
          <w:rFonts w:hint="eastAsia"/>
          <w:color w:val="auto"/>
          <w:lang w:eastAsia="zh-CN"/>
        </w:rPr>
        <w:t>.</w:t>
      </w:r>
      <w:r>
        <w:rPr>
          <w:rFonts w:hint="eastAsia"/>
          <w:color w:val="auto"/>
        </w:rPr>
        <w:t>集成电路设计企业税收优惠的情形包括：</w:t>
      </w:r>
    </w:p>
    <w:p>
      <w:pPr>
        <w:ind w:firstLine="472"/>
        <w:rPr>
          <w:rFonts w:hint="eastAsia"/>
          <w:color w:val="auto"/>
        </w:rPr>
      </w:pPr>
      <w:r>
        <w:rPr>
          <w:rFonts w:hint="eastAsia"/>
          <w:color w:val="auto"/>
        </w:rPr>
        <w:t>（</w:t>
      </w:r>
      <w:r>
        <w:rPr>
          <w:rFonts w:hint="eastAsia"/>
          <w:color w:val="auto"/>
          <w:lang w:eastAsia="zh-CN"/>
        </w:rPr>
        <w:t>1</w:t>
      </w:r>
      <w:r>
        <w:rPr>
          <w:rFonts w:hint="eastAsia"/>
          <w:color w:val="auto"/>
        </w:rPr>
        <w:t>）我国境内新办的集成电路设计企业，在</w:t>
      </w:r>
      <w:r>
        <w:rPr>
          <w:rFonts w:hint="eastAsia"/>
          <w:color w:val="auto"/>
          <w:lang w:eastAsia="zh-CN"/>
        </w:rPr>
        <w:t>2017</w:t>
      </w:r>
      <w:r>
        <w:rPr>
          <w:rFonts w:hint="eastAsia"/>
          <w:color w:val="auto"/>
        </w:rPr>
        <w:t>年</w:t>
      </w:r>
      <w:r>
        <w:rPr>
          <w:rFonts w:hint="eastAsia"/>
          <w:color w:val="auto"/>
          <w:lang w:eastAsia="zh-CN"/>
        </w:rPr>
        <w:t>12</w:t>
      </w:r>
      <w:r>
        <w:rPr>
          <w:rFonts w:hint="eastAsia"/>
          <w:color w:val="auto"/>
        </w:rPr>
        <w:t>月</w:t>
      </w:r>
      <w:r>
        <w:rPr>
          <w:rFonts w:hint="eastAsia"/>
          <w:color w:val="auto"/>
          <w:lang w:eastAsia="zh-CN"/>
        </w:rPr>
        <w:t>31</w:t>
      </w:r>
      <w:r>
        <w:rPr>
          <w:rFonts w:hint="eastAsia"/>
          <w:color w:val="auto"/>
        </w:rPr>
        <w:t>日前自获利年度起，第一年至第二年免征企业所得税，第三年至第五年按照</w:t>
      </w:r>
      <w:r>
        <w:rPr>
          <w:rFonts w:hint="eastAsia"/>
          <w:color w:val="auto"/>
          <w:lang w:eastAsia="zh-CN"/>
        </w:rPr>
        <w:t>25</w:t>
      </w:r>
      <w:r>
        <w:rPr>
          <w:rFonts w:hint="eastAsia"/>
          <w:color w:val="auto"/>
        </w:rPr>
        <w:t>%的法定税率减半征收企业所得税，并享受至期满为止。</w:t>
      </w:r>
    </w:p>
    <w:p>
      <w:pPr>
        <w:ind w:firstLine="472"/>
        <w:rPr>
          <w:rFonts w:hint="eastAsia"/>
          <w:color w:val="auto"/>
        </w:rPr>
      </w:pPr>
      <w:r>
        <w:rPr>
          <w:rFonts w:hint="eastAsia"/>
          <w:color w:val="auto"/>
        </w:rPr>
        <w:t>（</w:t>
      </w:r>
      <w:r>
        <w:rPr>
          <w:rFonts w:hint="eastAsia"/>
          <w:color w:val="auto"/>
          <w:lang w:eastAsia="zh-CN"/>
        </w:rPr>
        <w:t>2</w:t>
      </w:r>
      <w:r>
        <w:rPr>
          <w:rFonts w:hint="eastAsia"/>
          <w:color w:val="auto"/>
        </w:rPr>
        <w:t>）国家规划布局内的集成电路设计企业，如当年未享受免税优惠的，可减按</w:t>
      </w:r>
      <w:r>
        <w:rPr>
          <w:rFonts w:hint="eastAsia"/>
          <w:color w:val="auto"/>
          <w:lang w:eastAsia="zh-CN"/>
        </w:rPr>
        <w:t>10</w:t>
      </w:r>
      <w:r>
        <w:rPr>
          <w:rFonts w:hint="eastAsia"/>
          <w:color w:val="auto"/>
        </w:rPr>
        <w:t>%的税率征收企业所得税。</w:t>
      </w:r>
    </w:p>
    <w:p>
      <w:pPr>
        <w:ind w:firstLine="472"/>
        <w:rPr>
          <w:rFonts w:hint="eastAsia"/>
          <w:color w:val="auto"/>
        </w:rPr>
      </w:pPr>
      <w:r>
        <w:rPr>
          <w:rFonts w:hint="eastAsia"/>
          <w:color w:val="auto"/>
          <w:lang w:val="en-US" w:eastAsia="zh-CN"/>
        </w:rPr>
        <w:t>5</w:t>
      </w:r>
      <w:r>
        <w:rPr>
          <w:rFonts w:hint="eastAsia"/>
          <w:color w:val="auto"/>
          <w:lang w:eastAsia="zh-CN"/>
        </w:rPr>
        <w:t>.</w:t>
      </w:r>
      <w:r>
        <w:rPr>
          <w:rFonts w:hint="eastAsia"/>
          <w:color w:val="auto"/>
        </w:rPr>
        <w:t>软件企业税收优惠的情形包括：</w:t>
      </w:r>
    </w:p>
    <w:p>
      <w:pPr>
        <w:ind w:firstLine="472"/>
        <w:rPr>
          <w:rFonts w:hint="eastAsia"/>
          <w:color w:val="auto"/>
        </w:rPr>
      </w:pPr>
      <w:r>
        <w:rPr>
          <w:rFonts w:hint="eastAsia"/>
          <w:color w:val="auto"/>
        </w:rPr>
        <w:t>（</w:t>
      </w:r>
      <w:r>
        <w:rPr>
          <w:rFonts w:hint="eastAsia"/>
          <w:color w:val="auto"/>
          <w:lang w:eastAsia="zh-CN"/>
        </w:rPr>
        <w:t>1</w:t>
      </w:r>
      <w:r>
        <w:rPr>
          <w:rFonts w:hint="eastAsia"/>
          <w:color w:val="auto"/>
        </w:rPr>
        <w:t>）我国境内符合条件的软件企业，在</w:t>
      </w:r>
      <w:r>
        <w:rPr>
          <w:rFonts w:hint="eastAsia"/>
          <w:color w:val="auto"/>
          <w:lang w:eastAsia="zh-CN"/>
        </w:rPr>
        <w:t>2017</w:t>
      </w:r>
      <w:r>
        <w:rPr>
          <w:rFonts w:hint="eastAsia"/>
          <w:color w:val="auto"/>
        </w:rPr>
        <w:t>年</w:t>
      </w:r>
      <w:r>
        <w:rPr>
          <w:rFonts w:hint="eastAsia"/>
          <w:color w:val="auto"/>
          <w:lang w:eastAsia="zh-CN"/>
        </w:rPr>
        <w:t>12</w:t>
      </w:r>
      <w:r>
        <w:rPr>
          <w:rFonts w:hint="eastAsia"/>
          <w:color w:val="auto"/>
        </w:rPr>
        <w:t>月</w:t>
      </w:r>
      <w:r>
        <w:rPr>
          <w:rFonts w:hint="eastAsia"/>
          <w:color w:val="auto"/>
          <w:lang w:eastAsia="zh-CN"/>
        </w:rPr>
        <w:t>31</w:t>
      </w:r>
      <w:r>
        <w:rPr>
          <w:rFonts w:hint="eastAsia"/>
          <w:color w:val="auto"/>
        </w:rPr>
        <w:t>日前自获利年度起，第一年至第二年免征企业所得税，第三年至第五年按照</w:t>
      </w:r>
      <w:r>
        <w:rPr>
          <w:rFonts w:hint="eastAsia"/>
          <w:color w:val="auto"/>
          <w:lang w:eastAsia="zh-CN"/>
        </w:rPr>
        <w:t>25</w:t>
      </w:r>
      <w:r>
        <w:rPr>
          <w:rFonts w:hint="eastAsia"/>
          <w:color w:val="auto"/>
        </w:rPr>
        <w:t>%的法定税率减半征收企业所得税，并享受至期满为止。</w:t>
      </w:r>
    </w:p>
    <w:p>
      <w:pPr>
        <w:ind w:firstLine="472"/>
        <w:rPr>
          <w:color w:val="auto"/>
        </w:rPr>
      </w:pPr>
      <w:r>
        <w:rPr>
          <w:rFonts w:hint="eastAsia"/>
          <w:color w:val="auto"/>
        </w:rPr>
        <w:t>（</w:t>
      </w:r>
      <w:r>
        <w:rPr>
          <w:rFonts w:hint="eastAsia"/>
          <w:color w:val="auto"/>
          <w:lang w:eastAsia="zh-CN"/>
        </w:rPr>
        <w:t>2</w:t>
      </w:r>
      <w:r>
        <w:rPr>
          <w:rFonts w:hint="eastAsia"/>
          <w:color w:val="auto"/>
        </w:rPr>
        <w:t>）国家规划布局内的重点软件企业，如当年未享受免税优惠的，可减按</w:t>
      </w:r>
      <w:r>
        <w:rPr>
          <w:rFonts w:hint="eastAsia"/>
          <w:color w:val="auto"/>
          <w:lang w:eastAsia="zh-CN"/>
        </w:rPr>
        <w:t>10</w:t>
      </w:r>
      <w:r>
        <w:rPr>
          <w:rFonts w:hint="eastAsia"/>
          <w:color w:val="auto"/>
        </w:rPr>
        <w:t>%的税率征收企业所得税。</w:t>
      </w:r>
    </w:p>
    <w:p>
      <w:pPr>
        <w:ind w:firstLine="472"/>
        <w:rPr>
          <w:color w:val="auto"/>
        </w:rPr>
      </w:pPr>
      <w:r>
        <w:rPr>
          <w:rFonts w:hint="eastAsia"/>
          <w:color w:val="auto"/>
          <w:lang w:val="en-US" w:eastAsia="zh-CN"/>
        </w:rPr>
        <w:t>6</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7</w:t>
      </w:r>
      <w:r>
        <w:rPr>
          <w:rFonts w:hint="eastAsia"/>
          <w:color w:val="auto"/>
        </w:rPr>
        <w:t>.最多跑一次是在资料完整且符合法定受理条件的前提下，最多只需要到税务机关跑一次。</w:t>
      </w:r>
    </w:p>
    <w:p>
      <w:pPr>
        <w:ind w:firstLine="472"/>
        <w:jc w:val="left"/>
        <w:rPr>
          <w:rFonts w:hint="eastAsia"/>
          <w:color w:val="auto"/>
        </w:rPr>
      </w:pPr>
      <w:r>
        <w:rPr>
          <w:rFonts w:hint="eastAsia"/>
          <w:color w:val="auto"/>
          <w:lang w:val="en-US" w:eastAsia="zh-CN"/>
        </w:rPr>
        <w:t>8.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9171CD8"/>
    <w:multiLevelType w:val="singleLevel"/>
    <w:tmpl w:val="29171CD8"/>
    <w:lvl w:ilvl="0" w:tentative="0">
      <w:start w:val="5"/>
      <w:numFmt w:val="chineseCounting"/>
      <w:suff w:val="nothing"/>
      <w:lvlText w:val="%1、"/>
      <w:lvlJc w:val="left"/>
      <w:rPr>
        <w:rFonts w:hint="eastAsia"/>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16100E0"/>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2019-10-31T04:49:07Z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