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6617"/>
      <w:r>
        <w:rPr>
          <w:rFonts w:hint="eastAsia" w:ascii="黑体" w:hAnsi="黑体" w:cstheme="minorBidi"/>
          <w:color w:val="auto"/>
        </w:rPr>
        <w:t>2.5.2.3外贸综合服务企业代办退税申报核准</w:t>
      </w:r>
      <w:bookmarkEnd w:id="0"/>
    </w:p>
    <w:p>
      <w:pPr>
        <w:pStyle w:val="3"/>
        <w:ind w:firstLine="552"/>
        <w:rPr>
          <w:color w:val="auto"/>
        </w:rPr>
      </w:pPr>
      <w:r>
        <w:rPr>
          <w:color w:val="auto"/>
        </w:rPr>
        <w:t>一、事项名称</w:t>
      </w:r>
    </w:p>
    <w:p>
      <w:pPr>
        <w:ind w:firstLine="472"/>
        <w:rPr>
          <w:rFonts w:hint="eastAsia" w:eastAsia="宋体"/>
          <w:color w:val="auto"/>
          <w:lang w:eastAsia="zh-CN"/>
        </w:rPr>
      </w:pPr>
      <w:r>
        <w:rPr>
          <w:rFonts w:hint="eastAsia"/>
          <w:color w:val="auto"/>
        </w:rPr>
        <w:t>外贸综合服务企业代办退税申报核准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rFonts w:hint="eastAsia"/>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外贸综合服务企业代办退税申报事项是指外贸综合服务企业（以下简称综服企业）符合商务部等部门规定的综服企业定义并向主管税务机关备案，且企业内部已建立较为完善的代办退税内部风险管控制度并已向主管税务机关备案的，可向综服企业所在地主管税务机关集中代为办理国内生产企业出口退（免）税事项（以下称代办退税）。</w:t>
      </w:r>
    </w:p>
    <w:p>
      <w:pPr>
        <w:ind w:firstLine="472"/>
        <w:rPr>
          <w:rFonts w:hint="eastAsia"/>
          <w:color w:val="auto"/>
        </w:rPr>
      </w:pPr>
      <w:r>
        <w:rPr>
          <w:rFonts w:hint="eastAsia"/>
          <w:color w:val="auto"/>
        </w:rPr>
        <w:t>综服企业出口货物劳务后，应在货物报关出口之日次月起至次年4月30日前的各增值税纳税申报期内收齐有关凭证，向主管税务机关申请办理代办退税申报。</w:t>
      </w:r>
    </w:p>
    <w:p>
      <w:pPr>
        <w:ind w:firstLine="472"/>
        <w:rPr>
          <w:color w:val="auto"/>
        </w:rPr>
      </w:pPr>
      <w:r>
        <w:rPr>
          <w:rFonts w:hint="eastAsia"/>
          <w:color w:val="auto"/>
        </w:rPr>
        <w:t>综服企业应参照外贸企业出口退税申报相关规定，向主管税务机关单独申报代办退税。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1.《国家税务总局关于调整完善外贸综合服务企业办理出口货物退（免）税有关事项的公告》（国家税务总局公告2017年第35号）第八条</w:t>
      </w:r>
    </w:p>
    <w:p>
      <w:pPr>
        <w:ind w:firstLine="472"/>
        <w:rPr>
          <w:rFonts w:hint="eastAsia" w:eastAsia="宋体"/>
          <w:color w:val="auto"/>
          <w:lang w:val="en-US" w:eastAsia="zh-CN"/>
        </w:rPr>
      </w:pPr>
      <w:r>
        <w:rPr>
          <w:rFonts w:hint="default"/>
          <w:color w:val="auto"/>
          <w:lang w:val="en-US" w:eastAsia="zh-CN"/>
        </w:rPr>
        <w:t>“</w:t>
      </w:r>
      <w:r>
        <w:rPr>
          <w:rFonts w:hint="eastAsia"/>
          <w:color w:val="auto"/>
        </w:rPr>
        <w:t>综服企业应参照外贸企业出口退税申报相关规定，向主管税务机关单独申报代办退税，报送《外贸综合服务企业代办退税申报表》（附件2）、代办退税专用发票（抵扣联）和其他申报资料。</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1</w:t>
            </w:r>
          </w:p>
        </w:tc>
        <w:tc>
          <w:tcPr>
            <w:tcW w:w="196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代办退税申报电子数据</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Arial"/>
                <w:color w:val="auto"/>
                <w:sz w:val="18"/>
                <w:szCs w:val="18"/>
                <w:lang w:eastAsia="zh-CN"/>
              </w:rPr>
              <w:t>税务机关</w:t>
            </w:r>
            <w:r>
              <w:rPr>
                <w:rFonts w:hint="eastAsia" w:cs="Arial"/>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firstLineChars="200"/>
              <w:rPr>
                <w:rFonts w:cs="宋体"/>
                <w:color w:val="auto"/>
                <w:kern w:val="0"/>
                <w:sz w:val="18"/>
                <w:szCs w:val="18"/>
              </w:rPr>
            </w:pPr>
            <w:r>
              <w:rPr>
                <w:rFonts w:hint="eastAsia" w:ascii="宋体" w:hAnsi="宋体" w:cs="宋体"/>
                <w:color w:val="auto"/>
                <w:sz w:val="18"/>
                <w:szCs w:val="18"/>
              </w:rPr>
              <w:t>2</w:t>
            </w:r>
          </w:p>
        </w:tc>
        <w:tc>
          <w:tcPr>
            <w:tcW w:w="1969" w:type="dxa"/>
            <w:shd w:val="clear" w:color="auto" w:fill="auto"/>
            <w:vAlign w:val="center"/>
          </w:tcPr>
          <w:p>
            <w:pPr>
              <w:widowControl/>
              <w:spacing w:line="280" w:lineRule="exact"/>
              <w:ind w:firstLine="0" w:firstLineChars="0"/>
              <w:rPr>
                <w:rFonts w:cs="宋体"/>
                <w:color w:val="auto"/>
                <w:kern w:val="0"/>
                <w:sz w:val="18"/>
                <w:szCs w:val="18"/>
              </w:rPr>
            </w:pPr>
            <w:r>
              <w:rPr>
                <w:rFonts w:hint="eastAsia" w:cs="Arial"/>
                <w:color w:val="auto"/>
                <w:sz w:val="18"/>
                <w:szCs w:val="18"/>
              </w:rPr>
              <w:t>《外贸综合服务企业代办退税申报表》</w:t>
            </w:r>
          </w:p>
        </w:tc>
        <w:tc>
          <w:tcPr>
            <w:tcW w:w="850" w:type="dxa"/>
            <w:shd w:val="clear" w:color="auto" w:fill="auto"/>
            <w:vAlign w:val="center"/>
          </w:tcPr>
          <w:p>
            <w:pPr>
              <w:pStyle w:val="13"/>
              <w:widowControl/>
              <w:spacing w:before="100" w:after="100" w:line="280" w:lineRule="exact"/>
              <w:ind w:firstLine="352" w:firstLineChars="200"/>
              <w:rPr>
                <w:rFonts w:cs="宋体"/>
                <w:color w:val="auto"/>
                <w:kern w:val="0"/>
                <w:sz w:val="18"/>
                <w:szCs w:val="18"/>
              </w:rPr>
            </w:pPr>
            <w:r>
              <w:rPr>
                <w:rFonts w:hint="eastAsia" w:ascii="宋体" w:hAnsi="宋体" w:cs="宋体"/>
                <w:color w:val="auto"/>
                <w:sz w:val="18"/>
                <w:szCs w:val="18"/>
              </w:rPr>
              <w:t>2</w:t>
            </w:r>
          </w:p>
        </w:tc>
        <w:tc>
          <w:tcPr>
            <w:tcW w:w="980" w:type="dxa"/>
            <w:shd w:val="clear" w:color="auto" w:fill="auto"/>
            <w:vAlign w:val="center"/>
          </w:tcPr>
          <w:p>
            <w:pPr>
              <w:pStyle w:val="13"/>
              <w:widowControl/>
              <w:spacing w:before="100" w:after="100" w:line="280" w:lineRule="exact"/>
              <w:ind w:firstLine="264" w:firstLineChars="150"/>
              <w:rPr>
                <w:rFonts w:cs="宋体"/>
                <w:color w:val="auto"/>
                <w:kern w:val="0"/>
                <w:sz w:val="18"/>
                <w:szCs w:val="18"/>
              </w:rPr>
            </w:pPr>
            <w:r>
              <w:rPr>
                <w:rFonts w:hint="eastAsia" w:ascii="宋体" w:hAnsi="宋体" w:eastAsia="宋体" w:cs="Arial"/>
                <w:color w:val="auto"/>
                <w:kern w:val="2"/>
                <w:sz w:val="18"/>
                <w:szCs w:val="18"/>
                <w:lang w:val="en-US" w:eastAsia="zh-CN" w:bidi="ar-SA"/>
              </w:rPr>
              <w:t>必报</w:t>
            </w:r>
          </w:p>
        </w:tc>
        <w:tc>
          <w:tcPr>
            <w:tcW w:w="1587" w:type="dxa"/>
            <w:shd w:val="clear" w:color="auto" w:fill="auto"/>
            <w:vAlign w:val="center"/>
          </w:tcPr>
          <w:p>
            <w:pPr>
              <w:pStyle w:val="13"/>
              <w:widowControl/>
              <w:spacing w:before="100" w:after="100" w:line="280" w:lineRule="exact"/>
              <w:ind w:firstLine="352" w:firstLineChars="200"/>
              <w:rPr>
                <w:rFonts w:cs="宋体"/>
                <w:color w:val="auto"/>
                <w:kern w:val="0"/>
                <w:sz w:val="18"/>
                <w:szCs w:val="18"/>
              </w:rPr>
            </w:pPr>
          </w:p>
        </w:tc>
        <w:tc>
          <w:tcPr>
            <w:tcW w:w="1134" w:type="dxa"/>
            <w:vAlign w:val="center"/>
          </w:tcPr>
          <w:p>
            <w:pPr>
              <w:pStyle w:val="13"/>
              <w:widowControl/>
              <w:spacing w:before="100" w:after="100" w:line="280" w:lineRule="exact"/>
              <w:rPr>
                <w:rFonts w:cs="宋体"/>
                <w:color w:val="auto"/>
                <w:kern w:val="0"/>
                <w:sz w:val="18"/>
                <w:szCs w:val="18"/>
              </w:rPr>
            </w:pPr>
            <w:r>
              <w:rPr>
                <w:rFonts w:hint="eastAsia" w:ascii="宋体" w:hAnsi="宋体" w:eastAsia="宋体" w:cs="Arial"/>
                <w:color w:val="auto"/>
                <w:kern w:val="2"/>
                <w:sz w:val="18"/>
                <w:szCs w:val="18"/>
                <w:lang w:val="en-US" w:eastAsia="zh-CN" w:bidi="ar-SA"/>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firstLineChars="200"/>
              <w:rPr>
                <w:rFonts w:cs="宋体"/>
                <w:color w:val="auto"/>
                <w:kern w:val="0"/>
                <w:sz w:val="18"/>
                <w:szCs w:val="18"/>
              </w:rPr>
            </w:pPr>
            <w:r>
              <w:rPr>
                <w:rFonts w:hint="eastAsia" w:ascii="宋体" w:hAnsi="宋体" w:cs="宋体"/>
                <w:color w:val="auto"/>
                <w:sz w:val="18"/>
                <w:szCs w:val="18"/>
              </w:rPr>
              <w:t>3</w:t>
            </w:r>
          </w:p>
        </w:tc>
        <w:tc>
          <w:tcPr>
            <w:tcW w:w="1969" w:type="dxa"/>
            <w:shd w:val="clear" w:color="auto" w:fill="auto"/>
            <w:vAlign w:val="top"/>
          </w:tcPr>
          <w:p>
            <w:pPr>
              <w:widowControl/>
              <w:spacing w:line="280" w:lineRule="exact"/>
              <w:ind w:firstLine="0" w:firstLineChars="0"/>
              <w:rPr>
                <w:rFonts w:hint="eastAsia" w:cs="宋体"/>
                <w:color w:val="auto"/>
                <w:kern w:val="0"/>
                <w:sz w:val="18"/>
                <w:szCs w:val="18"/>
              </w:rPr>
            </w:pPr>
            <w:r>
              <w:rPr>
                <w:rFonts w:hint="eastAsia" w:cs="Arial"/>
                <w:color w:val="auto"/>
                <w:sz w:val="18"/>
                <w:szCs w:val="18"/>
              </w:rPr>
              <w:t>代办退税专用发票（抵扣联）</w:t>
            </w:r>
          </w:p>
        </w:tc>
        <w:tc>
          <w:tcPr>
            <w:tcW w:w="850" w:type="dxa"/>
            <w:shd w:val="clear" w:color="auto" w:fill="auto"/>
            <w:vAlign w:val="center"/>
          </w:tcPr>
          <w:p>
            <w:pPr>
              <w:pStyle w:val="13"/>
              <w:widowControl/>
              <w:spacing w:before="100" w:after="100" w:line="280" w:lineRule="exact"/>
              <w:ind w:firstLine="352" w:firstLineChars="200"/>
              <w:rPr>
                <w:rFonts w:hint="eastAsia" w:cs="宋体"/>
                <w:color w:val="auto"/>
                <w:kern w:val="0"/>
                <w:sz w:val="18"/>
                <w:szCs w:val="18"/>
              </w:rPr>
            </w:pPr>
            <w:r>
              <w:rPr>
                <w:rFonts w:hint="eastAsia" w:ascii="宋体" w:hAnsi="宋体" w:cs="宋体"/>
                <w:color w:val="auto"/>
                <w:sz w:val="18"/>
                <w:szCs w:val="18"/>
              </w:rPr>
              <w:t>1</w:t>
            </w:r>
          </w:p>
        </w:tc>
        <w:tc>
          <w:tcPr>
            <w:tcW w:w="980" w:type="dxa"/>
            <w:shd w:val="clear" w:color="auto" w:fill="auto"/>
            <w:vAlign w:val="center"/>
          </w:tcPr>
          <w:p>
            <w:pPr>
              <w:pStyle w:val="13"/>
              <w:widowControl/>
              <w:spacing w:before="100" w:after="100" w:line="280" w:lineRule="exact"/>
              <w:ind w:firstLine="264" w:firstLineChars="150"/>
              <w:rPr>
                <w:rFonts w:hint="eastAsia" w:cs="宋体"/>
                <w:color w:val="auto"/>
                <w:kern w:val="0"/>
                <w:sz w:val="18"/>
                <w:szCs w:val="18"/>
              </w:rPr>
            </w:pPr>
            <w:r>
              <w:rPr>
                <w:rFonts w:hint="eastAsia" w:ascii="宋体" w:hAnsi="宋体" w:eastAsia="宋体" w:cs="Arial"/>
                <w:color w:val="auto"/>
                <w:kern w:val="2"/>
                <w:sz w:val="18"/>
                <w:szCs w:val="18"/>
                <w:lang w:val="en-US" w:eastAsia="zh-CN" w:bidi="ar-SA"/>
              </w:rPr>
              <w:t>必报</w:t>
            </w:r>
          </w:p>
        </w:tc>
        <w:tc>
          <w:tcPr>
            <w:tcW w:w="1587" w:type="dxa"/>
            <w:shd w:val="clear" w:color="auto" w:fill="auto"/>
            <w:vAlign w:val="center"/>
          </w:tcPr>
          <w:p>
            <w:pPr>
              <w:pStyle w:val="13"/>
              <w:widowControl/>
              <w:spacing w:before="100" w:after="100" w:line="280" w:lineRule="exact"/>
              <w:ind w:firstLine="352" w:firstLineChars="200"/>
              <w:rPr>
                <w:rFonts w:hint="eastAsia" w:cs="宋体"/>
                <w:color w:val="auto"/>
                <w:kern w:val="0"/>
                <w:sz w:val="18"/>
                <w:szCs w:val="18"/>
              </w:rPr>
            </w:pPr>
          </w:p>
        </w:tc>
        <w:tc>
          <w:tcPr>
            <w:tcW w:w="1134" w:type="dxa"/>
            <w:vAlign w:val="center"/>
          </w:tcPr>
          <w:p>
            <w:pPr>
              <w:pStyle w:val="13"/>
              <w:widowControl/>
              <w:spacing w:before="100" w:after="100" w:line="280" w:lineRule="exact"/>
              <w:rPr>
                <w:rFonts w:hint="eastAsia" w:cs="宋体"/>
                <w:color w:val="auto"/>
                <w:kern w:val="0"/>
                <w:sz w:val="18"/>
                <w:szCs w:val="18"/>
              </w:rPr>
            </w:pPr>
            <w:r>
              <w:rPr>
                <w:rFonts w:hint="eastAsia" w:ascii="宋体" w:hAnsi="宋体" w:eastAsia="宋体" w:cs="Arial"/>
                <w:color w:val="auto"/>
                <w:kern w:val="2"/>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bCs/>
          <w:color w:val="auto"/>
        </w:rPr>
        <w:object>
          <v:shape id="_x0000_i1172" o:spt="75" type="#_x0000_t75" style="height:180pt;width:415.2pt;" o:ole="t" filled="f" o:preferrelative="t" stroked="f" coordsize="21600,21600">
            <v:path/>
            <v:fill on="f" focussize="0,0"/>
            <v:stroke on="f"/>
            <v:imagedata r:id="rId11" o:title=""/>
            <o:lock v:ext="edit" aspectratio="t"/>
            <w10:wrap type="none"/>
            <w10:anchorlock/>
          </v:shape>
          <o:OLEObject Type="Embed" ProgID="" ShapeID="_x0000_i117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资料齐全、符合法定形式的，税务机关受理后5个工作日、10个工作日、15个工作日、20个工作日(根据出口企业类别不同）。</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1.A08074《外贸综合服务企业代办退税申报表》</w:t>
      </w:r>
    </w:p>
    <w:p>
      <w:pPr>
        <w:pStyle w:val="3"/>
        <w:ind w:firstLine="552"/>
        <w:rPr>
          <w:color w:val="auto"/>
        </w:rPr>
      </w:pPr>
      <w:r>
        <w:rPr>
          <w:rFonts w:hint="eastAsia"/>
          <w:color w:val="auto"/>
        </w:rPr>
        <w:t>九、注意事项</w:t>
      </w:r>
    </w:p>
    <w:p>
      <w:pPr>
        <w:topLinePunct/>
        <w:ind w:firstLine="480"/>
        <w:rPr>
          <w:color w:val="auto"/>
          <w:kern w:val="20"/>
          <w:szCs w:val="24"/>
        </w:rPr>
      </w:pPr>
      <w:r>
        <w:rPr>
          <w:color w:val="auto"/>
        </w:rPr>
        <w:t>1.</w:t>
      </w:r>
      <w:r>
        <w:rPr>
          <w:rFonts w:hint="eastAsia"/>
          <w:color w:val="auto"/>
          <w:kern w:val="20"/>
          <w:szCs w:val="24"/>
        </w:rPr>
        <w:t>本事项限时办结。</w:t>
      </w:r>
    </w:p>
    <w:tbl>
      <w:tblPr>
        <w:tblStyle w:val="15"/>
        <w:tblW w:w="86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599"/>
        <w:gridCol w:w="1621"/>
        <w:gridCol w:w="1862"/>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84" w:type="dxa"/>
            <w:tcBorders>
              <w:top w:val="single" w:color="auto" w:sz="12" w:space="0"/>
              <w:left w:val="single" w:color="auto" w:sz="12" w:space="0"/>
              <w:bottom w:val="single" w:color="auto" w:sz="8" w:space="0"/>
              <w:right w:val="single" w:color="auto" w:sz="8" w:space="0"/>
              <w:tl2br w:val="single" w:color="auto" w:sz="8" w:space="0"/>
            </w:tcBorders>
            <w:noWrap w:val="0"/>
            <w:vAlign w:val="top"/>
          </w:tcPr>
          <w:p>
            <w:pPr>
              <w:ind w:firstLine="361"/>
              <w:jc w:val="right"/>
              <w:rPr>
                <w:rFonts w:hint="eastAsia"/>
                <w:b/>
                <w:color w:val="auto"/>
                <w:kern w:val="0"/>
                <w:sz w:val="18"/>
                <w:szCs w:val="24"/>
              </w:rPr>
            </w:pPr>
            <w:r>
              <w:rPr>
                <w:rFonts w:hint="eastAsia"/>
                <w:b/>
                <w:color w:val="auto"/>
                <w:kern w:val="0"/>
                <w:sz w:val="18"/>
                <w:szCs w:val="24"/>
              </w:rPr>
              <w:t>信用状况</w:t>
            </w:r>
          </w:p>
          <w:p>
            <w:pPr>
              <w:ind w:firstLine="361"/>
              <w:rPr>
                <w:b/>
                <w:color w:val="auto"/>
                <w:kern w:val="0"/>
                <w:sz w:val="18"/>
                <w:szCs w:val="24"/>
              </w:rPr>
            </w:pPr>
            <w:r>
              <w:rPr>
                <w:rFonts w:hint="eastAsia"/>
                <w:b/>
                <w:color w:val="auto"/>
                <w:kern w:val="0"/>
                <w:sz w:val="18"/>
                <w:szCs w:val="24"/>
              </w:rPr>
              <w:t>差异化</w:t>
            </w:r>
            <w:r>
              <w:rPr>
                <w:b/>
                <w:color w:val="auto"/>
                <w:kern w:val="0"/>
                <w:sz w:val="18"/>
                <w:szCs w:val="24"/>
              </w:rPr>
              <w:t>规则</w:t>
            </w:r>
          </w:p>
        </w:tc>
        <w:tc>
          <w:tcPr>
            <w:tcW w:w="1599" w:type="dxa"/>
            <w:tcBorders>
              <w:top w:val="single" w:color="auto" w:sz="12" w:space="0"/>
              <w:left w:val="single" w:color="auto" w:sz="8" w:space="0"/>
              <w:bottom w:val="single" w:color="auto" w:sz="8" w:space="0"/>
              <w:right w:val="single" w:color="auto" w:sz="8" w:space="0"/>
            </w:tcBorders>
            <w:noWrap w:val="0"/>
            <w:vAlign w:val="center"/>
          </w:tcPr>
          <w:p>
            <w:pPr>
              <w:ind w:firstLine="361"/>
              <w:jc w:val="center"/>
              <w:rPr>
                <w:b/>
                <w:color w:val="auto"/>
                <w:kern w:val="0"/>
                <w:sz w:val="18"/>
                <w:szCs w:val="24"/>
              </w:rPr>
            </w:pPr>
            <w:r>
              <w:rPr>
                <w:rFonts w:hint="eastAsia"/>
                <w:b/>
                <w:color w:val="auto"/>
                <w:kern w:val="0"/>
                <w:sz w:val="18"/>
                <w:szCs w:val="24"/>
              </w:rPr>
              <w:t>一类</w:t>
            </w:r>
          </w:p>
        </w:tc>
        <w:tc>
          <w:tcPr>
            <w:tcW w:w="1621" w:type="dxa"/>
            <w:tcBorders>
              <w:top w:val="single" w:color="auto" w:sz="12" w:space="0"/>
              <w:left w:val="single" w:color="auto" w:sz="8" w:space="0"/>
              <w:bottom w:val="single" w:color="auto" w:sz="8" w:space="0"/>
              <w:right w:val="single" w:color="auto" w:sz="8" w:space="0"/>
            </w:tcBorders>
            <w:noWrap w:val="0"/>
            <w:vAlign w:val="center"/>
          </w:tcPr>
          <w:p>
            <w:pPr>
              <w:ind w:firstLine="361"/>
              <w:jc w:val="center"/>
              <w:rPr>
                <w:b/>
                <w:color w:val="auto"/>
                <w:kern w:val="0"/>
                <w:sz w:val="18"/>
                <w:szCs w:val="24"/>
              </w:rPr>
            </w:pPr>
            <w:r>
              <w:rPr>
                <w:rFonts w:hint="eastAsia"/>
                <w:b/>
                <w:color w:val="auto"/>
                <w:kern w:val="0"/>
                <w:sz w:val="18"/>
                <w:szCs w:val="24"/>
              </w:rPr>
              <w:t>二类</w:t>
            </w:r>
          </w:p>
        </w:tc>
        <w:tc>
          <w:tcPr>
            <w:tcW w:w="1862" w:type="dxa"/>
            <w:tcBorders>
              <w:top w:val="single" w:color="auto" w:sz="12" w:space="0"/>
              <w:left w:val="single" w:color="auto" w:sz="8" w:space="0"/>
              <w:bottom w:val="single" w:color="auto" w:sz="8" w:space="0"/>
              <w:right w:val="single" w:color="auto" w:sz="8" w:space="0"/>
            </w:tcBorders>
            <w:noWrap w:val="0"/>
            <w:vAlign w:val="center"/>
          </w:tcPr>
          <w:p>
            <w:pPr>
              <w:ind w:firstLine="361"/>
              <w:jc w:val="center"/>
              <w:rPr>
                <w:b/>
                <w:color w:val="auto"/>
                <w:kern w:val="0"/>
                <w:sz w:val="18"/>
                <w:szCs w:val="24"/>
              </w:rPr>
            </w:pPr>
            <w:r>
              <w:rPr>
                <w:rFonts w:hint="eastAsia"/>
                <w:b/>
                <w:color w:val="auto"/>
                <w:kern w:val="0"/>
                <w:sz w:val="18"/>
                <w:szCs w:val="24"/>
              </w:rPr>
              <w:t>三类</w:t>
            </w:r>
          </w:p>
        </w:tc>
        <w:tc>
          <w:tcPr>
            <w:tcW w:w="1595" w:type="dxa"/>
            <w:tcBorders>
              <w:top w:val="single" w:color="auto" w:sz="12" w:space="0"/>
              <w:left w:val="single" w:color="auto" w:sz="8" w:space="0"/>
              <w:bottom w:val="single" w:color="auto" w:sz="8" w:space="0"/>
              <w:right w:val="single" w:color="auto" w:sz="12" w:space="0"/>
            </w:tcBorders>
            <w:noWrap w:val="0"/>
            <w:vAlign w:val="center"/>
          </w:tcPr>
          <w:p>
            <w:pPr>
              <w:ind w:firstLine="361"/>
              <w:jc w:val="center"/>
              <w:rPr>
                <w:b/>
                <w:color w:val="auto"/>
                <w:kern w:val="0"/>
                <w:sz w:val="18"/>
                <w:szCs w:val="24"/>
              </w:rPr>
            </w:pPr>
            <w:r>
              <w:rPr>
                <w:rFonts w:hint="eastAsia"/>
                <w:b/>
                <w:color w:val="auto"/>
                <w:kern w:val="0"/>
                <w:sz w:val="18"/>
                <w:szCs w:val="24"/>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84" w:type="dxa"/>
            <w:tcBorders>
              <w:top w:val="single" w:color="auto" w:sz="8" w:space="0"/>
              <w:left w:val="single" w:color="auto" w:sz="12" w:space="0"/>
              <w:bottom w:val="single" w:color="auto" w:sz="12" w:space="0"/>
              <w:right w:val="single" w:color="auto" w:sz="8" w:space="0"/>
            </w:tcBorders>
            <w:noWrap w:val="0"/>
            <w:vAlign w:val="center"/>
          </w:tcPr>
          <w:p>
            <w:pPr>
              <w:ind w:firstLine="361"/>
              <w:jc w:val="center"/>
              <w:rPr>
                <w:b/>
                <w:color w:val="auto"/>
                <w:kern w:val="0"/>
                <w:sz w:val="18"/>
                <w:szCs w:val="24"/>
              </w:rPr>
            </w:pPr>
            <w:r>
              <w:rPr>
                <w:rFonts w:hint="eastAsia"/>
                <w:b/>
                <w:color w:val="auto"/>
                <w:kern w:val="0"/>
                <w:sz w:val="18"/>
                <w:szCs w:val="24"/>
              </w:rPr>
              <w:t>办理期限</w:t>
            </w:r>
          </w:p>
        </w:tc>
        <w:tc>
          <w:tcPr>
            <w:tcW w:w="1599" w:type="dxa"/>
            <w:tcBorders>
              <w:top w:val="single" w:color="auto" w:sz="8" w:space="0"/>
              <w:left w:val="single" w:color="auto" w:sz="8" w:space="0"/>
              <w:bottom w:val="single" w:color="auto" w:sz="12" w:space="0"/>
              <w:right w:val="single" w:color="auto" w:sz="8" w:space="0"/>
            </w:tcBorders>
            <w:noWrap w:val="0"/>
            <w:vAlign w:val="center"/>
          </w:tcPr>
          <w:p>
            <w:pPr>
              <w:ind w:firstLine="360"/>
              <w:jc w:val="center"/>
              <w:rPr>
                <w:color w:val="auto"/>
                <w:kern w:val="0"/>
                <w:sz w:val="18"/>
                <w:szCs w:val="24"/>
              </w:rPr>
            </w:pPr>
            <w:r>
              <w:rPr>
                <w:rFonts w:hint="eastAsia"/>
                <w:color w:val="auto"/>
                <w:kern w:val="20"/>
                <w:sz w:val="18"/>
                <w:szCs w:val="24"/>
              </w:rPr>
              <w:t>5个工作日</w:t>
            </w:r>
          </w:p>
        </w:tc>
        <w:tc>
          <w:tcPr>
            <w:tcW w:w="1621" w:type="dxa"/>
            <w:tcBorders>
              <w:top w:val="single" w:color="auto" w:sz="8" w:space="0"/>
              <w:left w:val="single" w:color="auto" w:sz="8" w:space="0"/>
              <w:bottom w:val="single" w:color="auto" w:sz="12" w:space="0"/>
              <w:right w:val="single" w:color="auto" w:sz="8" w:space="0"/>
            </w:tcBorders>
            <w:noWrap w:val="0"/>
            <w:vAlign w:val="center"/>
          </w:tcPr>
          <w:p>
            <w:pPr>
              <w:ind w:firstLine="360"/>
              <w:jc w:val="center"/>
              <w:rPr>
                <w:color w:val="auto"/>
                <w:kern w:val="0"/>
                <w:sz w:val="18"/>
                <w:szCs w:val="24"/>
              </w:rPr>
            </w:pPr>
            <w:r>
              <w:rPr>
                <w:rFonts w:hint="eastAsia"/>
                <w:color w:val="auto"/>
                <w:kern w:val="20"/>
                <w:sz w:val="18"/>
                <w:szCs w:val="24"/>
              </w:rPr>
              <w:t>10个工作日</w:t>
            </w:r>
          </w:p>
        </w:tc>
        <w:tc>
          <w:tcPr>
            <w:tcW w:w="1862" w:type="dxa"/>
            <w:tcBorders>
              <w:top w:val="single" w:color="auto" w:sz="8" w:space="0"/>
              <w:left w:val="single" w:color="auto" w:sz="8" w:space="0"/>
              <w:bottom w:val="single" w:color="auto" w:sz="12" w:space="0"/>
              <w:right w:val="single" w:color="auto" w:sz="8" w:space="0"/>
            </w:tcBorders>
            <w:noWrap w:val="0"/>
            <w:vAlign w:val="center"/>
          </w:tcPr>
          <w:p>
            <w:pPr>
              <w:ind w:firstLine="360"/>
              <w:jc w:val="center"/>
              <w:rPr>
                <w:color w:val="auto"/>
                <w:kern w:val="0"/>
                <w:sz w:val="18"/>
                <w:szCs w:val="24"/>
              </w:rPr>
            </w:pPr>
            <w:r>
              <w:rPr>
                <w:rFonts w:hint="eastAsia"/>
                <w:color w:val="auto"/>
                <w:kern w:val="20"/>
                <w:sz w:val="18"/>
                <w:szCs w:val="24"/>
              </w:rPr>
              <w:t>15个工作日</w:t>
            </w:r>
          </w:p>
        </w:tc>
        <w:tc>
          <w:tcPr>
            <w:tcW w:w="1595" w:type="dxa"/>
            <w:tcBorders>
              <w:top w:val="single" w:color="auto" w:sz="8" w:space="0"/>
              <w:left w:val="single" w:color="auto" w:sz="8" w:space="0"/>
              <w:bottom w:val="single" w:color="auto" w:sz="12" w:space="0"/>
              <w:right w:val="single" w:color="auto" w:sz="12" w:space="0"/>
            </w:tcBorders>
            <w:noWrap w:val="0"/>
            <w:vAlign w:val="top"/>
          </w:tcPr>
          <w:p>
            <w:pPr>
              <w:ind w:firstLine="360"/>
              <w:jc w:val="center"/>
              <w:rPr>
                <w:color w:val="auto"/>
                <w:kern w:val="0"/>
                <w:sz w:val="18"/>
                <w:szCs w:val="24"/>
              </w:rPr>
            </w:pPr>
            <w:r>
              <w:rPr>
                <w:rFonts w:hint="eastAsia"/>
                <w:color w:val="auto"/>
                <w:kern w:val="0"/>
                <w:sz w:val="18"/>
                <w:szCs w:val="24"/>
              </w:rPr>
              <w:t>20个工作日</w:t>
            </w:r>
          </w:p>
        </w:tc>
      </w:tr>
    </w:tbl>
    <w:p>
      <w:pPr>
        <w:ind w:firstLine="480"/>
        <w:rPr>
          <w:strike/>
          <w:color w:val="auto"/>
          <w:szCs w:val="24"/>
        </w:rPr>
      </w:pPr>
      <w:r>
        <w:rPr>
          <w:rFonts w:hint="eastAsia"/>
          <w:color w:val="auto"/>
          <w:szCs w:val="24"/>
        </w:rPr>
        <w:t>发生发函核实等国家税务总局文件中规定的特殊情形，可不受此办结时限限制。</w:t>
      </w:r>
    </w:p>
    <w:p>
      <w:pPr>
        <w:ind w:left="0" w:leftChars="0" w:firstLine="472" w:firstLineChars="200"/>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17308D9"/>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2019-10-31T05:10:57Z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