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s="黑体"/>
          <w:color w:val="auto"/>
        </w:rPr>
      </w:pPr>
      <w:bookmarkStart w:id="1" w:name="_GoBack"/>
      <w:bookmarkEnd w:id="1"/>
      <w:bookmarkStart w:id="0" w:name="_Toc29452"/>
      <w:r>
        <w:rPr>
          <w:rFonts w:hint="eastAsia" w:ascii="黑体" w:hAnsi="黑体" w:cs="黑体"/>
          <w:color w:val="auto"/>
        </w:rPr>
        <w:t>1.1.4.6.2注销不动产项目报告</w:t>
      </w:r>
      <w:bookmarkEnd w:id="0"/>
    </w:p>
    <w:p>
      <w:pPr>
        <w:pStyle w:val="3"/>
        <w:ind w:firstLine="552"/>
        <w:rPr>
          <w:color w:val="auto"/>
        </w:rPr>
      </w:pPr>
      <w:r>
        <w:rPr>
          <w:color w:val="auto"/>
        </w:rPr>
        <w:t>一、事项名称</w:t>
      </w:r>
    </w:p>
    <w:p>
      <w:pPr>
        <w:ind w:firstLine="472"/>
        <w:rPr>
          <w:color w:val="auto"/>
        </w:rPr>
      </w:pPr>
      <w:r>
        <w:rPr>
          <w:rFonts w:hint="eastAsia"/>
          <w:color w:val="auto"/>
        </w:rPr>
        <w:t>注销不动产项目报告</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sz w:val="28"/>
          <w:szCs w:val="32"/>
          <w:lang w:eastAsia="zh-CN"/>
        </w:rPr>
        <w:t>办理条件</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注销不动产项目报告是指纳税人自不动产销售完毕之日起30日向不动产所在地主管税务机关申报办理注销不动产项目报告的业务活动。</w:t>
      </w:r>
    </w:p>
    <w:p>
      <w:pPr>
        <w:pStyle w:val="3"/>
        <w:ind w:firstLine="552"/>
        <w:rPr>
          <w:color w:val="auto"/>
        </w:rPr>
      </w:pPr>
      <w:r>
        <w:rPr>
          <w:rFonts w:hint="eastAsia"/>
          <w:color w:val="auto"/>
        </w:rPr>
        <w:t>四、设定依据</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1.《财政部　国家税务总局关于全面推开营业税改征增值税试点的通知》（财税〔2016〕36号）全文</w:t>
      </w:r>
    </w:p>
    <w:p>
      <w:pPr>
        <w:ind w:firstLine="471" w:firstLineChars="0"/>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2.《不动产、建筑业营业税项目管理及发票使用管理暂行办法》（国税发〔2006〕128号）全文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《不动产项目情况报告表》</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32" o:spid="_x0000_s1032" o:spt="75" type="#_x0000_t75" style="position:absolute;left:0pt;margin-left:8.6pt;margin-top:16.6pt;height:104.45pt;width:439.3pt;mso-wrap-distance-bottom:0pt;mso-wrap-distance-left:9pt;mso-wrap-distance-right:9pt;mso-wrap-distance-top:0pt;z-index:251678720;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32"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A01045《不动产项目情况报告表》</w:t>
      </w:r>
    </w:p>
    <w:p>
      <w:pPr>
        <w:pStyle w:val="3"/>
        <w:ind w:firstLine="552"/>
        <w:rPr>
          <w:color w:val="auto"/>
        </w:rPr>
      </w:pPr>
      <w:r>
        <w:rPr>
          <w:rFonts w:hint="eastAsia"/>
          <w:color w:val="auto"/>
        </w:rPr>
        <w:t>九、注意事项</w:t>
      </w:r>
    </w:p>
    <w:p>
      <w:pPr>
        <w:ind w:firstLine="472"/>
        <w:jc w:val="left"/>
        <w:rPr>
          <w:color w:val="auto"/>
        </w:rPr>
      </w:pPr>
      <w:r>
        <w:rPr>
          <w:color w:val="auto"/>
        </w:rPr>
        <w:t>1.纳税人对报送资料的真实性和合法性承担责任。</w:t>
      </w:r>
    </w:p>
    <w:p>
      <w:pPr>
        <w:ind w:firstLine="472"/>
        <w:jc w:val="left"/>
        <w:rPr>
          <w:rFonts w:hint="eastAsia"/>
          <w:color w:val="auto"/>
        </w:rPr>
      </w:pPr>
      <w:r>
        <w:rPr>
          <w:color w:val="auto"/>
        </w:rPr>
        <w:t>2.最多跑一次是在资料完整且符合法定受理条件的前提下，最多只需要到税务机关跑一次。</w:t>
      </w:r>
    </w:p>
    <w:p>
      <w:pPr>
        <w:ind w:firstLine="472"/>
        <w:jc w:val="left"/>
        <w:rPr>
          <w:color w:val="auto"/>
        </w:rPr>
      </w:pPr>
      <w:r>
        <w:rPr>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1D3D4B75"/>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2019-10-31T03:32:46Z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