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7337"/>
      <w:r>
        <w:rPr>
          <w:rFonts w:hint="eastAsia" w:ascii="黑体" w:hAnsi="黑体"/>
          <w:color w:val="auto"/>
        </w:rPr>
        <w:t>1.2.3.4海关缴款书核查申请</w:t>
      </w:r>
      <w:bookmarkEnd w:id="0"/>
    </w:p>
    <w:p>
      <w:pPr>
        <w:pStyle w:val="3"/>
        <w:ind w:firstLine="552"/>
        <w:rPr>
          <w:color w:val="auto"/>
        </w:rPr>
      </w:pPr>
      <w:r>
        <w:rPr>
          <w:color w:val="auto"/>
        </w:rPr>
        <w:t>一、事项名称</w:t>
      </w:r>
    </w:p>
    <w:p>
      <w:pPr>
        <w:ind w:firstLine="472"/>
        <w:rPr>
          <w:color w:val="auto"/>
        </w:rPr>
      </w:pPr>
      <w:r>
        <w:rPr>
          <w:rFonts w:hint="eastAsia"/>
          <w:color w:val="auto"/>
        </w:rPr>
        <w:t>海关缴款书核查申请</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办结方式：限时办结</w:t>
      </w:r>
    </w:p>
    <w:p>
      <w:pPr>
        <w:numPr>
          <w:ilvl w:val="0"/>
          <w:numId w:val="3"/>
        </w:numPr>
        <w:ind w:left="0" w:firstLine="472"/>
        <w:rPr>
          <w:color w:val="auto"/>
        </w:rPr>
      </w:pPr>
      <w:r>
        <w:rPr>
          <w:rFonts w:hint="eastAsia"/>
          <w:color w:val="auto"/>
        </w:rPr>
        <w:t>全省通办：否</w:t>
      </w:r>
    </w:p>
    <w:p>
      <w:pPr>
        <w:numPr>
          <w:ilvl w:val="0"/>
          <w:numId w:val="3"/>
        </w:numPr>
        <w:ind w:left="0" w:firstLine="472"/>
        <w:rPr>
          <w:color w:val="auto"/>
        </w:rPr>
      </w:pPr>
      <w:r>
        <w:rPr>
          <w:rFonts w:hint="eastAsia"/>
          <w:color w:val="auto"/>
        </w:rPr>
        <w:t>网上办理：是</w:t>
      </w:r>
    </w:p>
    <w:p>
      <w:pPr>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对于稽核比对结果为不符、缺联的海关缴款书，纳税人应于产生稽核结果的180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w:t>
      </w:r>
    </w:p>
    <w:p>
      <w:pPr>
        <w:pStyle w:val="3"/>
        <w:ind w:firstLine="552"/>
        <w:rPr>
          <w:color w:val="auto"/>
        </w:rPr>
      </w:pPr>
      <w:r>
        <w:rPr>
          <w:rFonts w:hint="eastAsia"/>
          <w:color w:val="auto"/>
        </w:rPr>
        <w:t>四、设定依据</w:t>
      </w:r>
    </w:p>
    <w:p>
      <w:pPr>
        <w:wordWrap w:val="0"/>
        <w:ind w:firstLine="472"/>
        <w:rPr>
          <w:color w:val="auto"/>
        </w:rPr>
      </w:pPr>
      <w:r>
        <w:rPr>
          <w:color w:val="auto"/>
        </w:rPr>
        <w:t>《</w:t>
      </w:r>
      <w:r>
        <w:rPr>
          <w:rFonts w:hint="eastAsia"/>
          <w:color w:val="auto"/>
        </w:rPr>
        <w:t>国家税务总局　海关总署</w:t>
      </w:r>
      <w:r>
        <w:rPr>
          <w:color w:val="auto"/>
        </w:rPr>
        <w:t>关于实行海关进口增值税专用缴款书“先比对后抵扣”管理办法有关问题的公告》（</w:t>
      </w:r>
      <w:r>
        <w:rPr>
          <w:rFonts w:hint="eastAsia"/>
          <w:color w:val="auto"/>
        </w:rPr>
        <w:t>国家税务总局　海关总署</w:t>
      </w:r>
      <w:r>
        <w:rPr>
          <w:color w:val="auto"/>
        </w:rPr>
        <w:t>公告</w:t>
      </w:r>
      <w:r>
        <w:rPr>
          <w:rFonts w:hint="eastAsia" w:ascii="Times New Roman" w:hAnsi="Times New Roman"/>
          <w:color w:val="auto"/>
        </w:rPr>
        <w:t>2013</w:t>
      </w:r>
      <w:r>
        <w:rPr>
          <w:color w:val="auto"/>
        </w:rPr>
        <w:t>年第</w:t>
      </w:r>
      <w:r>
        <w:rPr>
          <w:rFonts w:hint="eastAsia" w:ascii="Times New Roman" w:hAnsi="Times New Roman"/>
          <w:color w:val="auto"/>
        </w:rPr>
        <w:t>31</w:t>
      </w:r>
      <w:r>
        <w:rPr>
          <w:color w:val="auto"/>
        </w:rPr>
        <w:t>号）</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《“异常”海关缴款书数据核对申请书》</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海关缴款书原件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72" o:spt="75" type="#_x0000_t75" style="height:146.5pt;width:444.55pt;" o:ole="t" filled="f" o:preferrelative="t" stroked="f" coordsize="21600,21600">
            <v:path/>
            <v:fill on="f" focussize="0,0"/>
            <v:stroke on="f" joinstyle="miter"/>
            <v:imagedata r:id="rId11" o:title=""/>
            <o:lock v:ext="edit" aspectratio="t"/>
            <w10:wrap type="none"/>
            <w10:anchorlock/>
          </v:shape>
          <o:OLEObject Type="Embed" ProgID="Visio.Drawing.11" ShapeID="_x0000_i1072"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资料齐全、符合法定形式的，税务机关受理后限时办结。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1.A02089《“异常”海关缴款书数据核对申请书》(A02089《“异常”海关缴款书数据核对申请书》（填写样例）)</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472" w:firstLineChars="200"/>
        <w:jc w:val="both"/>
        <w:rPr>
          <w:rFonts w:hint="eastAsia" w:ascii="宋体" w:hAnsi="宋体" w:eastAsia="宋体" w:cs="微软雅黑"/>
          <w:color w:val="auto"/>
          <w:lang w:eastAsia="zh-CN"/>
        </w:rPr>
      </w:pPr>
      <w:r>
        <w:rPr>
          <w:rFonts w:hint="eastAsia" w:ascii="宋体" w:hAnsi="宋体" w:eastAsia="宋体" w:cs="微软雅黑"/>
          <w:color w:val="auto"/>
        </w:rPr>
        <w:t>1.增值税一般纳税人申请稽核比对海关缴款书，除纳税人发生真实交易但由于客观原因造成增值税扣税凭证逾期的情形，对纳税人取得自开具之日起超过抵扣期限（超过360天）逾期申请的，税务机关不予受理。</w:t>
      </w:r>
    </w:p>
    <w:p>
      <w:pPr>
        <w:pStyle w:val="13"/>
        <w:widowControl/>
        <w:spacing w:beforeAutospacing="0" w:afterAutospacing="0" w:line="578" w:lineRule="exact"/>
        <w:ind w:firstLine="472" w:firstLineChars="200"/>
        <w:jc w:val="both"/>
        <w:rPr>
          <w:color w:val="auto"/>
        </w:rPr>
      </w:pPr>
      <w:r>
        <w:rPr>
          <w:rFonts w:hint="eastAsia" w:ascii="宋体" w:hAnsi="宋体" w:eastAsia="宋体" w:cs="微软雅黑"/>
          <w:color w:val="auto"/>
        </w:rPr>
        <w:t>2.对稽核比对结果为重号的海关缴款书，由主管税务机关通过核查系统向重号方主管税务机关发函，如需要可通过核查系统向税款入库地直属海关发函，进行核查。</w:t>
      </w:r>
    </w:p>
    <w:p>
      <w:pPr>
        <w:ind w:firstLine="472"/>
        <w:rPr>
          <w:color w:val="auto"/>
        </w:rPr>
      </w:pPr>
      <w:r>
        <w:rPr>
          <w:rFonts w:hint="eastAsia"/>
          <w:color w:val="auto"/>
        </w:rPr>
        <w:t>3.纳税人对报送资料的真实性和合法性承担责任。</w:t>
      </w:r>
    </w:p>
    <w:p>
      <w:pPr>
        <w:ind w:firstLine="472"/>
        <w:jc w:val="left"/>
        <w:rPr>
          <w:color w:val="auto"/>
        </w:rPr>
      </w:pPr>
      <w:r>
        <w:rPr>
          <w:rFonts w:hint="eastAsia"/>
          <w:color w:val="auto"/>
        </w:rPr>
        <w:t>4.最多跑一次是在资料完整且符合法定受理条件的前提下，最多只需要到税务机关跑一次。</w:t>
      </w:r>
    </w:p>
    <w:p>
      <w:pPr>
        <w:ind w:firstLine="472"/>
        <w:jc w:val="left"/>
        <w:rPr>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4C40FC3"/>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2019-10-31T03:41:37Z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