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19422"/>
      <w:r>
        <w:rPr>
          <w:rFonts w:ascii="黑体" w:hAnsi="黑体" w:cs="黑体"/>
          <w:color w:val="auto"/>
        </w:rPr>
        <w:t>1.1.7.7</w:t>
      </w:r>
      <w:r>
        <w:rPr>
          <w:rFonts w:hint="eastAsia" w:ascii="黑体" w:hAnsi="黑体" w:cs="黑体"/>
          <w:color w:val="auto"/>
        </w:rPr>
        <w:t>汽油、柴油生产企业基本情况报告</w:t>
      </w:r>
      <w:bookmarkEnd w:id="0"/>
    </w:p>
    <w:p>
      <w:pPr>
        <w:pStyle w:val="3"/>
        <w:ind w:firstLine="552"/>
        <w:rPr>
          <w:color w:val="auto"/>
        </w:rPr>
      </w:pPr>
      <w:r>
        <w:rPr>
          <w:color w:val="auto"/>
        </w:rPr>
        <w:t>一、事项名称</w:t>
      </w:r>
    </w:p>
    <w:p>
      <w:pPr>
        <w:ind w:firstLine="472"/>
        <w:rPr>
          <w:color w:val="auto"/>
        </w:rPr>
      </w:pPr>
      <w:r>
        <w:rPr>
          <w:rFonts w:hint="eastAsia" w:ascii="黑体" w:hAnsi="黑体" w:cs="黑体"/>
          <w:color w:val="auto"/>
        </w:rPr>
        <w:t>汽油、柴油生产企业基本情况报告</w:t>
      </w:r>
    </w:p>
    <w:p>
      <w:pPr>
        <w:pStyle w:val="3"/>
        <w:ind w:firstLine="552"/>
        <w:rPr>
          <w:color w:val="auto"/>
        </w:rPr>
      </w:pPr>
      <w:r>
        <w:rPr>
          <w:color w:val="auto"/>
        </w:rPr>
        <w:t>二、事项类别</w:t>
      </w:r>
    </w:p>
    <w:p>
      <w:pPr>
        <w:numPr>
          <w:ilvl w:val="0"/>
          <w:numId w:val="3"/>
        </w:numPr>
        <w:ind w:left="0" w:firstLine="420" w:firstLineChars="0"/>
        <w:rPr>
          <w:color w:val="auto"/>
        </w:rPr>
      </w:pPr>
      <w:r>
        <w:rPr>
          <w:rFonts w:hint="eastAsia"/>
          <w:color w:val="auto"/>
        </w:rPr>
        <w:t>发起方式：人工</w:t>
      </w:r>
      <w:r>
        <w:rPr>
          <w:color w:val="auto"/>
        </w:rPr>
        <w:t>发起</w:t>
      </w:r>
      <w:r>
        <w:rPr>
          <w:rFonts w:hint="eastAsia"/>
          <w:color w:val="auto"/>
        </w:rPr>
        <w:t>（纳税人）</w:t>
      </w:r>
    </w:p>
    <w:p>
      <w:pPr>
        <w:numPr>
          <w:ilvl w:val="0"/>
          <w:numId w:val="3"/>
        </w:numPr>
        <w:ind w:left="0" w:firstLine="420" w:firstLineChars="0"/>
        <w:rPr>
          <w:color w:val="auto"/>
        </w:rPr>
      </w:pPr>
      <w:r>
        <w:rPr>
          <w:rFonts w:hint="eastAsia"/>
          <w:color w:val="auto"/>
        </w:rPr>
        <w:t>办结方式：即办</w:t>
      </w:r>
    </w:p>
    <w:p>
      <w:pPr>
        <w:numPr>
          <w:ilvl w:val="0"/>
          <w:numId w:val="3"/>
        </w:numPr>
        <w:ind w:left="0" w:firstLine="420" w:firstLineChars="0"/>
        <w:rPr>
          <w:color w:val="auto"/>
        </w:rPr>
      </w:pPr>
      <w:r>
        <w:rPr>
          <w:rFonts w:hint="eastAsia"/>
          <w:color w:val="auto"/>
        </w:rPr>
        <w:t>全省通办：否</w:t>
      </w:r>
    </w:p>
    <w:p>
      <w:pPr>
        <w:numPr>
          <w:ilvl w:val="0"/>
          <w:numId w:val="3"/>
        </w:numPr>
        <w:ind w:left="0" w:firstLine="420" w:firstLineChars="0"/>
        <w:rPr>
          <w:color w:val="auto"/>
        </w:rPr>
      </w:pPr>
      <w:r>
        <w:rPr>
          <w:rFonts w:hint="eastAsia"/>
          <w:color w:val="auto"/>
        </w:rPr>
        <w:t>网上办理：是</w:t>
      </w:r>
    </w:p>
    <w:p>
      <w:pPr>
        <w:pStyle w:val="47"/>
        <w:numPr>
          <w:ilvl w:val="0"/>
          <w:numId w:val="4"/>
        </w:numPr>
        <w:ind w:firstLineChars="0"/>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rPr>
        <w:t>1．纳税人应按照征管法及其实施细则的有关规定办理税务登记。</w:t>
      </w:r>
    </w:p>
    <w:p>
      <w:pPr>
        <w:ind w:firstLine="472"/>
        <w:rPr>
          <w:color w:val="auto"/>
        </w:rPr>
      </w:pPr>
      <w:r>
        <w:rPr>
          <w:rFonts w:hint="eastAsia"/>
          <w:color w:val="auto"/>
        </w:rPr>
        <w:t>2．已经办理税务登记的纳税人，其原油加工能力、生产装置、储油设施、油品名称、产品标准及用途发生变化的，应自发生变化之日起30日内向主管税务机关报告。</w:t>
      </w:r>
    </w:p>
    <w:p>
      <w:pPr>
        <w:pStyle w:val="3"/>
        <w:ind w:firstLine="552"/>
        <w:rPr>
          <w:color w:val="auto"/>
        </w:rPr>
      </w:pPr>
      <w:r>
        <w:rPr>
          <w:rFonts w:hint="eastAsia"/>
          <w:color w:val="auto"/>
        </w:rPr>
        <w:t>四、设定依据</w:t>
      </w:r>
    </w:p>
    <w:p>
      <w:pPr>
        <w:ind w:firstLine="472"/>
        <w:rPr>
          <w:color w:val="auto"/>
        </w:rPr>
      </w:pPr>
      <w:r>
        <w:rPr>
          <w:rFonts w:hint="eastAsia"/>
          <w:color w:val="auto"/>
        </w:rPr>
        <w:t>1.《国家税务总局关于印发〈汽油、柴油消费税管理办法（试行）〉的通知》（国税发〔2005〕133号）第五条、第六条、第七条</w:t>
      </w:r>
    </w:p>
    <w:p>
      <w:pPr>
        <w:ind w:firstLine="472"/>
        <w:rPr>
          <w:color w:val="auto"/>
        </w:rPr>
      </w:pPr>
      <w:r>
        <w:rPr>
          <w:rFonts w:hint="eastAsia"/>
          <w:color w:val="auto"/>
        </w:rPr>
        <w:t>“第五条纳税人应按照征管法及其实施细则的有关规定办理税务登记，纳税人除依照有关规定提供相关资料外，还必须提供下列资料：</w:t>
      </w:r>
    </w:p>
    <w:p>
      <w:pPr>
        <w:ind w:firstLine="472"/>
        <w:rPr>
          <w:color w:val="auto"/>
        </w:rPr>
      </w:pPr>
      <w:r>
        <w:rPr>
          <w:rFonts w:hint="eastAsia"/>
          <w:color w:val="auto"/>
        </w:rPr>
        <w:t>（一）生产企业基本情况表（以下简称基本情况表，见附件一）；</w:t>
      </w:r>
    </w:p>
    <w:p>
      <w:pPr>
        <w:ind w:firstLine="472"/>
        <w:rPr>
          <w:color w:val="auto"/>
        </w:rPr>
      </w:pPr>
      <w:r>
        <w:rPr>
          <w:rFonts w:hint="eastAsia"/>
          <w:color w:val="auto"/>
        </w:rPr>
        <w:t>（二）生产装置及工艺路线的简要说明；</w:t>
      </w:r>
    </w:p>
    <w:p>
      <w:pPr>
        <w:ind w:firstLine="472"/>
        <w:rPr>
          <w:color w:val="auto"/>
        </w:rPr>
      </w:pPr>
      <w:r>
        <w:rPr>
          <w:rFonts w:hint="eastAsia"/>
          <w:color w:val="auto"/>
        </w:rPr>
        <w:t>（三）企业生产的所有油品名称、产品标准及用途；</w:t>
      </w:r>
    </w:p>
    <w:p>
      <w:pPr>
        <w:ind w:firstLine="472"/>
        <w:rPr>
          <w:color w:val="auto"/>
        </w:rPr>
      </w:pPr>
      <w:r>
        <w:rPr>
          <w:rFonts w:hint="eastAsia"/>
          <w:color w:val="auto"/>
        </w:rPr>
        <w:t>（四）税务机关要求报送的其他资料。</w:t>
      </w:r>
    </w:p>
    <w:p>
      <w:pPr>
        <w:ind w:firstLine="472"/>
        <w:rPr>
          <w:color w:val="auto"/>
        </w:rPr>
      </w:pPr>
      <w:r>
        <w:rPr>
          <w:rFonts w:hint="eastAsia"/>
          <w:color w:val="auto"/>
        </w:rPr>
        <w:t>第六条已经办理税务登记的纳税人，其原油加工能力、生产装置、储油设施、油品名称、产品标准及用途发生变化的，应自发生变化之日起30日内向主管税务机关报告。</w:t>
      </w:r>
    </w:p>
    <w:p>
      <w:pPr>
        <w:ind w:firstLine="472"/>
        <w:rPr>
          <w:color w:val="auto"/>
        </w:rPr>
      </w:pPr>
      <w:r>
        <w:rPr>
          <w:rFonts w:hint="eastAsia"/>
          <w:color w:val="auto"/>
        </w:rPr>
        <w:t>第七条主管税务机关应在纳税人办理税务登记后或接到本办法第六条规定的报告后，及时到纳税人所在地实地查验、核实。”</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《生产企业基本情况表》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生产装置及工艺路线的简要说明</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3</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企业生产的所有油品名称、产品标准及用途</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spacing w:line="240" w:lineRule="auto"/>
        <w:ind w:firstLine="552"/>
        <w:rPr>
          <w:color w:val="auto"/>
        </w:rPr>
      </w:pPr>
      <w:r>
        <w:rPr>
          <w:rFonts w:hint="eastAsia"/>
          <w:color w:val="auto"/>
        </w:rPr>
        <w:t>六</w:t>
      </w:r>
      <w:r>
        <w:rPr>
          <w:color w:val="auto"/>
        </w:rPr>
        <w:t>、办理流程</w:t>
      </w:r>
    </w:p>
    <w:p>
      <w:pPr>
        <w:spacing w:line="240" w:lineRule="auto"/>
        <w:ind w:left="472" w:firstLine="0" w:firstLineChars="0"/>
        <w:rPr>
          <w:color w:val="auto"/>
        </w:rPr>
      </w:pPr>
    </w:p>
    <w:p>
      <w:pPr>
        <w:pStyle w:val="3"/>
        <w:spacing w:line="240" w:lineRule="auto"/>
        <w:ind w:left="547" w:leftChars="232" w:firstLine="0" w:firstLineChars="0"/>
        <w:rPr>
          <w:color w:val="auto"/>
        </w:rPr>
      </w:pPr>
      <w:r>
        <w:rPr>
          <w:color w:val="auto"/>
        </w:rPr>
        <w:object>
          <v:shape id="_x0000_i1054" o:spt="75" type="#_x0000_t75" style="height:111.35pt;width:444.55pt;" o:ole="t" filled="f" o:preferrelative="t" stroked="f" coordsize="21600,21600">
            <v:path/>
            <v:fill on="f" focussize="0,0"/>
            <v:stroke on="f" joinstyle="miter"/>
            <v:imagedata r:id="rId11" o:title=""/>
            <o:lock v:ext="edit" aspectratio="f"/>
            <w10:wrap type="none"/>
            <w10:anchorlock/>
          </v:shape>
          <o:OLEObject Type="Embed" ProgID="Visio.Drawing.11" ShapeID="_x0000_i1054" DrawAspect="Content" ObjectID="_1468075725" r:id="rId10">
            <o:LockedField>false</o:LockedField>
          </o:OLEObject>
        </w:object>
      </w: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1.A01052《生产企业基本情况表》</w:t>
      </w:r>
    </w:p>
    <w:p>
      <w:pPr>
        <w:pStyle w:val="3"/>
        <w:ind w:firstLine="552"/>
        <w:rPr>
          <w:color w:val="auto"/>
        </w:rPr>
      </w:pPr>
      <w:r>
        <w:rPr>
          <w:rFonts w:hint="eastAsia"/>
          <w:color w:val="auto"/>
        </w:rPr>
        <w:t>九、注意事项</w:t>
      </w:r>
    </w:p>
    <w:p>
      <w:pPr>
        <w:ind w:firstLine="472"/>
        <w:rPr>
          <w:color w:val="auto"/>
        </w:rPr>
      </w:pPr>
      <w:r>
        <w:rPr>
          <w:rFonts w:hint="eastAsia"/>
          <w:color w:val="auto"/>
        </w:rPr>
        <w:t>1.纳税人对报送资料的真实性和合法性承担责任。</w:t>
      </w:r>
    </w:p>
    <w:p>
      <w:pPr>
        <w:ind w:firstLine="472"/>
        <w:jc w:val="left"/>
        <w:rPr>
          <w:color w:val="auto"/>
        </w:rPr>
      </w:pPr>
      <w:r>
        <w:rPr>
          <w:rFonts w:hint="eastAsia"/>
          <w:color w:val="auto"/>
        </w:rPr>
        <w:t>2.最多跑一次是在资料完整且符合法定受理条件的前提下，最多只需要到税务机关跑一次。</w:t>
      </w:r>
    </w:p>
    <w:p>
      <w:pPr>
        <w:ind w:firstLine="472"/>
        <w:jc w:val="left"/>
        <w:rPr>
          <w:color w:val="auto"/>
        </w:rPr>
      </w:pPr>
      <w:r>
        <w:rPr>
          <w:rFonts w:hint="eastAsia"/>
          <w:color w:val="auto"/>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D12956"/>
    <w:multiLevelType w:val="singleLevel"/>
    <w:tmpl w:val="B1D12956"/>
    <w:lvl w:ilvl="0" w:tentative="0">
      <w:start w:val="1"/>
      <w:numFmt w:val="bullet"/>
      <w:lvlText w:val=""/>
      <w:lvlJc w:val="left"/>
      <w:pPr>
        <w:ind w:left="420" w:hanging="420"/>
      </w:pPr>
      <w:rPr>
        <w:rFonts w:hint="default" w:ascii="Wingdings" w:hAnsi="Wingdings"/>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7C452F5"/>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2019-10-31T03:38:11Z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