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24828"/>
      <w:r>
        <w:rPr>
          <w:rFonts w:ascii="黑体" w:hAnsi="黑体" w:cs="黑体"/>
          <w:color w:val="auto"/>
        </w:rPr>
        <w:t>1.1.2.14</w:t>
      </w:r>
      <w:r>
        <w:rPr>
          <w:rFonts w:hint="eastAsia" w:ascii="黑体" w:hAnsi="黑体" w:cs="黑体"/>
          <w:color w:val="auto"/>
        </w:rPr>
        <w:t>合伙制创业投资企业单一投资基金核算方式报告</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合伙制创业投资企业单一投资基金核算方式报告</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全省通办：否</w:t>
      </w:r>
    </w:p>
    <w:p>
      <w:pPr>
        <w:pStyle w:val="47"/>
        <w:numPr>
          <w:ilvl w:val="0"/>
          <w:numId w:val="3"/>
        </w:numPr>
        <w:ind w:firstLineChars="0"/>
        <w:rPr>
          <w:color w:val="auto"/>
        </w:rPr>
      </w:pPr>
      <w:r>
        <w:rPr>
          <w:color w:val="auto"/>
        </w:rPr>
        <w:t>网上办理：是</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eastAsia="zh-CN"/>
        </w:rPr>
        <w:t>办理条件</w:t>
      </w:r>
    </w:p>
    <w:p>
      <w:pPr>
        <w:ind w:firstLine="472"/>
        <w:rPr>
          <w:rFonts w:hint="eastAsia"/>
          <w:color w:val="auto"/>
        </w:rPr>
      </w:pPr>
      <w:r>
        <w:rPr>
          <w:rFonts w:hint="eastAsia"/>
          <w:color w:val="auto"/>
        </w:rPr>
        <w:t>1.符合《创业投资企业管理暂行办法》（发展改革委等10部门令第39号）或者《私募投资基金监督管理暂行办法》（证监会令第105号）关于创业投资企业（基金）的有关规定，并按照上述规定完成备案且规范运作的合伙制创业投资企业（基金），可以选择按单一投资基金核算或者按创投企业年度所得整体核算两种方式之一，对其个人合伙人来源于创投企业的所得计算个人所得税应纳税额，并需要按规定向主管税务机关进行核算类型备案。</w:t>
      </w:r>
    </w:p>
    <w:p>
      <w:pPr>
        <w:ind w:firstLine="472"/>
        <w:rPr>
          <w:rFonts w:hint="eastAsia"/>
          <w:color w:val="auto"/>
        </w:rPr>
      </w:pPr>
      <w:r>
        <w:rPr>
          <w:rFonts w:hint="eastAsia"/>
          <w:color w:val="auto"/>
        </w:rPr>
        <w:t>2.创投企业选择按单一投资基金核算的，其个人合伙人从该基金应分得的股权转让所得和股息红利所得，按照20%税率计算缴纳个人所得税。创投企业选择按年度所得整体核算的，其个人合伙人应从创投企业取得的所得，按照“经营所得”项目、5%-35%的超额累进税率计算缴纳个人所得税。</w:t>
      </w:r>
    </w:p>
    <w:p>
      <w:pPr>
        <w:ind w:firstLine="472"/>
        <w:rPr>
          <w:rFonts w:hint="eastAsia"/>
          <w:color w:val="auto"/>
        </w:rPr>
      </w:pPr>
      <w:r>
        <w:rPr>
          <w:rFonts w:hint="eastAsia"/>
          <w:color w:val="auto"/>
        </w:rPr>
        <w:t>3.创投企业选择按单一投资基金核算的，应当在完成备案的30日内，向主管税务机关进行核算方式备案；未按规定备案的，视同选择按创投企业年度所得整体核算。2019年1月1日前已经完成备案的创投企业，选择按单一投资基金核算的，应当在2019年3月1日前向主管税务机关进行核算方式备案。创投企业选择一种核算方式满3年需要调整的，应当在满3年的次年1月31日前，重新向主管税务机关备案。</w:t>
      </w:r>
    </w:p>
    <w:p>
      <w:pPr>
        <w:ind w:firstLine="472"/>
        <w:rPr>
          <w:rFonts w:hint="eastAsia"/>
          <w:color w:val="auto"/>
        </w:rPr>
      </w:pPr>
      <w:r>
        <w:rPr>
          <w:rFonts w:hint="eastAsia"/>
          <w:color w:val="auto"/>
        </w:rPr>
        <w:t>4.创投企业选择按单一投资基金核算或按创投企业年度所得整体核算后，3年内不能变更。</w:t>
      </w:r>
    </w:p>
    <w:p>
      <w:pPr>
        <w:pStyle w:val="3"/>
        <w:ind w:firstLine="552"/>
        <w:rPr>
          <w:color w:val="auto"/>
        </w:rPr>
      </w:pPr>
      <w:r>
        <w:rPr>
          <w:rFonts w:hint="eastAsia"/>
          <w:color w:val="auto"/>
        </w:rPr>
        <w:t>四、设定依据</w:t>
      </w:r>
    </w:p>
    <w:p>
      <w:pPr>
        <w:ind w:firstLine="472"/>
        <w:rPr>
          <w:rFonts w:hint="eastAsia" w:eastAsia="宋体"/>
          <w:color w:val="auto"/>
          <w:lang w:eastAsia="zh-CN"/>
        </w:rPr>
      </w:pPr>
      <w:r>
        <w:rPr>
          <w:rFonts w:hint="eastAsia"/>
          <w:color w:val="auto"/>
          <w:lang w:val="en-US" w:eastAsia="zh-CN"/>
        </w:rPr>
        <w:t>1.</w:t>
      </w:r>
      <w:r>
        <w:rPr>
          <w:rFonts w:hint="eastAsia"/>
          <w:color w:val="auto"/>
        </w:rPr>
        <w:t>《关于创业投资企业个人合伙人所得税政策问题的通知》（财税〔2019〕8号）第六条</w:t>
      </w:r>
    </w:p>
    <w:p>
      <w:pPr>
        <w:ind w:firstLine="472"/>
        <w:rPr>
          <w:rFonts w:hint="eastAsia"/>
          <w:color w:val="auto"/>
        </w:rPr>
      </w:pPr>
      <w:r>
        <w:rPr>
          <w:rFonts w:hint="eastAsia"/>
          <w:color w:val="auto"/>
        </w:rPr>
        <w:t>“创投企业选择按单一投资基金核算的，应当在按照本通知第一条规定完成备案的30日内，向主管税务机关进行核算方式备案；未按规定备案的，视同选择按创投企业年度所得整体核算。2019年1月1日前已经完成备案的创投企业，选择按单一投资基金核算的，应当在2019年3月1日前向主管税务机关进行核算方式备案。创投企业选择一种核算方式满3年需要调整的，应当在满3年的次年1月31日前，重新向主管税务机关备案。”</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cs="Arial"/>
                <w:color w:val="auto"/>
                <w:kern w:val="2"/>
                <w:sz w:val="18"/>
                <w:szCs w:val="18"/>
              </w:rPr>
            </w:pPr>
            <w:r>
              <w:rPr>
                <w:rFonts w:hint="eastAsia" w:ascii="宋体" w:hAnsi="宋体" w:cs="Arial"/>
                <w:color w:val="auto"/>
                <w:kern w:val="2"/>
                <w:sz w:val="18"/>
                <w:szCs w:val="18"/>
              </w:rPr>
              <w:t>1</w:t>
            </w:r>
          </w:p>
        </w:tc>
        <w:tc>
          <w:tcPr>
            <w:tcW w:w="2551" w:type="dxa"/>
            <w:shd w:val="clear" w:color="auto" w:fill="auto"/>
            <w:vAlign w:val="center"/>
          </w:tcPr>
          <w:p>
            <w:pPr>
              <w:pStyle w:val="13"/>
              <w:widowControl/>
              <w:spacing w:before="100" w:after="100" w:line="280" w:lineRule="exact"/>
              <w:rPr>
                <w:rFonts w:ascii="宋体" w:hAnsi="宋体" w:cs="Arial"/>
                <w:color w:val="auto"/>
                <w:kern w:val="2"/>
                <w:sz w:val="18"/>
                <w:szCs w:val="18"/>
              </w:rPr>
            </w:pPr>
            <w:r>
              <w:rPr>
                <w:rFonts w:hint="eastAsia" w:ascii="宋体" w:hAnsi="宋体" w:cs="Arial"/>
                <w:color w:val="auto"/>
                <w:kern w:val="2"/>
                <w:sz w:val="18"/>
                <w:szCs w:val="18"/>
              </w:rPr>
              <w:t>《合伙制创业投资企业单一投资基金核算方式备案表》</w:t>
            </w:r>
          </w:p>
        </w:tc>
        <w:tc>
          <w:tcPr>
            <w:tcW w:w="709" w:type="dxa"/>
            <w:shd w:val="clear" w:color="auto" w:fill="auto"/>
            <w:vAlign w:val="center"/>
          </w:tcPr>
          <w:p>
            <w:pPr>
              <w:pStyle w:val="13"/>
              <w:widowControl/>
              <w:spacing w:before="100" w:after="100" w:line="280" w:lineRule="exact"/>
              <w:ind w:firstLine="352"/>
              <w:rPr>
                <w:rStyle w:val="17"/>
                <w:rFonts w:ascii="宋体" w:hAnsi="宋体" w:cs="微软雅黑"/>
                <w:b w:val="0"/>
                <w:bCs/>
                <w:color w:val="auto"/>
                <w:sz w:val="18"/>
                <w:szCs w:val="18"/>
              </w:rPr>
            </w:pPr>
            <w:r>
              <w:rPr>
                <w:rStyle w:val="17"/>
                <w:rFonts w:hint="eastAsia" w:ascii="宋体" w:hAnsi="宋体" w:cs="微软雅黑"/>
                <w:bCs/>
                <w:color w:val="auto"/>
                <w:sz w:val="18"/>
                <w:szCs w:val="18"/>
              </w:rPr>
              <w:t>2</w:t>
            </w:r>
          </w:p>
        </w:tc>
        <w:tc>
          <w:tcPr>
            <w:tcW w:w="992" w:type="dxa"/>
            <w:shd w:val="clear" w:color="auto" w:fill="auto"/>
            <w:vAlign w:val="center"/>
          </w:tcPr>
          <w:p>
            <w:pPr>
              <w:pStyle w:val="13"/>
              <w:widowControl/>
              <w:spacing w:before="100" w:after="100" w:line="280" w:lineRule="exact"/>
              <w:jc w:val="center"/>
              <w:rPr>
                <w:rFonts w:ascii="宋体" w:hAnsi="宋体" w:cs="微软雅黑"/>
                <w:color w:val="auto"/>
                <w:sz w:val="18"/>
                <w:szCs w:val="18"/>
              </w:rPr>
            </w:pPr>
            <w:r>
              <w:rPr>
                <w:rFonts w:hint="eastAsia" w:ascii="宋体" w:hAnsi="宋体" w:cs="微软雅黑"/>
                <w:color w:val="auto"/>
                <w:sz w:val="18"/>
                <w:szCs w:val="18"/>
              </w:rPr>
              <w:t>必报</w:t>
            </w:r>
          </w:p>
        </w:tc>
        <w:tc>
          <w:tcPr>
            <w:tcW w:w="1134" w:type="dxa"/>
            <w:shd w:val="clear" w:color="auto" w:fill="auto"/>
            <w:vAlign w:val="center"/>
          </w:tcPr>
          <w:p>
            <w:pPr>
              <w:pStyle w:val="13"/>
              <w:widowControl/>
              <w:spacing w:before="100" w:after="100" w:line="280" w:lineRule="exact"/>
              <w:rPr>
                <w:rFonts w:ascii="宋体" w:hAnsi="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28" o:spid="_x0000_s1028" o:spt="75" type="#_x0000_t75" style="position:absolute;left:0pt;margin-left:8.6pt;margin-top:16.6pt;height:104.45pt;width:439.3pt;mso-wrap-distance-bottom:0pt;mso-wrap-distance-left:9pt;mso-wrap-distance-right:9pt;mso-wrap-distance-top:0pt;z-index:251666432;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28"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color w:val="auto"/>
        </w:rPr>
        <w:t>A01085《合伙制创业投资企业单一投资基金核算方式备案表》</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1.纳税人对报送资料的真实性和合法性承担责任。</w:t>
      </w:r>
    </w:p>
    <w:p>
      <w:pPr>
        <w:ind w:firstLine="472"/>
        <w:rPr>
          <w:rFonts w:hint="eastAsia"/>
          <w:color w:val="auto"/>
        </w:rPr>
      </w:pPr>
      <w:r>
        <w:rPr>
          <w:rFonts w:hint="eastAsia"/>
          <w:color w:val="auto"/>
        </w:rPr>
        <w:t>2.最多跑一次是在资料完整且符合法定受理条件的前提下，最多只需要到税务机关跑一次。</w:t>
      </w:r>
    </w:p>
    <w:p>
      <w:pPr>
        <w:ind w:firstLine="472"/>
        <w:rPr>
          <w:rFonts w:hint="eastAsia"/>
          <w:color w:val="auto"/>
        </w:rPr>
      </w:pPr>
      <w:r>
        <w:rPr>
          <w:rFonts w:hint="eastAsia"/>
          <w:color w:val="auto"/>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736A55"/>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2019-10-31T03:30:38Z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