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7717"/>
      <w:r>
        <w:rPr>
          <w:rFonts w:hint="eastAsia" w:ascii="黑体" w:hAnsi="黑体"/>
          <w:color w:val="auto"/>
        </w:rPr>
        <w:t>1.3.4.2.1</w:t>
      </w:r>
      <w:r>
        <w:rPr>
          <w:rFonts w:hint="eastAsia"/>
          <w:color w:val="auto"/>
        </w:rPr>
        <w:t>居民综合所得个人所得税年度自行申报</w:t>
      </w:r>
      <w:bookmarkEnd w:id="0"/>
    </w:p>
    <w:p>
      <w:pPr>
        <w:pStyle w:val="3"/>
        <w:ind w:firstLine="552"/>
        <w:rPr>
          <w:color w:val="auto"/>
        </w:rPr>
      </w:pPr>
      <w:r>
        <w:rPr>
          <w:color w:val="auto"/>
        </w:rPr>
        <w:t>一、事项名称</w:t>
      </w:r>
    </w:p>
    <w:p>
      <w:pPr>
        <w:ind w:firstLine="472"/>
        <w:rPr>
          <w:color w:val="auto"/>
        </w:rPr>
      </w:pPr>
      <w:r>
        <w:rPr>
          <w:rFonts w:hint="default" w:ascii="宋体" w:hAnsi="宋体" w:eastAsia="宋体" w:cs="Times New Roman"/>
          <w:bCs w:val="0"/>
          <w:color w:val="auto"/>
          <w:kern w:val="2"/>
          <w:sz w:val="24"/>
          <w:szCs w:val="22"/>
          <w:lang w:val="en-US" w:eastAsia="zh-CN" w:bidi="ar-SA"/>
        </w:rPr>
        <w:t>居民综合所得个人所得税年度自行申报</w:t>
      </w:r>
    </w:p>
    <w:p>
      <w:pPr>
        <w:pStyle w:val="3"/>
        <w:ind w:firstLine="552"/>
        <w:rPr>
          <w:color w:val="auto"/>
        </w:rPr>
      </w:pPr>
      <w:r>
        <w:rPr>
          <w:color w:val="auto"/>
        </w:rPr>
        <w:t>二、事项类别</w:t>
      </w:r>
    </w:p>
    <w:p>
      <w:pPr>
        <w:pStyle w:val="47"/>
        <w:numPr>
          <w:ilvl w:val="0"/>
          <w:numId w:val="3"/>
        </w:numPr>
        <w:ind w:firstLineChars="0"/>
        <w:rPr>
          <w:rFonts w:hint="eastAsia"/>
          <w:color w:val="auto"/>
        </w:rPr>
      </w:pPr>
      <w:r>
        <w:rPr>
          <w:rFonts w:hint="eastAsia"/>
          <w:color w:val="auto"/>
        </w:rPr>
        <w:t>发起方式：人工发起（纳税人）</w:t>
      </w:r>
    </w:p>
    <w:p>
      <w:pPr>
        <w:pStyle w:val="47"/>
        <w:numPr>
          <w:ilvl w:val="0"/>
          <w:numId w:val="3"/>
        </w:numPr>
        <w:ind w:firstLineChars="0"/>
        <w:rPr>
          <w:rFonts w:hint="eastAsia"/>
          <w:color w:val="auto"/>
        </w:rPr>
      </w:pPr>
      <w:r>
        <w:rPr>
          <w:rFonts w:hint="eastAsia"/>
          <w:color w:val="auto"/>
        </w:rPr>
        <w:t>办结方式：即办</w:t>
      </w:r>
    </w:p>
    <w:p>
      <w:pPr>
        <w:pStyle w:val="47"/>
        <w:numPr>
          <w:ilvl w:val="0"/>
          <w:numId w:val="3"/>
        </w:numPr>
        <w:ind w:firstLineChars="0"/>
        <w:rPr>
          <w:rFonts w:hint="eastAsia"/>
          <w:color w:val="auto"/>
        </w:rPr>
      </w:pPr>
      <w:r>
        <w:rPr>
          <w:rFonts w:hint="eastAsia"/>
          <w:color w:val="auto"/>
        </w:rPr>
        <w:t>全省通办：是</w:t>
      </w:r>
    </w:p>
    <w:p>
      <w:pPr>
        <w:pStyle w:val="47"/>
        <w:numPr>
          <w:ilvl w:val="0"/>
          <w:numId w:val="3"/>
        </w:numPr>
        <w:ind w:firstLineChars="0"/>
        <w:rPr>
          <w:rFonts w:hint="eastAsia"/>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rFonts w:cs="宋体"/>
          <w:color w:val="auto"/>
          <w:kern w:val="0"/>
          <w:szCs w:val="24"/>
        </w:rPr>
      </w:pPr>
      <w:r>
        <w:rPr>
          <w:rFonts w:hint="eastAsia" w:cs="宋体"/>
          <w:color w:val="auto"/>
          <w:kern w:val="0"/>
          <w:szCs w:val="24"/>
        </w:rPr>
        <w:t>取得综合所得且符合下列情形之一的纳税人，应当依法办理汇算清缴：</w:t>
      </w:r>
    </w:p>
    <w:p>
      <w:pPr>
        <w:ind w:firstLine="472"/>
        <w:rPr>
          <w:color w:val="auto"/>
        </w:rPr>
      </w:pPr>
      <w:r>
        <w:rPr>
          <w:color w:val="auto"/>
        </w:rPr>
        <w:t>1.</w:t>
      </w:r>
      <w:r>
        <w:rPr>
          <w:rFonts w:hint="eastAsia"/>
          <w:color w:val="auto"/>
        </w:rPr>
        <w:t>从两处以上取得综合所得，且综合所得年收入额减除专项扣除后的余额超过</w:t>
      </w:r>
      <w:r>
        <w:rPr>
          <w:color w:val="auto"/>
        </w:rPr>
        <w:t>6万元</w:t>
      </w:r>
      <w:r>
        <w:rPr>
          <w:rFonts w:hint="eastAsia"/>
          <w:color w:val="auto"/>
        </w:rPr>
        <w:t>；</w:t>
      </w:r>
    </w:p>
    <w:p>
      <w:pPr>
        <w:ind w:firstLine="472"/>
        <w:rPr>
          <w:rFonts w:cs="宋体"/>
          <w:color w:val="auto"/>
          <w:kern w:val="0"/>
          <w:szCs w:val="24"/>
        </w:rPr>
      </w:pPr>
      <w:r>
        <w:rPr>
          <w:color w:val="auto"/>
        </w:rPr>
        <w:t>2.</w:t>
      </w:r>
      <w:r>
        <w:rPr>
          <w:rFonts w:hint="eastAsia" w:cs="宋体"/>
          <w:color w:val="auto"/>
          <w:kern w:val="0"/>
          <w:szCs w:val="24"/>
        </w:rPr>
        <w:t>取得劳务报酬所得、稿酬所得、特许权使用费所得中一项或者多项所得，且综合所得年收入额减除专项扣除的余额超过6万元；</w:t>
      </w:r>
    </w:p>
    <w:p>
      <w:pPr>
        <w:ind w:firstLine="472"/>
        <w:rPr>
          <w:rFonts w:cs="宋体"/>
          <w:color w:val="auto"/>
          <w:kern w:val="0"/>
          <w:szCs w:val="24"/>
        </w:rPr>
      </w:pPr>
      <w:r>
        <w:rPr>
          <w:rFonts w:hint="eastAsia"/>
          <w:color w:val="auto"/>
        </w:rPr>
        <w:t>3.</w:t>
      </w:r>
      <w:r>
        <w:rPr>
          <w:rFonts w:hint="eastAsia" w:cs="宋体"/>
          <w:color w:val="auto"/>
          <w:kern w:val="0"/>
          <w:szCs w:val="24"/>
        </w:rPr>
        <w:t>纳税年度内预缴税额低于应纳税额；</w:t>
      </w:r>
    </w:p>
    <w:p>
      <w:pPr>
        <w:ind w:firstLine="472"/>
        <w:rPr>
          <w:rFonts w:cs="宋体"/>
          <w:color w:val="auto"/>
          <w:kern w:val="0"/>
          <w:szCs w:val="24"/>
        </w:rPr>
      </w:pPr>
      <w:r>
        <w:rPr>
          <w:rFonts w:hint="eastAsia" w:cs="宋体"/>
          <w:color w:val="auto"/>
          <w:kern w:val="0"/>
          <w:szCs w:val="24"/>
        </w:rPr>
        <w:t>4.纳税人申请退税。</w:t>
      </w:r>
    </w:p>
    <w:p>
      <w:pPr>
        <w:ind w:firstLine="472"/>
        <w:rPr>
          <w:rFonts w:cs="宋体"/>
          <w:color w:val="auto"/>
          <w:kern w:val="0"/>
          <w:szCs w:val="24"/>
        </w:rPr>
      </w:pPr>
      <w:r>
        <w:rPr>
          <w:rFonts w:hint="eastAsia" w:cs="宋体"/>
          <w:color w:val="auto"/>
          <w:kern w:val="0"/>
          <w:szCs w:val="24"/>
        </w:rPr>
        <w:t>需要办理汇算清缴的纳税人，应当在取得所得的次年3月1日至6月30日内，向任职、受雇单位所在地主管税务机关办理纳税申报，并报送《个人所得税年度自行纳税申报表》。纳税人有两处以上任职、受雇单位的，选择向其中一处任职、受雇单位所在地主管税务机关办理纳税申报；纳税人没有任职、受雇单位的，向户籍所在地或经常居住地主管税务机关办理纳税申报。</w:t>
      </w:r>
      <w:r>
        <w:rPr>
          <w:rFonts w:hint="eastAsia" w:cs="宋体"/>
          <w:color w:val="auto"/>
          <w:kern w:val="0"/>
          <w:szCs w:val="24"/>
        </w:rPr>
        <w:br w:type="textWrapping"/>
      </w:r>
      <w:r>
        <w:rPr>
          <w:rFonts w:hint="eastAsia" w:cs="宋体"/>
          <w:color w:val="auto"/>
          <w:kern w:val="0"/>
          <w:szCs w:val="24"/>
        </w:rPr>
        <w:t>纳税人办理综合所得汇算清缴，应当准备与收入、专项扣除、专项附加扣除、依法确定的其他扣除、捐赠、享受税收优惠等相关的资料，并按规定留存备查或报送。</w:t>
      </w:r>
    </w:p>
    <w:p>
      <w:pPr>
        <w:pStyle w:val="3"/>
        <w:ind w:firstLine="552"/>
        <w:rPr>
          <w:color w:val="auto"/>
        </w:rPr>
      </w:pPr>
      <w:r>
        <w:rPr>
          <w:rFonts w:hint="eastAsia"/>
          <w:color w:val="auto"/>
        </w:rPr>
        <w:t>四、设定依据</w:t>
      </w:r>
    </w:p>
    <w:p>
      <w:pPr>
        <w:ind w:firstLine="472"/>
        <w:rPr>
          <w:rFonts w:hint="eastAsia" w:eastAsia="宋体" w:cs="宋体"/>
          <w:color w:val="auto"/>
          <w:kern w:val="0"/>
          <w:szCs w:val="24"/>
          <w:lang w:eastAsia="zh-CN"/>
        </w:rPr>
      </w:pPr>
      <w:r>
        <w:rPr>
          <w:rFonts w:hint="eastAsia" w:cs="宋体"/>
          <w:color w:val="auto"/>
          <w:kern w:val="0"/>
          <w:szCs w:val="24"/>
        </w:rPr>
        <w:t>1.《中华人民共和国税收征收管理法》第二十五条第一款</w:t>
      </w:r>
    </w:p>
    <w:p>
      <w:pPr>
        <w:ind w:firstLine="472"/>
        <w:rPr>
          <w:rFonts w:hint="eastAsia" w:eastAsia="宋体" w:cs="宋体"/>
          <w:color w:val="auto"/>
          <w:kern w:val="0"/>
          <w:szCs w:val="24"/>
          <w:lang w:eastAsia="zh-CN"/>
        </w:rPr>
      </w:pPr>
      <w:r>
        <w:rPr>
          <w:rFonts w:hint="eastAsia" w:cs="宋体"/>
          <w:color w:val="auto"/>
          <w:kern w:val="0"/>
          <w:szCs w:val="24"/>
          <w:lang w:eastAsia="zh-CN"/>
        </w:rPr>
        <w:t>“</w:t>
      </w:r>
      <w:r>
        <w:rPr>
          <w:rFonts w:hint="eastAsia" w:cs="宋体"/>
          <w:color w:val="auto"/>
          <w:kern w:val="0"/>
          <w:szCs w:val="24"/>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rFonts w:hint="eastAsia" w:cs="宋体"/>
          <w:color w:val="auto"/>
          <w:kern w:val="0"/>
          <w:szCs w:val="24"/>
          <w:lang w:eastAsia="zh-CN"/>
        </w:rPr>
        <w:t>”</w:t>
      </w:r>
    </w:p>
    <w:p>
      <w:pPr>
        <w:numPr>
          <w:ilvl w:val="0"/>
          <w:numId w:val="4"/>
        </w:numPr>
        <w:ind w:firstLine="472"/>
        <w:rPr>
          <w:rFonts w:hint="eastAsia" w:cs="宋体"/>
          <w:color w:val="auto"/>
          <w:kern w:val="0"/>
          <w:szCs w:val="24"/>
        </w:rPr>
      </w:pPr>
      <w:r>
        <w:rPr>
          <w:rFonts w:hint="eastAsia" w:cs="宋体"/>
          <w:color w:val="auto"/>
          <w:kern w:val="0"/>
          <w:szCs w:val="24"/>
        </w:rPr>
        <w:t>《中华人民共和国个人所得税法》第二条</w:t>
      </w:r>
    </w:p>
    <w:p>
      <w:pPr>
        <w:numPr>
          <w:ilvl w:val="0"/>
          <w:numId w:val="0"/>
        </w:numPr>
        <w:ind w:firstLine="472" w:firstLineChars="200"/>
        <w:rPr>
          <w:rFonts w:hint="eastAsia" w:cs="宋体"/>
          <w:color w:val="auto"/>
          <w:kern w:val="0"/>
          <w:szCs w:val="24"/>
        </w:rPr>
      </w:pPr>
      <w:r>
        <w:rPr>
          <w:rFonts w:hint="eastAsia" w:cs="宋体"/>
          <w:color w:val="auto"/>
          <w:kern w:val="0"/>
          <w:szCs w:val="24"/>
          <w:lang w:eastAsia="zh-CN"/>
        </w:rPr>
        <w:t>“</w:t>
      </w:r>
      <w:r>
        <w:rPr>
          <w:rFonts w:hint="eastAsia" w:cs="宋体"/>
          <w:color w:val="auto"/>
          <w:kern w:val="0"/>
          <w:szCs w:val="24"/>
        </w:rPr>
        <w:t>下列各项个人所得，应当缴纳个人所得税：</w:t>
      </w:r>
    </w:p>
    <w:p>
      <w:pPr>
        <w:ind w:firstLine="472"/>
        <w:rPr>
          <w:rFonts w:hint="eastAsia" w:cs="宋体"/>
          <w:color w:val="auto"/>
          <w:kern w:val="0"/>
          <w:szCs w:val="24"/>
        </w:rPr>
      </w:pPr>
      <w:r>
        <w:rPr>
          <w:rFonts w:hint="eastAsia" w:cs="宋体"/>
          <w:color w:val="auto"/>
          <w:kern w:val="0"/>
          <w:szCs w:val="24"/>
        </w:rPr>
        <w:t>（一）工资、薪金所得；（二）劳务报酬所得；（三）稿酬所得；（四）特许权使用费所得；（五）经营所得；（六）利息、股息、红利所得；（七）财产租赁所得；（八）财产转让所得；（九）偶然所得。</w:t>
      </w:r>
    </w:p>
    <w:p>
      <w:pPr>
        <w:ind w:firstLine="472"/>
        <w:rPr>
          <w:rFonts w:hint="eastAsia" w:eastAsia="宋体" w:cs="宋体"/>
          <w:color w:val="auto"/>
          <w:kern w:val="0"/>
          <w:szCs w:val="24"/>
          <w:lang w:eastAsia="zh-CN"/>
        </w:rPr>
      </w:pPr>
      <w:r>
        <w:rPr>
          <w:rFonts w:hint="eastAsia" w:cs="宋体"/>
          <w:color w:val="auto"/>
          <w:kern w:val="0"/>
          <w:szCs w:val="24"/>
        </w:rPr>
        <w:t>居民个人取得前款第一项至第四项所得（以下称综合所得），按纳税年度合并计算个人所得税；非居民个人取得前款第一项至第四项所得，按月或者按次分项计算个人所得税。纳税人取得前款第五项至第九项所得，依照本法规定分别计算个人所得税。</w:t>
      </w:r>
      <w:r>
        <w:rPr>
          <w:rFonts w:hint="eastAsia" w:cs="宋体"/>
          <w:color w:val="auto"/>
          <w:kern w:val="0"/>
          <w:szCs w:val="24"/>
          <w:lang w:eastAsia="zh-CN"/>
        </w:rPr>
        <w:t>”</w:t>
      </w:r>
    </w:p>
    <w:p>
      <w:pPr>
        <w:numPr>
          <w:ilvl w:val="0"/>
          <w:numId w:val="4"/>
        </w:numPr>
        <w:ind w:left="0" w:leftChars="0" w:firstLine="472" w:firstLineChars="200"/>
        <w:rPr>
          <w:rFonts w:hint="eastAsia" w:cs="宋体"/>
          <w:color w:val="auto"/>
          <w:kern w:val="0"/>
          <w:szCs w:val="24"/>
        </w:rPr>
      </w:pPr>
      <w:r>
        <w:rPr>
          <w:rFonts w:hint="eastAsia" w:cs="宋体"/>
          <w:color w:val="auto"/>
          <w:kern w:val="0"/>
          <w:szCs w:val="24"/>
        </w:rPr>
        <w:t>《中华人民共和国个人所得税法实施条例》第二十五条</w:t>
      </w:r>
    </w:p>
    <w:p>
      <w:pPr>
        <w:numPr>
          <w:ilvl w:val="0"/>
          <w:numId w:val="0"/>
        </w:numPr>
        <w:ind w:firstLine="472" w:firstLineChars="200"/>
        <w:rPr>
          <w:rFonts w:hint="eastAsia" w:cs="宋体"/>
          <w:color w:val="auto"/>
          <w:kern w:val="0"/>
          <w:szCs w:val="24"/>
        </w:rPr>
      </w:pPr>
      <w:r>
        <w:rPr>
          <w:rFonts w:hint="eastAsia" w:cs="宋体"/>
          <w:color w:val="auto"/>
          <w:kern w:val="0"/>
          <w:szCs w:val="24"/>
          <w:lang w:eastAsia="zh-CN"/>
        </w:rPr>
        <w:t>“</w:t>
      </w:r>
      <w:r>
        <w:rPr>
          <w:rFonts w:hint="eastAsia" w:cs="宋体"/>
          <w:color w:val="auto"/>
          <w:kern w:val="0"/>
          <w:szCs w:val="24"/>
        </w:rPr>
        <w:t>取得综合所得需要办理汇算清缴的情形包括：（一）从两处以上取得综合所得，且综合所得年收入额减除专项扣除的余额超过6万元；（二）取得劳务报酬所得、稿酬所得、特许权使用费所得中一项或者多项所得，且综合所得年收入额减除专项扣除的余额超过6万元；（三）纳税年度内预缴税额低于应纳税额；（四）纳税人申请退税。</w:t>
      </w:r>
    </w:p>
    <w:p>
      <w:pPr>
        <w:ind w:firstLine="472"/>
        <w:rPr>
          <w:rFonts w:hint="eastAsia" w:cs="宋体"/>
          <w:color w:val="auto"/>
          <w:kern w:val="0"/>
          <w:szCs w:val="24"/>
        </w:rPr>
      </w:pPr>
      <w:r>
        <w:rPr>
          <w:rFonts w:hint="eastAsia" w:cs="宋体"/>
          <w:color w:val="auto"/>
          <w:kern w:val="0"/>
          <w:szCs w:val="24"/>
        </w:rPr>
        <w:t>纳税人申请退税，应当提供其在中国境内开设的银行账户，并在汇算清缴地就地办理税款退库。</w:t>
      </w:r>
    </w:p>
    <w:p>
      <w:pPr>
        <w:ind w:firstLine="472"/>
        <w:rPr>
          <w:rFonts w:hint="eastAsia" w:ascii="宋体" w:hAnsi="宋体" w:eastAsia="宋体" w:cs="Times New Roman"/>
          <w:color w:val="auto"/>
          <w:lang w:eastAsia="zh-CN"/>
        </w:rPr>
      </w:pPr>
      <w:r>
        <w:rPr>
          <w:rFonts w:hint="eastAsia" w:cs="宋体"/>
          <w:color w:val="auto"/>
          <w:kern w:val="0"/>
          <w:szCs w:val="24"/>
        </w:rPr>
        <w:t>汇算清缴的具体办法由国务院税务主管部门制定。</w:t>
      </w:r>
      <w:r>
        <w:rPr>
          <w:rFonts w:hint="eastAsia" w:cs="宋体"/>
          <w:color w:val="auto"/>
          <w:kern w:val="0"/>
          <w:szCs w:val="24"/>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5"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《个人所得税年度自行纳税申报表</w:t>
            </w:r>
            <w:r>
              <w:rPr>
                <w:rFonts w:cs="宋体"/>
                <w:color w:val="auto"/>
                <w:kern w:val="0"/>
                <w:sz w:val="18"/>
                <w:szCs w:val="18"/>
              </w:rPr>
              <w:t>》</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取得综合所得需要办理汇算清缴的；居民个人取得综合所得，扣缴义务人未扣缴税款的；纳税人在注销户籍年度取得综合所得的，办理当年综合所得的汇算清缴时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境外税务机关填发的完税凭证原件</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纳税义务人在境外取得所得并在境外缴纳税款后，在申请扣除已在境外缴纳的个人所得税税额时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《个人所得税减免税事项报告表》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纳税人纳税申报时存在减免个人所得税情形的</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《个人所得税专项附加扣除信息表》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依法确定需要办理专项附加扣除</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5</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《商业健康保险税前扣除情况明细表》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有依法确定的其他扣除</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6</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olor w:val="auto"/>
                <w:sz w:val="18"/>
                <w:szCs w:val="18"/>
              </w:rPr>
              <w:t>《个人税收递延型商业养老保险税前扣除情况明细表》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有依法确定的其他扣除</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7</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olor w:val="auto"/>
                <w:sz w:val="18"/>
                <w:szCs w:val="18"/>
              </w:rPr>
              <w:t>捐赠扣除凭证</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有对公益慈善事业的捐赠</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pageBreakBefore w:val="0"/>
        <w:widowControl w:val="0"/>
        <w:kinsoku/>
        <w:wordWrap/>
        <w:overflowPunct/>
        <w:topLinePunct w:val="0"/>
        <w:autoSpaceDE/>
        <w:autoSpaceDN/>
        <w:bidi w:val="0"/>
        <w:adjustRightInd/>
        <w:snapToGrid/>
        <w:spacing w:line="240" w:lineRule="auto"/>
        <w:ind w:firstLine="552"/>
        <w:textAlignment w:val="auto"/>
        <w:rPr>
          <w:color w:val="auto"/>
        </w:rPr>
      </w:pPr>
      <w:r>
        <w:rPr>
          <w:rFonts w:hint="eastAsia"/>
          <w:color w:val="auto"/>
        </w:rPr>
        <w:t>六</w:t>
      </w:r>
      <w:r>
        <w:rPr>
          <w:color w:val="auto"/>
        </w:rPr>
        <w:t>、办理流程</w:t>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r>
        <w:rPr>
          <w:color w:val="auto"/>
        </w:rPr>
        <w:drawing>
          <wp:inline distT="0" distB="0" distL="114300" distR="114300">
            <wp:extent cx="5010150" cy="1339850"/>
            <wp:effectExtent l="0" t="0" r="0" b="12700"/>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10"/>
                    <a:stretch>
                      <a:fillRect/>
                    </a:stretch>
                  </pic:blipFill>
                  <pic:spPr>
                    <a:xfrm>
                      <a:off x="0" y="0"/>
                      <a:ext cx="5010150" cy="1339850"/>
                    </a:xfrm>
                    <a:prstGeom prst="rect">
                      <a:avLst/>
                    </a:prstGeom>
                    <a:noFill/>
                    <a:ln>
                      <a:noFill/>
                    </a:ln>
                  </pic:spPr>
                </pic:pic>
              </a:graphicData>
            </a:graphic>
          </wp:inline>
        </w:drawing>
      </w:r>
    </w:p>
    <w:p>
      <w:pPr>
        <w:pStyle w:val="3"/>
        <w:ind w:left="0" w:leftChars="0" w:firstLine="552" w:firstLineChars="200"/>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default" w:ascii="宋体" w:hAnsi="宋体" w:eastAsia="宋体" w:cs="Times New Roman"/>
          <w:bCs w:val="0"/>
          <w:color w:val="auto"/>
          <w:kern w:val="2"/>
          <w:sz w:val="24"/>
          <w:szCs w:val="22"/>
          <w:lang w:val="en-US" w:eastAsia="zh-CN" w:bidi="ar-SA"/>
        </w:rPr>
      </w:pPr>
      <w:r>
        <w:rPr>
          <w:rFonts w:hint="default" w:ascii="宋体" w:hAnsi="宋体" w:eastAsia="宋体" w:cs="Times New Roman"/>
          <w:bCs w:val="0"/>
          <w:color w:val="auto"/>
          <w:kern w:val="2"/>
          <w:sz w:val="24"/>
          <w:szCs w:val="22"/>
          <w:lang w:val="en-US" w:eastAsia="zh-CN" w:bidi="ar-SA"/>
        </w:rPr>
        <w:t>1.A06867《个人所得税年度自行纳税申报表》</w:t>
      </w:r>
    </w:p>
    <w:p>
      <w:pPr>
        <w:ind w:firstLine="472"/>
        <w:rPr>
          <w:rFonts w:hint="default" w:ascii="宋体" w:hAnsi="宋体" w:eastAsia="宋体" w:cs="Times New Roman"/>
          <w:bCs w:val="0"/>
          <w:color w:val="auto"/>
          <w:kern w:val="2"/>
          <w:sz w:val="24"/>
          <w:szCs w:val="22"/>
          <w:lang w:val="en-US" w:eastAsia="zh-CN" w:bidi="ar-SA"/>
        </w:rPr>
      </w:pPr>
      <w:r>
        <w:rPr>
          <w:rFonts w:hint="default" w:ascii="宋体" w:hAnsi="宋体" w:eastAsia="宋体" w:cs="Times New Roman"/>
          <w:bCs w:val="0"/>
          <w:color w:val="auto"/>
          <w:kern w:val="2"/>
          <w:sz w:val="24"/>
          <w:szCs w:val="22"/>
          <w:lang w:val="en-US" w:eastAsia="zh-CN" w:bidi="ar-SA"/>
        </w:rPr>
        <w:t>2.A06652《个人所得税减免税事项报告表》</w:t>
      </w:r>
    </w:p>
    <w:p>
      <w:pPr>
        <w:ind w:firstLine="472"/>
        <w:rPr>
          <w:rFonts w:hint="default" w:ascii="宋体" w:hAnsi="宋体" w:eastAsia="宋体" w:cs="Times New Roman"/>
          <w:bCs w:val="0"/>
          <w:color w:val="auto"/>
          <w:kern w:val="2"/>
          <w:sz w:val="24"/>
          <w:szCs w:val="22"/>
          <w:lang w:val="en-US" w:eastAsia="zh-CN" w:bidi="ar-SA"/>
        </w:rPr>
      </w:pPr>
      <w:r>
        <w:rPr>
          <w:rFonts w:hint="default" w:cs="Times New Roman"/>
          <w:bCs w:val="0"/>
          <w:color w:val="auto"/>
          <w:kern w:val="2"/>
          <w:sz w:val="24"/>
          <w:szCs w:val="22"/>
          <w:lang w:val="en-US" w:eastAsia="zh-CN" w:bidi="ar-SA"/>
        </w:rPr>
        <w:t>3.</w:t>
      </w:r>
      <w:r>
        <w:rPr>
          <w:rFonts w:hint="default" w:ascii="宋体" w:hAnsi="宋体" w:eastAsia="宋体" w:cs="Times New Roman"/>
          <w:bCs w:val="0"/>
          <w:color w:val="auto"/>
          <w:kern w:val="2"/>
          <w:sz w:val="24"/>
          <w:szCs w:val="22"/>
          <w:lang w:val="en-US" w:eastAsia="zh-CN" w:bidi="ar-SA"/>
        </w:rPr>
        <w:t>A01084《个人所得税专项附加扣除信息表》</w:t>
      </w:r>
    </w:p>
    <w:p>
      <w:pPr>
        <w:ind w:firstLine="472"/>
        <w:rPr>
          <w:rFonts w:hint="default" w:ascii="宋体" w:hAnsi="宋体" w:eastAsia="宋体" w:cs="Times New Roman"/>
          <w:bCs w:val="0"/>
          <w:color w:val="auto"/>
          <w:kern w:val="2"/>
          <w:sz w:val="24"/>
          <w:szCs w:val="22"/>
          <w:lang w:val="en-US" w:eastAsia="zh-CN" w:bidi="ar-SA"/>
        </w:rPr>
      </w:pPr>
      <w:r>
        <w:rPr>
          <w:rFonts w:hint="default" w:ascii="宋体" w:hAnsi="宋体" w:eastAsia="宋体" w:cs="Times New Roman"/>
          <w:bCs w:val="0"/>
          <w:color w:val="auto"/>
          <w:kern w:val="2"/>
          <w:sz w:val="24"/>
          <w:szCs w:val="22"/>
          <w:lang w:val="en-US" w:eastAsia="zh-CN" w:bidi="ar-SA"/>
        </w:rPr>
        <w:t>4.A06729《商业健康保险税前扣除情况明细表》</w:t>
      </w:r>
    </w:p>
    <w:p>
      <w:pPr>
        <w:ind w:firstLine="472"/>
        <w:rPr>
          <w:rFonts w:hint="default" w:ascii="宋体" w:hAnsi="宋体" w:eastAsia="宋体" w:cs="Times New Roman"/>
          <w:bCs w:val="0"/>
          <w:color w:val="auto"/>
          <w:kern w:val="2"/>
          <w:sz w:val="24"/>
          <w:szCs w:val="22"/>
          <w:lang w:val="en-US" w:eastAsia="zh-CN" w:bidi="ar-SA"/>
        </w:rPr>
      </w:pPr>
      <w:r>
        <w:rPr>
          <w:rFonts w:hint="default" w:ascii="宋体" w:hAnsi="宋体" w:eastAsia="宋体" w:cs="Times New Roman"/>
          <w:bCs w:val="0"/>
          <w:color w:val="auto"/>
          <w:kern w:val="2"/>
          <w:sz w:val="24"/>
          <w:szCs w:val="22"/>
          <w:lang w:val="en-US" w:eastAsia="zh-CN" w:bidi="ar-SA"/>
        </w:rPr>
        <w:t>5.A06844《个人税收递延型商业养老保险税前扣除情况明细表》</w:t>
      </w:r>
    </w:p>
    <w:p>
      <w:pPr>
        <w:pStyle w:val="3"/>
        <w:ind w:firstLine="552"/>
        <w:rPr>
          <w:rFonts w:hint="eastAsia"/>
          <w:color w:val="auto"/>
        </w:rPr>
      </w:pPr>
      <w:r>
        <w:rPr>
          <w:rFonts w:hint="eastAsia"/>
          <w:color w:val="auto"/>
        </w:rPr>
        <w:t>九、注意事项</w:t>
      </w:r>
    </w:p>
    <w:p>
      <w:pPr>
        <w:ind w:left="472" w:leftChars="200" w:firstLine="0" w:firstLineChars="0"/>
        <w:rPr>
          <w:rFonts w:cs="宋体"/>
          <w:color w:val="auto"/>
          <w:kern w:val="0"/>
          <w:szCs w:val="24"/>
        </w:rPr>
      </w:pPr>
      <w:r>
        <w:rPr>
          <w:color w:val="auto"/>
        </w:rPr>
        <w:t>1.</w:t>
      </w:r>
      <w:r>
        <w:rPr>
          <w:rFonts w:hint="eastAsia" w:cs="宋体"/>
          <w:color w:val="auto"/>
          <w:kern w:val="0"/>
          <w:szCs w:val="24"/>
        </w:rPr>
        <w:t>居民个人取得综合所得，扣缴义务人未扣缴税款的，通过</w:t>
      </w:r>
      <w:r>
        <w:rPr>
          <w:rFonts w:cs="宋体"/>
          <w:color w:val="auto"/>
          <w:kern w:val="0"/>
          <w:szCs w:val="24"/>
        </w:rPr>
        <w:t>本</w:t>
      </w:r>
      <w:r>
        <w:rPr>
          <w:rFonts w:hint="eastAsia" w:cs="宋体"/>
          <w:color w:val="auto"/>
          <w:kern w:val="0"/>
          <w:szCs w:val="24"/>
        </w:rPr>
        <w:t>业务</w:t>
      </w:r>
      <w:r>
        <w:rPr>
          <w:rFonts w:cs="宋体"/>
          <w:color w:val="auto"/>
          <w:kern w:val="0"/>
          <w:szCs w:val="24"/>
        </w:rPr>
        <w:t>事项办理</w:t>
      </w:r>
      <w:r>
        <w:rPr>
          <w:rFonts w:hint="eastAsia" w:cs="宋体"/>
          <w:color w:val="auto"/>
          <w:kern w:val="0"/>
          <w:szCs w:val="24"/>
        </w:rPr>
        <w:t>。</w:t>
      </w:r>
      <w:r>
        <w:rPr>
          <w:rFonts w:hint="eastAsia" w:cs="宋体"/>
          <w:color w:val="auto"/>
          <w:kern w:val="0"/>
          <w:szCs w:val="24"/>
        </w:rPr>
        <w:br w:type="textWrapping"/>
      </w:r>
      <w:r>
        <w:rPr>
          <w:color w:val="auto"/>
        </w:rPr>
        <w:t>2</w:t>
      </w:r>
      <w:r>
        <w:rPr>
          <w:rFonts w:hint="eastAsia"/>
          <w:color w:val="auto"/>
        </w:rPr>
        <w:t>.</w:t>
      </w:r>
      <w:r>
        <w:rPr>
          <w:rFonts w:hint="eastAsia" w:cs="宋体"/>
          <w:color w:val="auto"/>
          <w:kern w:val="0"/>
          <w:szCs w:val="24"/>
        </w:rPr>
        <w:t>纳税人因</w:t>
      </w:r>
      <w:r>
        <w:rPr>
          <w:rFonts w:cs="宋体"/>
          <w:color w:val="auto"/>
          <w:kern w:val="0"/>
          <w:szCs w:val="24"/>
        </w:rPr>
        <w:t>移居境外</w:t>
      </w:r>
      <w:r>
        <w:rPr>
          <w:rFonts w:hint="eastAsia" w:cs="宋体"/>
          <w:color w:val="auto"/>
          <w:kern w:val="0"/>
          <w:szCs w:val="24"/>
        </w:rPr>
        <w:t>注销中国户籍年度取得综合所得的，通过</w:t>
      </w:r>
      <w:r>
        <w:rPr>
          <w:rFonts w:cs="宋体"/>
          <w:color w:val="auto"/>
          <w:kern w:val="0"/>
          <w:szCs w:val="24"/>
        </w:rPr>
        <w:t>本</w:t>
      </w:r>
      <w:r>
        <w:rPr>
          <w:rFonts w:hint="eastAsia" w:cs="宋体"/>
          <w:color w:val="auto"/>
          <w:kern w:val="0"/>
          <w:szCs w:val="24"/>
        </w:rPr>
        <w:t>业务</w:t>
      </w:r>
      <w:r>
        <w:rPr>
          <w:rFonts w:cs="宋体"/>
          <w:color w:val="auto"/>
          <w:kern w:val="0"/>
          <w:szCs w:val="24"/>
        </w:rPr>
        <w:t>事项办理</w:t>
      </w:r>
      <w:r>
        <w:rPr>
          <w:rFonts w:hint="eastAsia" w:cs="宋体"/>
          <w:color w:val="auto"/>
          <w:kern w:val="0"/>
          <w:szCs w:val="24"/>
        </w:rPr>
        <w:t>。</w:t>
      </w:r>
    </w:p>
    <w:p>
      <w:pPr>
        <w:ind w:left="472" w:leftChars="200" w:firstLine="0" w:firstLineChars="0"/>
        <w:rPr>
          <w:rFonts w:hint="eastAsia" w:cs="宋体"/>
          <w:color w:val="auto"/>
          <w:kern w:val="0"/>
          <w:szCs w:val="24"/>
        </w:rPr>
      </w:pPr>
      <w:r>
        <w:rPr>
          <w:rFonts w:hint="eastAsia" w:cs="宋体"/>
          <w:color w:val="auto"/>
          <w:kern w:val="0"/>
          <w:szCs w:val="24"/>
        </w:rPr>
        <w:t>3.附报资料通过电子税务局等途径已提交电子资料的免予报送纸质资料。</w:t>
      </w:r>
    </w:p>
    <w:p>
      <w:pPr>
        <w:rPr>
          <w:rFonts w:hint="eastAsia"/>
          <w:color w:val="auto"/>
        </w:rPr>
      </w:pPr>
      <w:r>
        <w:rPr>
          <w:rFonts w:hint="eastAsia" w:cs="宋体"/>
          <w:color w:val="auto"/>
          <w:kern w:val="0"/>
          <w:szCs w:val="24"/>
          <w:lang w:val="en-US" w:eastAsia="zh-CN"/>
        </w:rPr>
        <w:t>4.</w:t>
      </w:r>
      <w:r>
        <w:rPr>
          <w:rFonts w:hint="eastAsia"/>
          <w:color w:val="auto"/>
        </w:rPr>
        <w:t>纳税人对报送资料的真实性和合法性承担责任。</w:t>
      </w:r>
    </w:p>
    <w:p>
      <w:pPr>
        <w:rPr>
          <w:rFonts w:hint="eastAsia" w:cs="宋体"/>
          <w:color w:val="auto"/>
          <w:kern w:val="0"/>
          <w:szCs w:val="24"/>
          <w:lang w:val="en-US" w:eastAsia="zh-CN"/>
        </w:rPr>
      </w:pPr>
      <w:r>
        <w:rPr>
          <w:rFonts w:hint="eastAsia"/>
          <w:color w:val="auto"/>
        </w:rPr>
        <w:t>5.最多跑一次是在资料完整且符合法定受理条件的前提下，最多只需要到税务机关跑一次。</w:t>
      </w:r>
    </w:p>
    <w:p>
      <w:pPr>
        <w:rPr>
          <w:rFonts w:hint="default" w:eastAsia="宋体"/>
          <w:color w:val="auto"/>
          <w:lang w:val="en-US" w:eastAsia="zh-CN"/>
        </w:rPr>
      </w:pPr>
      <w:r>
        <w:rPr>
          <w:rFonts w:hint="eastAsia" w:cs="宋体"/>
          <w:color w:val="auto"/>
          <w:kern w:val="0"/>
          <w:szCs w:val="24"/>
          <w:lang w:val="en-US" w:eastAsia="zh-CN"/>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31EF6A8F"/>
    <w:multiLevelType w:val="singleLevel"/>
    <w:tmpl w:val="31EF6A8F"/>
    <w:lvl w:ilvl="0" w:tentative="0">
      <w:start w:val="2"/>
      <w:numFmt w:val="decimal"/>
      <w:lvlText w:val="%1."/>
      <w:lvlJc w:val="left"/>
      <w:pPr>
        <w:tabs>
          <w:tab w:val="left" w:pos="312"/>
        </w:tabs>
      </w:p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5644847"/>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2019-10-31T06:22:21Z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