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3955"/>
      <w:r>
        <w:rPr>
          <w:rFonts w:ascii="黑体" w:hAnsi="黑体" w:cs="黑体"/>
          <w:color w:val="auto"/>
        </w:rPr>
        <w:t>1.1.4.7.1跨区域涉税事项报告</w:t>
      </w:r>
      <w:bookmarkEnd w:id="0"/>
    </w:p>
    <w:p>
      <w:pPr>
        <w:pStyle w:val="3"/>
        <w:ind w:firstLine="552"/>
        <w:rPr>
          <w:color w:val="auto"/>
        </w:rPr>
      </w:pPr>
      <w:r>
        <w:rPr>
          <w:color w:val="auto"/>
        </w:rPr>
        <w:t>一、事项名称</w:t>
      </w:r>
    </w:p>
    <w:p>
      <w:pPr>
        <w:ind w:firstLine="471" w:firstLineChars="0"/>
        <w:rPr>
          <w:rFonts w:hint="eastAsia"/>
          <w:color w:val="auto"/>
        </w:rPr>
      </w:pPr>
      <w:r>
        <w:rPr>
          <w:rFonts w:hint="eastAsia"/>
          <w:color w:val="auto"/>
        </w:rPr>
        <w:t>跨区域涉税事项报告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1" w:firstLineChars="0"/>
        <w:rPr>
          <w:rFonts w:hint="eastAsia"/>
          <w:color w:val="auto"/>
        </w:rPr>
      </w:pPr>
      <w:r>
        <w:rPr>
          <w:rFonts w:ascii="宋体" w:hAnsi="宋体" w:eastAsia="宋体" w:cs="Times New Roman"/>
          <w:bCs w:val="0"/>
          <w:color w:val="auto"/>
          <w:sz w:val="24"/>
          <w:szCs w:val="22"/>
        </w:rPr>
        <w:t>1</w:t>
      </w:r>
      <w:r>
        <w:rPr>
          <w:rFonts w:hint="eastAsia"/>
          <w:color w:val="auto"/>
        </w:rPr>
        <w:t>.纳税人跨省税务机关管辖区域经营的，或省内跨地市经营的，应按规定填报《跨区域涉税事项报告表》。在同一省辖市内跨县（市、区）经营的，不再填报。</w:t>
      </w:r>
    </w:p>
    <w:p>
      <w:pPr>
        <w:ind w:firstLine="471" w:firstLineChars="0"/>
        <w:rPr>
          <w:rFonts w:hint="eastAsia"/>
          <w:color w:val="auto"/>
        </w:rPr>
      </w:pPr>
      <w:r>
        <w:rPr>
          <w:rFonts w:hint="eastAsia"/>
          <w:color w:val="auto"/>
        </w:rPr>
        <w:t>2.《跨区域涉税事项报告表》按照跨区域合同期限作为有效期限。</w:t>
      </w:r>
    </w:p>
    <w:p>
      <w:pPr>
        <w:ind w:firstLine="471" w:firstLineChars="0"/>
        <w:rPr>
          <w:rFonts w:hint="eastAsia"/>
          <w:color w:val="auto"/>
        </w:rPr>
      </w:pPr>
      <w:r>
        <w:rPr>
          <w:rFonts w:hint="eastAsia"/>
          <w:color w:val="auto"/>
        </w:rPr>
        <w:t>3.机构所在地的税务机关受理，发送给经营地的税务机关。</w:t>
      </w:r>
    </w:p>
    <w:p>
      <w:pPr>
        <w:ind w:firstLine="471" w:firstLineChars="0"/>
        <w:rPr>
          <w:rFonts w:hint="eastAsia"/>
          <w:color w:val="auto"/>
        </w:rPr>
      </w:pPr>
      <w:r>
        <w:rPr>
          <w:rFonts w:hint="eastAsia"/>
          <w:color w:val="auto"/>
        </w:rPr>
        <w:t>4.纳税人合同延期的，既可向经营地的税务机关，也可向机构所在地的税务机关发起延期。</w:t>
      </w:r>
    </w:p>
    <w:p>
      <w:pPr>
        <w:ind w:firstLine="471" w:firstLineChars="0"/>
        <w:rPr>
          <w:rFonts w:hint="eastAsia"/>
          <w:color w:val="auto"/>
        </w:rPr>
      </w:pPr>
      <w:r>
        <w:rPr>
          <w:rFonts w:hint="eastAsia"/>
          <w:color w:val="auto"/>
        </w:rPr>
        <w:t>5.异地不动产转让和租赁业务不适用跨区域涉税事项报验管理相关制度规定。</w:t>
      </w:r>
    </w:p>
    <w:p>
      <w:pPr>
        <w:pStyle w:val="3"/>
        <w:ind w:firstLine="552"/>
        <w:rPr>
          <w:color w:val="auto"/>
        </w:rPr>
      </w:pPr>
      <w:r>
        <w:rPr>
          <w:rFonts w:hint="eastAsia"/>
          <w:color w:val="auto"/>
        </w:rPr>
        <w:t>四、设定依据</w:t>
      </w:r>
    </w:p>
    <w:p>
      <w:pPr>
        <w:ind w:firstLine="471" w:firstLineChars="0"/>
        <w:rPr>
          <w:rFonts w:hint="eastAsia" w:eastAsia="宋体"/>
          <w:color w:val="auto"/>
          <w:lang w:eastAsia="zh-CN"/>
        </w:rPr>
      </w:pPr>
      <w:r>
        <w:rPr>
          <w:rFonts w:hint="eastAsia"/>
          <w:color w:val="auto"/>
        </w:rPr>
        <w:t>1.《中华人民共和国税收征收管理法实施细则》第二十一条</w:t>
      </w:r>
    </w:p>
    <w:p>
      <w:pPr>
        <w:ind w:firstLine="471" w:firstLineChars="0"/>
        <w:rPr>
          <w:rFonts w:hint="eastAsia"/>
          <w:color w:val="auto"/>
        </w:rPr>
      </w:pPr>
      <w:r>
        <w:rPr>
          <w:rFonts w:hint="eastAsia"/>
          <w:color w:val="auto"/>
        </w:rPr>
        <w:t>“从事生产、经营的纳税人到外县（市）临时从事生产、经营活动的，应当持税务登记证副本和所在地税务机关填开的外出经营活动税收管理证明，向营业地税务机关报验登记，接受税务管理。从事生产、经营的纳税人外出经营，在同一地累计超过180天的，应当在营业地办理税务登记手续。”</w:t>
      </w:r>
    </w:p>
    <w:p>
      <w:pPr>
        <w:ind w:firstLine="471" w:firstLineChars="0"/>
        <w:rPr>
          <w:rFonts w:hint="eastAsia" w:eastAsia="宋体"/>
          <w:color w:val="auto"/>
          <w:lang w:eastAsia="zh-CN"/>
        </w:rPr>
      </w:pPr>
      <w:r>
        <w:rPr>
          <w:rFonts w:hint="eastAsia"/>
          <w:color w:val="auto"/>
        </w:rPr>
        <w:t>2.《国家税务总局关于明确跨区域涉税事项报验管理相关问题的公告》（国家税务总局公告2018年第38号）第一条</w:t>
      </w:r>
    </w:p>
    <w:p>
      <w:pPr>
        <w:ind w:firstLine="471" w:firstLineChars="0"/>
        <w:rPr>
          <w:rFonts w:hint="eastAsia"/>
          <w:color w:val="auto"/>
        </w:rPr>
      </w:pPr>
      <w:r>
        <w:rPr>
          <w:rFonts w:hint="eastAsia"/>
          <w:color w:val="auto"/>
        </w:rPr>
        <w:t>“纳税人跨省（自治区、直辖市和计划单列市）临时从事生产经营活动的，向机构所在地的税务机关填报《跨区域涉税事项报告表》。”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ascii="宋体" w:hAnsi="宋体" w:eastAsia="宋体"/>
                <w:color w:val="auto"/>
                <w:sz w:val="18"/>
                <w:szCs w:val="18"/>
              </w:rPr>
            </w:pPr>
            <w:r>
              <w:rPr>
                <w:rFonts w:hint="eastAsia" w:ascii="宋体" w:hAnsi="宋体" w:eastAsia="宋体"/>
                <w:color w:val="auto"/>
                <w:sz w:val="18"/>
                <w:szCs w:val="18"/>
              </w:rPr>
              <w:t>《跨区域涉税事项报告表》</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加载统一社会信用代码的营业执照副本（未换照的出示税务登记证副本），或加盖纳税人公章的副本复印件</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未实行实名办税的纳税人提供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3" o:spid="_x0000_s1033" o:spt="75" type="#_x0000_t75" style="position:absolute;left:0pt;margin-left:8.6pt;margin-top:16.6pt;height:104.45pt;width:439.3pt;mso-wrap-distance-bottom:0pt;mso-wrap-distance-left:9pt;mso-wrap-distance-right:9pt;mso-wrap-distance-top:0pt;z-index:251681792;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3"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A01068《跨区域涉税事项报告表》</w:t>
      </w:r>
      <w:r>
        <w:rPr>
          <w:rFonts w:hint="eastAsia"/>
          <w:color w:val="auto"/>
        </w:rPr>
        <w:t>(</w:t>
      </w:r>
      <w:r>
        <w:rPr>
          <w:color w:val="auto"/>
        </w:rPr>
        <w:t>A01068</w:t>
      </w:r>
      <w:r>
        <w:rPr>
          <w:rFonts w:hint="eastAsia"/>
          <w:color w:val="auto"/>
        </w:rPr>
        <w:t>《跨区域涉税事项报告表》（填写样例）)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取消跨区域涉税事项报验管理的固定有效期。税务机关不再按照180天设置报验管理的固定有效期，改按跨区域经营合同执行期限作为有效期限。合同延期的，纳税人可向经营地或机构所在地的国税机关办理报验管理有效期限延期手续。</w:t>
      </w:r>
    </w:p>
    <w:p>
      <w:pPr>
        <w:ind w:firstLine="472"/>
        <w:rPr>
          <w:rFonts w:hint="eastAsia"/>
          <w:color w:val="auto"/>
        </w:rPr>
      </w:pPr>
      <w:r>
        <w:rPr>
          <w:rFonts w:hint="eastAsia"/>
          <w:color w:val="auto"/>
        </w:rPr>
        <w:t>2.纳税人对报送资料的真实性和合法性承担责任。</w:t>
      </w:r>
    </w:p>
    <w:p>
      <w:pPr>
        <w:ind w:firstLine="472"/>
        <w:rPr>
          <w:rFonts w:hint="eastAsia"/>
          <w:color w:val="auto"/>
        </w:rPr>
      </w:pPr>
      <w:r>
        <w:rPr>
          <w:rFonts w:hint="eastAsia"/>
          <w:color w:val="auto"/>
        </w:rPr>
        <w:t>3.最多跑一次是在资料完整且符合法定受理条件的前提下，最多只需要到税务机关跑一次。</w:t>
      </w:r>
    </w:p>
    <w:p>
      <w:pPr>
        <w:ind w:firstLine="472"/>
        <w:rPr>
          <w:rFonts w:hint="eastAsia"/>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1782B93"/>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2019-10-31T03:32:57Z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