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2" w:name="_GoBack"/>
      <w:bookmarkEnd w:id="2"/>
      <w:bookmarkStart w:id="0" w:name="_Toc1522"/>
      <w:r>
        <w:rPr>
          <w:rFonts w:hint="eastAsia" w:ascii="黑体" w:hAnsi="黑体"/>
          <w:color w:val="auto"/>
          <w:lang w:val="en-US" w:eastAsia="zh-CN"/>
        </w:rPr>
        <w:t>2.5.1.5</w:t>
      </w:r>
      <w:r>
        <w:rPr>
          <w:rFonts w:hint="eastAsia" w:ascii="黑体" w:hAnsi="黑体"/>
          <w:color w:val="auto"/>
        </w:rPr>
        <w:t>车辆购置税退税办理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车辆购置税退税办理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否</w:t>
      </w:r>
    </w:p>
    <w:p>
      <w:pPr>
        <w:pStyle w:val="47"/>
        <w:numPr>
          <w:ilvl w:val="0"/>
          <w:numId w:val="3"/>
        </w:numPr>
        <w:ind w:firstLineChars="0"/>
        <w:rPr>
          <w:color w:val="auto"/>
        </w:rPr>
      </w:pPr>
      <w:r>
        <w:rPr>
          <w:rFonts w:hint="eastAsia"/>
          <w:color w:val="auto"/>
        </w:rPr>
        <w:t>适用层级：市、县(市、区)级</w:t>
      </w:r>
    </w:p>
    <w:p>
      <w:pPr>
        <w:pStyle w:val="47"/>
        <w:numPr>
          <w:ilvl w:val="0"/>
          <w:numId w:val="3"/>
        </w:numPr>
        <w:ind w:firstLineChars="0"/>
        <w:rPr>
          <w:color w:val="auto"/>
        </w:rPr>
      </w:pPr>
      <w:r>
        <w:rPr>
          <w:rFonts w:hint="eastAsia"/>
          <w:color w:val="auto"/>
        </w:rPr>
        <w:t>最多跑一次：</w:t>
      </w:r>
      <w:r>
        <w:rPr>
          <w:rFonts w:hint="eastAsia"/>
          <w:color w:val="auto"/>
          <w:lang w:eastAsia="zh-CN"/>
        </w:rPr>
        <w:t>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color w:val="auto"/>
        </w:rPr>
      </w:pPr>
      <w:r>
        <w:rPr>
          <w:rFonts w:hint="eastAsia"/>
          <w:color w:val="auto"/>
        </w:rPr>
        <w:t>纳税人将已征车辆购置税的车辆退回车辆生产企业或者销售企业的，可以向主管税务机关申请退还车辆购置税。退税额以已缴税款为基准，自缴纳税款之日至申请退税之日，每满一年扣减百分之十。</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1.《中华人民共和国税收征收管理法》第五十一条</w:t>
      </w:r>
    </w:p>
    <w:p>
      <w:pPr>
        <w:keepNext w:val="0"/>
        <w:keepLines w:val="0"/>
        <w:pageBreakBefore w:val="0"/>
        <w:widowControl w:val="0"/>
        <w:kinsoku/>
        <w:wordWrap/>
        <w:overflowPunct/>
        <w:topLinePunct w:val="0"/>
        <w:autoSpaceDE/>
        <w:autoSpaceDN/>
        <w:bidi w:val="0"/>
        <w:adjustRightInd/>
        <w:snapToGrid/>
        <w:ind w:firstLine="472"/>
        <w:textAlignment w:val="auto"/>
        <w:rPr>
          <w:rFonts w:hint="eastAsia"/>
          <w:color w:val="auto"/>
          <w:lang w:eastAsia="zh-CN"/>
        </w:rPr>
      </w:pPr>
      <w:r>
        <w:rPr>
          <w:rFonts w:hint="eastAsia"/>
          <w:color w:val="auto"/>
          <w:lang w:eastAsia="zh-CN"/>
        </w:rPr>
        <w:t>“纳税人超过应纳税额缴纳的税款，税务机关发现后应当立即退还；纳税人自结算缴纳税款之日起三年内发现的，可以向税务机关要求退还多缴的税款并加算银行同期存款利息，税务机关及时查实后应当立即退还；涉及从国库中退库的，依照法律、行政法规有关国库管理的规定退还。”</w:t>
      </w:r>
    </w:p>
    <w:p>
      <w:pPr>
        <w:keepNext w:val="0"/>
        <w:keepLines w:val="0"/>
        <w:pageBreakBefore w:val="0"/>
        <w:widowControl w:val="0"/>
        <w:kinsoku/>
        <w:wordWrap/>
        <w:overflowPunct/>
        <w:topLinePunct w:val="0"/>
        <w:autoSpaceDE/>
        <w:autoSpaceDN/>
        <w:bidi w:val="0"/>
        <w:adjustRightInd/>
        <w:snapToGrid/>
        <w:ind w:firstLine="472"/>
        <w:textAlignment w:val="auto"/>
        <w:rPr>
          <w:rFonts w:hint="eastAsia"/>
          <w:color w:val="auto"/>
        </w:rPr>
      </w:pPr>
      <w:r>
        <w:rPr>
          <w:rFonts w:hint="eastAsia"/>
          <w:color w:val="auto"/>
          <w:lang w:val="en-US" w:eastAsia="zh-CN"/>
        </w:rPr>
        <w:t>2.</w:t>
      </w:r>
      <w:r>
        <w:rPr>
          <w:rFonts w:hint="eastAsia"/>
          <w:color w:val="auto"/>
        </w:rPr>
        <w:t>《中华人民共和国车辆购置税法》第十五条</w:t>
      </w:r>
    </w:p>
    <w:p>
      <w:pPr>
        <w:numPr>
          <w:ilvl w:val="0"/>
          <w:numId w:val="0"/>
        </w:numPr>
        <w:rPr>
          <w:rFonts w:hint="default" w:eastAsia="宋体"/>
          <w:color w:val="auto"/>
          <w:lang w:val="en-US" w:eastAsia="zh-CN"/>
        </w:rPr>
      </w:pPr>
      <w:r>
        <w:rPr>
          <w:rFonts w:hint="eastAsia"/>
          <w:color w:val="auto"/>
          <w:lang w:val="en-US" w:eastAsia="zh-CN"/>
        </w:rPr>
        <w:t>“纳税人将已征车辆购置税的车辆退回车辆生产企业或者销售企业的，可以向主管税务机关申请退还车辆购置税。退税额以已缴税款为基准，自缴纳税款之日至申请退税之日，每满一年扣减百分之十。”</w:t>
      </w:r>
    </w:p>
    <w:p>
      <w:pPr>
        <w:numPr>
          <w:ilvl w:val="0"/>
          <w:numId w:val="4"/>
        </w:numPr>
        <w:ind w:firstLine="472"/>
        <w:rPr>
          <w:rFonts w:hint="eastAsia"/>
          <w:color w:val="auto"/>
        </w:rPr>
      </w:pPr>
      <w:r>
        <w:rPr>
          <w:rFonts w:hint="eastAsia"/>
          <w:color w:val="auto"/>
        </w:rPr>
        <w:t>《中华人民共和国税收征收管理法实施细则》第七十八条、第七十九条</w:t>
      </w:r>
    </w:p>
    <w:p>
      <w:pPr>
        <w:numPr>
          <w:ilvl w:val="0"/>
          <w:numId w:val="0"/>
        </w:numPr>
        <w:rPr>
          <w:rFonts w:hint="eastAsia"/>
          <w:color w:val="auto"/>
          <w:lang w:val="en-US" w:eastAsia="zh-CN"/>
        </w:rPr>
      </w:pPr>
      <w:r>
        <w:rPr>
          <w:rFonts w:hint="eastAsia"/>
          <w:color w:val="auto"/>
          <w:lang w:val="en-US" w:eastAsia="zh-CN"/>
        </w:rPr>
        <w:t>“</w:t>
      </w:r>
      <w:r>
        <w:rPr>
          <w:rFonts w:hint="eastAsia"/>
          <w:color w:val="auto"/>
        </w:rPr>
        <w:t>第七十八条</w:t>
      </w:r>
      <w:r>
        <w:rPr>
          <w:rFonts w:hint="eastAsia"/>
          <w:color w:val="auto"/>
          <w:lang w:val="en-US" w:eastAsia="zh-CN"/>
        </w:rPr>
        <w:t>税务机关发现纳税人多缴税款的，应当自发现之日起10日内办理退还手续;纳税人发现多缴税款，要求退还的，税务机关应当自接到纳税人退还申请之日起30日内查实并办理退还手续。</w:t>
      </w:r>
    </w:p>
    <w:p>
      <w:pPr>
        <w:numPr>
          <w:ilvl w:val="0"/>
          <w:numId w:val="0"/>
        </w:numPr>
        <w:rPr>
          <w:rFonts w:hint="eastAsia"/>
          <w:color w:val="auto"/>
          <w:lang w:val="en-US" w:eastAsia="zh-CN"/>
        </w:rPr>
      </w:pPr>
      <w:r>
        <w:rPr>
          <w:rFonts w:hint="eastAsia"/>
          <w:color w:val="auto"/>
          <w:lang w:val="en-US" w:eastAsia="zh-CN"/>
        </w:rPr>
        <w:t>　　税收征管法第五十一条规定的加算银行同期存款利息的多缴税款退税，不包括依法预缴税款形成的结算退税、出口退税和各种减免退税。</w:t>
      </w:r>
    </w:p>
    <w:p>
      <w:pPr>
        <w:numPr>
          <w:ilvl w:val="0"/>
          <w:numId w:val="0"/>
        </w:numPr>
        <w:rPr>
          <w:rFonts w:hint="eastAsia"/>
          <w:color w:val="auto"/>
          <w:lang w:val="en-US" w:eastAsia="zh-CN"/>
        </w:rPr>
      </w:pPr>
      <w:r>
        <w:rPr>
          <w:rFonts w:hint="eastAsia"/>
          <w:color w:val="auto"/>
          <w:lang w:val="en-US" w:eastAsia="zh-CN"/>
        </w:rPr>
        <w:t>　　退税利息按照税务机关办理退税手续当天中国人民银行规定的活期存款利率计算。</w:t>
      </w:r>
    </w:p>
    <w:p>
      <w:pPr>
        <w:numPr>
          <w:ilvl w:val="0"/>
          <w:numId w:val="0"/>
        </w:numPr>
        <w:rPr>
          <w:rFonts w:hint="default" w:eastAsia="宋体"/>
          <w:color w:val="auto"/>
          <w:lang w:val="en-US" w:eastAsia="zh-CN"/>
        </w:rPr>
      </w:pPr>
      <w:r>
        <w:rPr>
          <w:rFonts w:hint="eastAsia"/>
          <w:color w:val="auto"/>
          <w:lang w:val="en-US" w:eastAsia="zh-CN"/>
        </w:rPr>
        <w:t>　　第七十九条　当纳税人既有应退税款又有欠缴税款的，税务机关可以将应退税款和利息先抵扣欠缴税款;抵扣后有余额的，退还纳税人。”</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《车辆购置税退税申</w:t>
            </w:r>
            <w:r>
              <w:rPr>
                <w:rFonts w:hint="eastAsia" w:cs="宋体"/>
                <w:color w:val="auto"/>
                <w:kern w:val="0"/>
                <w:sz w:val="18"/>
                <w:szCs w:val="18"/>
                <w:lang w:eastAsia="zh-CN"/>
              </w:rPr>
              <w:t>请</w:t>
            </w:r>
            <w:r>
              <w:rPr>
                <w:rFonts w:hint="eastAsia" w:cs="宋体"/>
                <w:color w:val="auto"/>
                <w:kern w:val="0"/>
                <w:sz w:val="18"/>
                <w:szCs w:val="18"/>
              </w:rPr>
              <w:t>表》</w:t>
            </w:r>
          </w:p>
        </w:tc>
        <w:tc>
          <w:tcPr>
            <w:tcW w:w="709"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left="0" w:leftChars="0" w:firstLine="0" w:firstLineChars="0"/>
              <w:rPr>
                <w:rFonts w:hint="eastAsia"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hint="eastAsia" w:cs="宋体"/>
                <w:color w:val="auto"/>
                <w:kern w:val="0"/>
                <w:sz w:val="18"/>
                <w:szCs w:val="18"/>
                <w:lang w:val="en-US" w:eastAsia="zh-CN"/>
              </w:rPr>
              <w:t>1</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2551"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纳税人身份证明及其复印件</w:t>
            </w:r>
          </w:p>
        </w:tc>
        <w:tc>
          <w:tcPr>
            <w:tcW w:w="709"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left="0" w:leftChars="0" w:firstLine="0" w:firstLineChars="0"/>
              <w:rPr>
                <w:rFonts w:hint="eastAsia" w:cs="宋体"/>
                <w:color w:val="auto"/>
                <w:kern w:val="0"/>
                <w:sz w:val="18"/>
                <w:szCs w:val="18"/>
              </w:rPr>
            </w:pPr>
          </w:p>
        </w:tc>
        <w:tc>
          <w:tcPr>
            <w:tcW w:w="1134" w:type="dxa"/>
            <w:vAlign w:val="center"/>
          </w:tcPr>
          <w:p>
            <w:pPr>
              <w:pStyle w:val="13"/>
              <w:widowControl/>
              <w:spacing w:line="280" w:lineRule="exact"/>
              <w:jc w:val="both"/>
              <w:rPr>
                <w:rFonts w:hint="eastAsia" w:cs="宋体"/>
                <w:color w:val="auto"/>
                <w:kern w:val="0"/>
                <w:sz w:val="18"/>
                <w:szCs w:val="18"/>
              </w:rPr>
            </w:pPr>
            <w:r>
              <w:rPr>
                <w:rFonts w:hint="eastAsia" w:ascii="宋体" w:hAnsi="宋体" w:eastAsia="宋体" w:cs="宋体"/>
                <w:color w:val="auto"/>
                <w:kern w:val="0"/>
                <w:sz w:val="18"/>
                <w:szCs w:val="18"/>
                <w:lang w:val="en-US" w:eastAsia="zh-CN" w:bidi="ar-SA"/>
              </w:rPr>
              <w:t>原件查验后返还复印件税务机关留存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3</w:t>
            </w:r>
          </w:p>
        </w:tc>
        <w:tc>
          <w:tcPr>
            <w:tcW w:w="2551"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生产企业或者销售企业开具的退车证明和退车发票</w:t>
            </w:r>
          </w:p>
        </w:tc>
        <w:tc>
          <w:tcPr>
            <w:tcW w:w="709"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车辆退回生产企业或者销售企业的</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由于特殊情况不能退至纳税人、扣缴义务人原缴款账户的书面说明，和指定接受退税的账户及接受退税单位（人）名称的资料</w:t>
            </w:r>
          </w:p>
        </w:tc>
        <w:tc>
          <w:tcPr>
            <w:tcW w:w="709"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left="0" w:leftChars="0" w:firstLine="0" w:firstLineChars="0"/>
              <w:rPr>
                <w:rFonts w:hint="eastAsia" w:cs="宋体"/>
                <w:color w:val="auto"/>
                <w:kern w:val="0"/>
                <w:sz w:val="18"/>
                <w:szCs w:val="18"/>
              </w:rPr>
            </w:pPr>
            <w:r>
              <w:rPr>
                <w:rFonts w:hint="eastAsia" w:cs="宋体"/>
                <w:color w:val="auto"/>
                <w:kern w:val="0"/>
                <w:sz w:val="18"/>
                <w:szCs w:val="18"/>
              </w:rPr>
              <w:t>因特殊情况不能退至纳税人、扣缴义务人原缴款账户</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2" w:hanging="472" w:hangingChars="200"/>
        <w:textAlignment w:val="auto"/>
        <w:rPr>
          <w:color w:val="auto"/>
        </w:rPr>
      </w:pPr>
      <w:r>
        <w:rPr>
          <w:color w:val="auto"/>
        </w:rPr>
        <w:object>
          <v:shape id="_x0000_i1167" o:spt="75" type="#_x0000_t75" style="height:129.15pt;width:468.95pt;" o:ole="t" filled="f" o:preferrelative="t" stroked="f" coordsize="21600,21600">
            <v:path/>
            <v:fill on="f" focussize="0,0"/>
            <v:stroke on="f"/>
            <v:imagedata r:id="rId11" o:title=""/>
            <o:lock v:ext="edit" aspectratio="t"/>
            <w10:wrap type="none"/>
            <w10:anchorlock/>
          </v:shape>
          <o:OLEObject Type="Embed" ProgID="Visio.Drawing.11" ShapeID="_x0000_i1167" DrawAspect="Content" ObjectID="_1468075725" r:id="rId10">
            <o:LockedField>false</o:LockedField>
          </o:OLEObject>
        </w:object>
      </w:r>
    </w:p>
    <w:p>
      <w:pPr>
        <w:pStyle w:val="3"/>
        <w:ind w:firstLine="552"/>
        <w:rPr>
          <w:rFonts w:hint="eastAsia"/>
          <w:color w:val="auto"/>
        </w:rPr>
      </w:pPr>
      <w:r>
        <w:rPr>
          <w:rFonts w:hint="eastAsia"/>
          <w:color w:val="auto"/>
          <w:lang w:val="en-US" w:eastAsia="zh-CN"/>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7</w:t>
      </w:r>
      <w:r>
        <w:rPr>
          <w:rFonts w:hint="eastAsia"/>
          <w:color w:val="auto"/>
        </w:rPr>
        <w:t>个工作日办结。</w:t>
      </w:r>
    </w:p>
    <w:p>
      <w:pPr>
        <w:pStyle w:val="3"/>
        <w:numPr>
          <w:ilvl w:val="0"/>
          <w:numId w:val="5"/>
        </w:numPr>
        <w:ind w:firstLine="552"/>
        <w:rPr>
          <w:rFonts w:hint="eastAsia"/>
          <w:color w:val="auto"/>
        </w:rPr>
      </w:pPr>
      <w:r>
        <w:rPr>
          <w:rFonts w:hint="eastAsia"/>
          <w:color w:val="auto"/>
        </w:rPr>
        <w:t>表证单书</w:t>
      </w:r>
    </w:p>
    <w:p>
      <w:pPr>
        <w:numPr>
          <w:ilvl w:val="0"/>
          <w:numId w:val="0"/>
        </w:numPr>
        <w:ind w:firstLine="472" w:firstLineChars="200"/>
        <w:contextualSpacing/>
        <w:rPr>
          <w:rFonts w:hint="eastAsia" w:ascii="宋体" w:hAnsi="宋体" w:eastAsia="宋体" w:cs="Times New Roman"/>
          <w:color w:val="auto"/>
          <w:sz w:val="24"/>
          <w:szCs w:val="22"/>
        </w:rPr>
      </w:pPr>
      <w:bookmarkStart w:id="1" w:name="_Toc13822455"/>
      <w:r>
        <w:rPr>
          <w:rFonts w:hint="eastAsia" w:ascii="宋体" w:hAnsi="宋体" w:eastAsia="宋体" w:cs="Times New Roman"/>
          <w:color w:val="auto"/>
          <w:sz w:val="24"/>
          <w:szCs w:val="22"/>
          <w:lang w:val="en-US" w:eastAsia="zh-CN"/>
        </w:rPr>
        <w:t>1.</w:t>
      </w:r>
      <w:r>
        <w:rPr>
          <w:rFonts w:hint="eastAsia" w:ascii="宋体" w:hAnsi="宋体" w:eastAsia="宋体" w:cs="Times New Roman"/>
          <w:color w:val="auto"/>
          <w:sz w:val="24"/>
          <w:szCs w:val="22"/>
        </w:rPr>
        <w:t>A07035《车辆购置税退税申请表》</w:t>
      </w:r>
      <w:bookmarkEnd w:id="1"/>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1.已征车辆购置税的车辆退回车辆生产或销售企业，纳税人申请退还车辆购置税的，应退税额计算公式如下：</w:t>
      </w:r>
    </w:p>
    <w:p>
      <w:pPr>
        <w:ind w:firstLine="472"/>
        <w:rPr>
          <w:rFonts w:hint="eastAsia"/>
          <w:color w:val="auto"/>
        </w:rPr>
      </w:pPr>
      <w:r>
        <w:rPr>
          <w:rFonts w:hint="eastAsia"/>
          <w:color w:val="auto"/>
        </w:rPr>
        <w:t>应退税额=已纳税额×（1—使用年限×10%）</w:t>
      </w:r>
    </w:p>
    <w:p>
      <w:pPr>
        <w:ind w:firstLine="472"/>
        <w:rPr>
          <w:rFonts w:hint="eastAsia"/>
          <w:color w:val="auto"/>
        </w:rPr>
      </w:pPr>
      <w:r>
        <w:rPr>
          <w:rFonts w:hint="eastAsia"/>
          <w:color w:val="auto"/>
        </w:rPr>
        <w:t>应退税额不得为负数。</w:t>
      </w:r>
    </w:p>
    <w:p>
      <w:pPr>
        <w:ind w:firstLine="472"/>
        <w:rPr>
          <w:rFonts w:hint="eastAsia"/>
          <w:color w:val="auto"/>
        </w:rPr>
      </w:pPr>
      <w:r>
        <w:rPr>
          <w:rFonts w:hint="eastAsia"/>
          <w:color w:val="auto"/>
        </w:rPr>
        <w:t>使用年限的计算方法是，自纳税人缴纳税款之日起，至申请退税之日止。未满1年的，按已缴纳税款全额退税。</w:t>
      </w:r>
    </w:p>
    <w:p>
      <w:pPr>
        <w:ind w:firstLine="472"/>
        <w:rPr>
          <w:rFonts w:hint="eastAsia"/>
          <w:color w:val="auto"/>
        </w:rPr>
      </w:pPr>
      <w:r>
        <w:rPr>
          <w:rFonts w:hint="eastAsia"/>
          <w:color w:val="auto"/>
        </w:rPr>
        <w:t>其他退税情形，纳税人申请退税时，主管税务机关依据有关规定计算退税额。</w:t>
      </w:r>
    </w:p>
    <w:p>
      <w:pPr>
        <w:ind w:firstLine="472"/>
        <w:rPr>
          <w:color w:val="auto"/>
        </w:rPr>
      </w:pPr>
      <w:r>
        <w:rPr>
          <w:rFonts w:hint="eastAsia"/>
          <w:color w:val="auto"/>
          <w:lang w:val="en-US" w:eastAsia="zh-CN"/>
        </w:rPr>
        <w:t>2</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3</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rPr>
          <w:rFonts w:hint="eastAsia"/>
          <w:color w:val="auto"/>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55C2C3"/>
    <w:multiLevelType w:val="singleLevel"/>
    <w:tmpl w:val="A055C2C3"/>
    <w:lvl w:ilvl="0" w:tentative="0">
      <w:start w:val="8"/>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5F4B3212"/>
    <w:multiLevelType w:val="singleLevel"/>
    <w:tmpl w:val="5F4B3212"/>
    <w:lvl w:ilvl="0" w:tentative="0">
      <w:start w:val="3"/>
      <w:numFmt w:val="decimal"/>
      <w:lvlText w:val="%1."/>
      <w:lvlJc w:val="left"/>
      <w:pPr>
        <w:tabs>
          <w:tab w:val="left" w:pos="312"/>
        </w:tabs>
      </w:p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89A082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2019-10-31T05:09:47Z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