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default" w:ascii="黑体" w:hAnsi="黑体"/>
          <w:color w:val="auto"/>
        </w:rPr>
      </w:pPr>
      <w:bookmarkStart w:id="1" w:name="_GoBack"/>
      <w:bookmarkEnd w:id="1"/>
      <w:bookmarkStart w:id="0" w:name="_Toc29737"/>
      <w:r>
        <w:rPr>
          <w:rFonts w:hint="default" w:ascii="黑体" w:hAnsi="黑体"/>
          <w:color w:val="auto"/>
        </w:rPr>
        <w:t>11.1.2网络咨询</w:t>
      </w:r>
      <w:bookmarkEnd w:id="0"/>
    </w:p>
    <w:p>
      <w:pPr>
        <w:pStyle w:val="3"/>
        <w:widowControl/>
        <w:wordWrap w:val="0"/>
        <w:spacing w:line="360" w:lineRule="auto"/>
        <w:ind w:firstLine="552" w:firstLineChars="200"/>
        <w:rPr>
          <w:rFonts w:eastAsia="黑体" w:asciiTheme="majorHAnsi" w:hAnsiTheme="majorHAnsi"/>
          <w:bCs/>
          <w:color w:val="auto"/>
          <w:sz w:val="28"/>
          <w:szCs w:val="32"/>
        </w:rPr>
      </w:pPr>
      <w:r>
        <w:rPr>
          <w:rFonts w:hint="default" w:eastAsia="黑体" w:asciiTheme="majorHAnsi" w:hAnsiTheme="majorHAnsi"/>
          <w:bCs/>
          <w:color w:val="auto"/>
          <w:sz w:val="28"/>
          <w:szCs w:val="32"/>
        </w:rPr>
        <w:t>【事项名称】</w:t>
      </w:r>
    </w:p>
    <w:p>
      <w:pPr>
        <w:ind w:firstLine="472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网络咨询</w:t>
      </w:r>
    </w:p>
    <w:p>
      <w:pPr>
        <w:pStyle w:val="3"/>
        <w:widowControl/>
        <w:wordWrap w:val="0"/>
        <w:spacing w:line="360" w:lineRule="auto"/>
        <w:ind w:firstLine="552" w:firstLineChars="200"/>
        <w:rPr>
          <w:rFonts w:eastAsia="黑体" w:asciiTheme="majorHAnsi" w:hAnsiTheme="majorHAnsi"/>
          <w:bCs/>
          <w:color w:val="auto"/>
          <w:sz w:val="28"/>
          <w:szCs w:val="32"/>
        </w:rPr>
      </w:pPr>
      <w:r>
        <w:rPr>
          <w:rFonts w:hint="default" w:eastAsia="黑体" w:asciiTheme="majorHAnsi" w:hAnsiTheme="majorHAnsi"/>
          <w:bCs/>
          <w:color w:val="auto"/>
          <w:sz w:val="28"/>
          <w:szCs w:val="32"/>
        </w:rPr>
        <w:t>【</w:t>
      </w:r>
      <w:r>
        <w:rPr>
          <w:rFonts w:hint="default" w:eastAsia="黑体" w:asciiTheme="majorHAnsi" w:hAnsiTheme="majorHAnsi"/>
          <w:bCs/>
          <w:color w:val="auto"/>
          <w:sz w:val="28"/>
          <w:szCs w:val="32"/>
          <w:lang w:eastAsia="zh-CN"/>
        </w:rPr>
        <w:t>申请条件</w:t>
      </w:r>
      <w:r>
        <w:rPr>
          <w:rFonts w:hint="default" w:eastAsia="黑体" w:asciiTheme="majorHAnsi" w:hAnsiTheme="majorHAnsi"/>
          <w:bCs/>
          <w:color w:val="auto"/>
          <w:sz w:val="28"/>
          <w:szCs w:val="32"/>
        </w:rPr>
        <w:t>】</w:t>
      </w:r>
    </w:p>
    <w:p>
      <w:pPr>
        <w:ind w:firstLine="472"/>
        <w:rPr>
          <w:rFonts w:hint="default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纳税（缴费）人通过互联网提出涉税（费）咨询需求，税务机关为其提供免费咨询服务。</w:t>
      </w:r>
    </w:p>
    <w:p>
      <w:pPr>
        <w:pStyle w:val="3"/>
        <w:widowControl/>
        <w:wordWrap w:val="0"/>
        <w:spacing w:line="360" w:lineRule="auto"/>
        <w:ind w:firstLine="552"/>
        <w:rPr>
          <w:rFonts w:hint="default" w:eastAsia="黑体" w:asciiTheme="majorHAnsi" w:hAnsiTheme="majorHAnsi" w:cstheme="majorBidi"/>
          <w:bCs/>
          <w:color w:val="auto"/>
          <w:sz w:val="28"/>
          <w:szCs w:val="32"/>
        </w:rPr>
      </w:pPr>
      <w:r>
        <w:rPr>
          <w:rFonts w:eastAsia="黑体" w:asciiTheme="majorHAnsi" w:hAnsiTheme="majorHAnsi" w:cstheme="majorBidi"/>
          <w:bCs/>
          <w:color w:val="auto"/>
          <w:sz w:val="28"/>
          <w:szCs w:val="32"/>
        </w:rPr>
        <w:t>【设定依据】</w:t>
      </w:r>
    </w:p>
    <w:p>
      <w:pPr>
        <w:ind w:firstLine="472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《中华人民共和国税收征收管理法》第七条</w:t>
      </w:r>
    </w:p>
    <w:p>
      <w:pPr>
        <w:ind w:firstLine="472"/>
        <w:rPr>
          <w:rFonts w:hint="default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“税务机关应当广泛宣传税收法律、行政法规，普及纳税知识，无偿地为纳税人提供纳税咨询服务。”</w:t>
      </w:r>
    </w:p>
    <w:p>
      <w:pPr>
        <w:pStyle w:val="3"/>
        <w:widowControl/>
        <w:wordWrap w:val="0"/>
        <w:spacing w:line="360" w:lineRule="auto"/>
        <w:ind w:firstLine="552"/>
        <w:rPr>
          <w:rFonts w:hint="default" w:eastAsia="黑体" w:asciiTheme="majorHAnsi" w:hAnsiTheme="majorHAnsi" w:cstheme="majorBidi"/>
          <w:bCs/>
          <w:color w:val="auto"/>
          <w:sz w:val="28"/>
          <w:szCs w:val="32"/>
        </w:rPr>
      </w:pPr>
      <w:r>
        <w:rPr>
          <w:rFonts w:eastAsia="黑体" w:asciiTheme="majorHAnsi" w:hAnsiTheme="majorHAnsi" w:cstheme="majorBidi"/>
          <w:bCs/>
          <w:color w:val="auto"/>
          <w:sz w:val="28"/>
          <w:szCs w:val="32"/>
        </w:rPr>
        <w:t>【办理材料】</w:t>
      </w:r>
    </w:p>
    <w:p>
      <w:pPr>
        <w:ind w:firstLine="472"/>
        <w:rPr>
          <w:rFonts w:hint="default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网络咨询无需提供材料。</w:t>
      </w:r>
    </w:p>
    <w:p>
      <w:pPr>
        <w:pStyle w:val="3"/>
        <w:widowControl/>
        <w:wordWrap w:val="0"/>
        <w:spacing w:line="360" w:lineRule="auto"/>
        <w:ind w:firstLine="552"/>
        <w:rPr>
          <w:rFonts w:hint="default" w:eastAsia="黑体" w:asciiTheme="majorHAnsi" w:hAnsiTheme="majorHAnsi" w:cstheme="majorBidi"/>
          <w:bCs/>
          <w:color w:val="auto"/>
          <w:sz w:val="28"/>
          <w:szCs w:val="32"/>
        </w:rPr>
      </w:pPr>
      <w:r>
        <w:rPr>
          <w:rFonts w:eastAsia="黑体" w:asciiTheme="majorHAnsi" w:hAnsiTheme="majorHAnsi" w:cstheme="majorBidi"/>
          <w:bCs/>
          <w:color w:val="auto"/>
          <w:sz w:val="28"/>
          <w:szCs w:val="32"/>
        </w:rPr>
        <w:t>【办理地点】</w:t>
      </w:r>
    </w:p>
    <w:p>
      <w:pPr>
        <w:ind w:firstLine="472"/>
        <w:rPr>
          <w:rFonts w:hint="default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1.可通过国家税务总局12366纳税服务平台（</w:t>
      </w:r>
      <w:r>
        <w:rPr>
          <w:rFonts w:hint="eastAsia"/>
          <w:color w:val="auto"/>
          <w:lang w:eastAsia="zh-CN"/>
        </w:rPr>
        <w:fldChar w:fldCharType="begin"/>
      </w:r>
      <w:r>
        <w:rPr>
          <w:rFonts w:hint="eastAsia"/>
          <w:color w:val="auto"/>
          <w:lang w:eastAsia="zh-CN"/>
        </w:rPr>
        <w:instrText xml:space="preserve"> HYPERLINK "https://12366.chinatax.gov.cn" </w:instrText>
      </w:r>
      <w:r>
        <w:rPr>
          <w:rFonts w:hint="eastAsia"/>
          <w:color w:val="auto"/>
          <w:lang w:eastAsia="zh-CN"/>
        </w:rPr>
        <w:fldChar w:fldCharType="separate"/>
      </w:r>
      <w:r>
        <w:rPr>
          <w:rFonts w:hint="eastAsia"/>
          <w:color w:val="auto"/>
          <w:lang w:eastAsia="zh-CN"/>
        </w:rPr>
        <w:t>https://12366.chinatax.gov.cn</w:t>
      </w:r>
      <w:r>
        <w:rPr>
          <w:rFonts w:hint="eastAsia"/>
          <w:color w:val="auto"/>
          <w:lang w:eastAsia="zh-CN"/>
        </w:rPr>
        <w:fldChar w:fldCharType="end"/>
      </w:r>
      <w:r>
        <w:rPr>
          <w:rFonts w:hint="eastAsia"/>
          <w:color w:val="auto"/>
          <w:lang w:eastAsia="zh-CN"/>
        </w:rPr>
        <w:t>）网页端或WAP端、“12366纳税服务”APP、微信和支付宝“12366智能咨询”小程序获取服务。</w:t>
      </w:r>
    </w:p>
    <w:p>
      <w:pPr>
        <w:ind w:firstLine="472"/>
        <w:rPr>
          <w:rFonts w:hint="default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2.可通过省</w:t>
      </w:r>
      <w:r>
        <w:rPr>
          <w:rFonts w:hint="default"/>
          <w:color w:val="auto"/>
          <w:lang w:eastAsia="zh-CN"/>
        </w:rPr>
        <w:t>（自治区、直辖市和计划单列市）</w:t>
      </w:r>
      <w:r>
        <w:rPr>
          <w:rFonts w:hint="eastAsia"/>
          <w:color w:val="auto"/>
          <w:lang w:eastAsia="zh-CN"/>
        </w:rPr>
        <w:t>税务机关对外服务渠道获取网络咨询，如门户网站、电子税务局、微信、微博等。</w:t>
      </w:r>
    </w:p>
    <w:p>
      <w:pPr>
        <w:pStyle w:val="3"/>
        <w:widowControl/>
        <w:wordWrap w:val="0"/>
        <w:spacing w:line="360" w:lineRule="auto"/>
        <w:ind w:firstLine="552"/>
        <w:rPr>
          <w:rFonts w:hint="default" w:eastAsia="黑体" w:asciiTheme="majorHAnsi" w:hAnsiTheme="majorHAnsi" w:cstheme="majorBidi"/>
          <w:bCs/>
          <w:color w:val="auto"/>
          <w:sz w:val="28"/>
          <w:szCs w:val="32"/>
        </w:rPr>
      </w:pPr>
      <w:r>
        <w:rPr>
          <w:rFonts w:eastAsia="黑体" w:asciiTheme="majorHAnsi" w:hAnsiTheme="majorHAnsi" w:cstheme="majorBidi"/>
          <w:bCs/>
          <w:color w:val="auto"/>
          <w:sz w:val="28"/>
          <w:szCs w:val="32"/>
        </w:rPr>
        <w:t>【办理机构】</w:t>
      </w:r>
    </w:p>
    <w:p>
      <w:pPr>
        <w:ind w:firstLine="472"/>
        <w:rPr>
          <w:rFonts w:hint="default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国家税务总局及省级纳税服务主管部门</w:t>
      </w:r>
    </w:p>
    <w:p>
      <w:pPr>
        <w:pStyle w:val="3"/>
        <w:widowControl/>
        <w:wordWrap w:val="0"/>
        <w:spacing w:line="360" w:lineRule="auto"/>
        <w:ind w:firstLine="552"/>
        <w:rPr>
          <w:rFonts w:hint="default" w:eastAsia="黑体" w:asciiTheme="majorHAnsi" w:hAnsiTheme="majorHAnsi" w:cstheme="majorBidi"/>
          <w:bCs/>
          <w:color w:val="auto"/>
          <w:sz w:val="28"/>
          <w:szCs w:val="32"/>
        </w:rPr>
      </w:pPr>
      <w:r>
        <w:rPr>
          <w:rFonts w:eastAsia="黑体" w:asciiTheme="majorHAnsi" w:hAnsiTheme="majorHAnsi" w:cstheme="majorBidi"/>
          <w:bCs/>
          <w:color w:val="auto"/>
          <w:sz w:val="28"/>
          <w:szCs w:val="32"/>
        </w:rPr>
        <w:t>【收费标准】</w:t>
      </w:r>
    </w:p>
    <w:p>
      <w:pPr>
        <w:ind w:firstLine="472"/>
        <w:rPr>
          <w:rFonts w:hint="default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不收费</w:t>
      </w:r>
    </w:p>
    <w:p>
      <w:pPr>
        <w:pStyle w:val="3"/>
        <w:widowControl/>
        <w:wordWrap w:val="0"/>
        <w:spacing w:line="360" w:lineRule="auto"/>
        <w:ind w:firstLine="552"/>
        <w:rPr>
          <w:rFonts w:hint="default" w:eastAsia="黑体" w:asciiTheme="majorHAnsi" w:hAnsiTheme="majorHAnsi" w:cstheme="majorBidi"/>
          <w:bCs/>
          <w:color w:val="auto"/>
          <w:sz w:val="28"/>
          <w:szCs w:val="32"/>
        </w:rPr>
      </w:pPr>
      <w:r>
        <w:rPr>
          <w:rFonts w:eastAsia="黑体" w:asciiTheme="majorHAnsi" w:hAnsiTheme="majorHAnsi" w:cstheme="majorBidi"/>
          <w:bCs/>
          <w:color w:val="auto"/>
          <w:sz w:val="28"/>
          <w:szCs w:val="32"/>
        </w:rPr>
        <w:t>【办理时间】</w:t>
      </w:r>
    </w:p>
    <w:p>
      <w:pPr>
        <w:ind w:firstLine="472"/>
        <w:rPr>
          <w:rFonts w:hint="default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1.智能咨询：即时办结。</w:t>
      </w:r>
    </w:p>
    <w:p>
      <w:pPr>
        <w:ind w:firstLine="472"/>
        <w:rPr>
          <w:rFonts w:hint="default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2.在线咨询：能即时答复的即时答复，不能即时答复的按规定时限回复。</w:t>
      </w:r>
    </w:p>
    <w:p>
      <w:pPr>
        <w:ind w:firstLine="472"/>
        <w:rPr>
          <w:rFonts w:hint="default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3.网上留言咨询：非即时办结，具体时限按规定执行。</w:t>
      </w:r>
    </w:p>
    <w:p>
      <w:pPr>
        <w:pStyle w:val="3"/>
        <w:widowControl/>
        <w:wordWrap w:val="0"/>
        <w:spacing w:line="360" w:lineRule="auto"/>
        <w:ind w:firstLine="552"/>
        <w:rPr>
          <w:rFonts w:hint="default" w:eastAsia="黑体" w:asciiTheme="majorHAnsi" w:hAnsiTheme="majorHAnsi" w:cstheme="majorBidi"/>
          <w:bCs/>
          <w:color w:val="auto"/>
          <w:sz w:val="28"/>
          <w:szCs w:val="32"/>
        </w:rPr>
      </w:pPr>
      <w:r>
        <w:rPr>
          <w:rFonts w:eastAsia="黑体" w:asciiTheme="majorHAnsi" w:hAnsiTheme="majorHAnsi" w:cstheme="majorBidi"/>
          <w:bCs/>
          <w:color w:val="auto"/>
          <w:sz w:val="28"/>
          <w:szCs w:val="32"/>
        </w:rPr>
        <w:t>【联系电话】</w:t>
      </w:r>
    </w:p>
    <w:p>
      <w:pPr>
        <w:ind w:firstLine="472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无</w:t>
      </w:r>
    </w:p>
    <w:p>
      <w:pPr>
        <w:widowControl/>
        <w:wordWrap w:val="0"/>
        <w:spacing w:line="360" w:lineRule="auto"/>
        <w:ind w:firstLine="480"/>
        <w:rPr>
          <w:rFonts w:ascii="宋体" w:hAnsi="宋体" w:cs="Times New Roman"/>
          <w:color w:val="auto"/>
          <w:sz w:val="24"/>
          <w:szCs w:val="28"/>
        </w:rPr>
      </w:pPr>
    </w:p>
    <w:p>
      <w:pPr>
        <w:pStyle w:val="3"/>
        <w:widowControl/>
        <w:wordWrap w:val="0"/>
        <w:adjustRightInd/>
        <w:snapToGrid/>
        <w:ind w:firstLine="552"/>
        <w:rPr>
          <w:color w:val="auto"/>
        </w:rPr>
      </w:pPr>
      <w:r>
        <w:rPr>
          <w:rFonts w:hint="eastAsia"/>
          <w:color w:val="auto"/>
        </w:rPr>
        <w:t>【办理流程】</w:t>
      </w:r>
    </w:p>
    <w:p>
      <w:pPr>
        <w:pStyle w:val="107"/>
        <w:widowControl/>
        <w:wordWrap w:val="0"/>
        <w:adjustRightInd/>
        <w:snapToGrid/>
        <w:ind w:firstLine="0" w:firstLineChars="0"/>
        <w:rPr>
          <w:rFonts w:hint="eastAsia"/>
          <w:color w:val="auto"/>
        </w:rPr>
      </w:pPr>
      <w:r>
        <w:rPr>
          <w:rFonts w:ascii="黑体" w:hAnsi="黑体" w:eastAsia="黑体" w:cs="Times New Roman"/>
          <w:bCs/>
          <w:color w:val="auto"/>
        </w:rPr>
        <w:drawing>
          <wp:inline distT="0" distB="0" distL="114300" distR="114300">
            <wp:extent cx="5271770" cy="2456180"/>
            <wp:effectExtent l="0" t="0" r="5080" b="1270"/>
            <wp:docPr id="31" name="图片 31" descr="电话咨询（即办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电话咨询（即办）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45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widowControl/>
        <w:wordWrap w:val="0"/>
        <w:adjustRightInd/>
        <w:snapToGrid/>
        <w:ind w:firstLine="552"/>
        <w:rPr>
          <w:color w:val="auto"/>
        </w:rPr>
      </w:pPr>
      <w:r>
        <w:rPr>
          <w:rFonts w:hint="eastAsia"/>
          <w:color w:val="auto"/>
        </w:rPr>
        <w:t>【纳税（缴费）人注意事项】</w:t>
      </w:r>
    </w:p>
    <w:p>
      <w:pPr>
        <w:ind w:firstLine="472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网络咨询的答复仅供参考，具体以法律法规及相关规定为准。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61566B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80A0C49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2019-10-31T05:20:52Z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