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1419"/>
      <w:r>
        <w:rPr>
          <w:rFonts w:hint="eastAsia" w:ascii="黑体" w:hAnsi="黑体"/>
          <w:color w:val="auto"/>
        </w:rPr>
        <w:t>1.3.17.9可再生能源发展基金申报</w:t>
      </w:r>
      <w:bookmarkEnd w:id="0"/>
    </w:p>
    <w:p>
      <w:pPr>
        <w:pStyle w:val="3"/>
        <w:ind w:firstLine="552"/>
        <w:rPr>
          <w:color w:val="auto"/>
        </w:rPr>
      </w:pPr>
      <w:r>
        <w:rPr>
          <w:rFonts w:hint="eastAsia"/>
          <w:color w:val="auto"/>
        </w:rPr>
        <w:t>一、事项名称</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可再生能源发展基金申报</w:t>
      </w:r>
    </w:p>
    <w:p>
      <w:pPr>
        <w:pStyle w:val="3"/>
        <w:ind w:firstLine="552"/>
        <w:rPr>
          <w:rFonts w:hint="eastAsia"/>
          <w:color w:val="auto"/>
        </w:rPr>
      </w:pPr>
      <w:r>
        <w:rPr>
          <w:rFonts w:hint="eastAsia"/>
          <w:color w:val="auto"/>
        </w:rPr>
        <w:t>二、事项类别</w:t>
      </w:r>
    </w:p>
    <w:p>
      <w:pPr>
        <w:pStyle w:val="47"/>
        <w:numPr>
          <w:ilvl w:val="0"/>
          <w:numId w:val="3"/>
        </w:numPr>
        <w:ind w:firstLineChars="0"/>
        <w:rPr>
          <w:rFonts w:hint="eastAsia"/>
          <w:color w:val="auto"/>
        </w:rPr>
      </w:pPr>
      <w:r>
        <w:rPr>
          <w:rFonts w:hint="eastAsia"/>
          <w:color w:val="auto"/>
        </w:rPr>
        <w:t>发起方式：人工发起（缴费人）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rFonts w:hint="eastAsia"/>
          <w:color w:val="auto"/>
        </w:rPr>
      </w:pPr>
      <w:r>
        <w:rPr>
          <w:rFonts w:hint="eastAsia"/>
          <w:color w:val="auto"/>
        </w:rPr>
        <w:t>适用层级：县(市、区)级</w:t>
      </w:r>
    </w:p>
    <w:p>
      <w:pPr>
        <w:pStyle w:val="47"/>
        <w:numPr>
          <w:ilvl w:val="0"/>
          <w:numId w:val="3"/>
        </w:numPr>
        <w:ind w:firstLineChars="0"/>
        <w:rPr>
          <w:rFonts w:hint="eastAsia"/>
          <w:color w:val="auto"/>
        </w:rPr>
      </w:pPr>
      <w:r>
        <w:rPr>
          <w:rFonts w:hint="eastAsia"/>
          <w:color w:val="auto"/>
        </w:rPr>
        <w:t>最多跑一次：是</w:t>
      </w:r>
    </w:p>
    <w:p>
      <w:pPr>
        <w:pStyle w:val="3"/>
        <w:ind w:firstLine="552"/>
        <w:rPr>
          <w:rFonts w:hint="eastAsia"/>
          <w:color w:val="auto"/>
        </w:rPr>
      </w:pPr>
      <w:r>
        <w:rPr>
          <w:rFonts w:hint="eastAsia"/>
          <w:color w:val="auto"/>
        </w:rPr>
        <w:t>三、办理条件</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缴费人依照非税收入法律、法规、规章及其他有关规定，向税务机关申报缴纳可再生能源发展基金。</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按照有关规定履行可再生能源发展基金缴费义务，采用自行申报方式，提供相关资料，填写《非税收入通用申报表》，办理申报缴纳等有关事项。符合减免政策的，缴费人自行申报享受，相关资料留存备查，并对资料的真实性和合法性承担责任。</w:t>
      </w:r>
    </w:p>
    <w:p>
      <w:pPr>
        <w:pStyle w:val="3"/>
        <w:ind w:firstLine="552"/>
        <w:rPr>
          <w:color w:val="auto"/>
        </w:rPr>
      </w:pPr>
      <w:r>
        <w:rPr>
          <w:rFonts w:hint="eastAsia"/>
          <w:color w:val="auto"/>
        </w:rPr>
        <w:t>四、设定依据</w:t>
      </w:r>
    </w:p>
    <w:p>
      <w:pPr>
        <w:spacing w:line="240" w:lineRule="auto"/>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1.《财政部关于将国家重大水利工程建设基金等政府非税收入项目划转税务部门征收的通知》（财税〔2018〕147号）</w:t>
      </w:r>
      <w:r>
        <w:rPr>
          <w:rFonts w:hint="eastAsia" w:ascii="宋体" w:hAnsi="宋体" w:eastAsia="宋体"/>
          <w:bCs w:val="0"/>
          <w:color w:val="auto"/>
          <w:sz w:val="24"/>
          <w:szCs w:val="22"/>
          <w:lang w:eastAsia="zh-CN"/>
        </w:rPr>
        <w:t>全文</w:t>
      </w:r>
    </w:p>
    <w:p>
      <w:pPr>
        <w:spacing w:line="240" w:lineRule="auto"/>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2.《国家税务总局关于国家重大水利工程建设基金等政府非税收入项目征管职责划转有关事项的公告》（国家税务总局公告2018年第63号）</w:t>
      </w:r>
      <w:r>
        <w:rPr>
          <w:rFonts w:hint="eastAsia" w:ascii="宋体" w:hAnsi="宋体" w:eastAsia="宋体"/>
          <w:bCs w:val="0"/>
          <w:color w:val="auto"/>
          <w:sz w:val="24"/>
          <w:szCs w:val="22"/>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firstLine="352"/>
              <w:jc w:val="left"/>
              <w:rPr>
                <w:rFonts w:cs="宋体"/>
                <w:color w:val="auto"/>
                <w:kern w:val="0"/>
                <w:sz w:val="18"/>
                <w:szCs w:val="18"/>
              </w:rPr>
            </w:pPr>
            <w:r>
              <w:rPr>
                <w:rFonts w:hint="eastAsia" w:cs="宋体"/>
                <w:color w:val="auto"/>
                <w:kern w:val="0"/>
                <w:sz w:val="18"/>
                <w:szCs w:val="18"/>
              </w:rPr>
              <w:t>《非税收入通用申报表》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ind w:firstLine="472"/>
        <w:rPr>
          <w:color w:val="auto"/>
        </w:rPr>
      </w:pPr>
      <w:r>
        <w:rPr>
          <w:color w:val="auto"/>
        </w:rPr>
        <w:pict>
          <v:shape id="_x0000_s1066" o:spid="_x0000_s1066" o:spt="75" type="#_x0000_t75" style="position:absolute;left:0pt;margin-left:11.5pt;margin-top:26.5pt;height:118.1pt;width:440.6pt;mso-wrap-distance-bottom:0pt;mso-wrap-distance-left:9pt;mso-wrap-distance-right:9pt;mso-wrap-distance-top:0pt;z-index:251777024;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6"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A06854《非税收入通用申报表》(A06854《非税收入通用申报表》（填写样例）)</w:t>
      </w:r>
    </w:p>
    <w:p>
      <w:pPr>
        <w:pStyle w:val="3"/>
        <w:ind w:firstLine="552"/>
        <w:rPr>
          <w:color w:val="auto"/>
        </w:rPr>
      </w:pPr>
      <w:r>
        <w:rPr>
          <w:rFonts w:hint="eastAsia"/>
          <w:color w:val="auto"/>
        </w:rPr>
        <w:t>九、注意事项</w:t>
      </w:r>
    </w:p>
    <w:p>
      <w:pPr>
        <w:spacing w:line="240" w:lineRule="auto"/>
        <w:ind w:firstLine="472"/>
        <w:rPr>
          <w:color w:val="auto"/>
        </w:rPr>
      </w:pPr>
      <w:r>
        <w:rPr>
          <w:color w:val="auto"/>
        </w:rPr>
        <w:t>1.</w:t>
      </w:r>
      <w:r>
        <w:rPr>
          <w:rFonts w:hint="eastAsia"/>
          <w:color w:val="auto"/>
        </w:rPr>
        <w:t>税务机关根据应补费额判断是否需要缴款开票；对于应补费额大于零的，办理“缴款开票”业务。</w:t>
      </w:r>
    </w:p>
    <w:p>
      <w:pPr>
        <w:spacing w:line="240" w:lineRule="auto"/>
        <w:ind w:firstLine="472"/>
        <w:rPr>
          <w:color w:val="auto"/>
        </w:rPr>
      </w:pPr>
      <w:r>
        <w:rPr>
          <w:color w:val="auto"/>
        </w:rPr>
        <w:t>2.</w:t>
      </w:r>
      <w:r>
        <w:rPr>
          <w:rFonts w:hint="eastAsia"/>
          <w:color w:val="auto"/>
        </w:rPr>
        <w:t>缴费人既有应退费款又有欠缴费款的，可以办理抵缴欠费业务。</w:t>
      </w:r>
    </w:p>
    <w:p>
      <w:pPr>
        <w:spacing w:line="240" w:lineRule="auto"/>
        <w:ind w:firstLine="472"/>
        <w:rPr>
          <w:color w:val="auto"/>
        </w:rPr>
      </w:pPr>
      <w:r>
        <w:rPr>
          <w:color w:val="auto"/>
        </w:rPr>
        <w:t>3.</w:t>
      </w:r>
      <w:r>
        <w:rPr>
          <w:rFonts w:hint="eastAsia"/>
          <w:color w:val="auto"/>
        </w:rPr>
        <w:t>缴费人对报送资料的真实性和合法性承担责任。</w:t>
      </w:r>
    </w:p>
    <w:p>
      <w:pPr>
        <w:spacing w:line="240" w:lineRule="auto"/>
        <w:ind w:firstLine="472"/>
        <w:jc w:val="left"/>
        <w:rPr>
          <w:rFonts w:hint="eastAsia"/>
          <w:color w:val="auto"/>
        </w:rPr>
      </w:pPr>
      <w:r>
        <w:rPr>
          <w:color w:val="auto"/>
        </w:rPr>
        <w:t>4.</w:t>
      </w:r>
      <w:r>
        <w:rPr>
          <w:rFonts w:hint="eastAsia"/>
          <w:color w:val="auto"/>
        </w:rPr>
        <w:t>最多跑一次是在资料完整且符合法定受理条件的前提下，最多只需要到税务机关跑一次。</w:t>
      </w:r>
    </w:p>
    <w:p>
      <w:pPr>
        <w:spacing w:line="240" w:lineRule="auto"/>
        <w:ind w:firstLine="472"/>
        <w:jc w:val="left"/>
        <w:rPr>
          <w:rFonts w:hint="eastAsia"/>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D830385"/>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2019-10-31T06:28:19Z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