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560"/>
        <w:rPr>
          <w:rFonts w:hint="eastAsia" w:ascii="黑体" w:hAnsi="黑体" w:cs="黑体"/>
          <w:color w:val="auto"/>
        </w:rPr>
      </w:pPr>
      <w:bookmarkStart w:id="1" w:name="_GoBack"/>
      <w:bookmarkEnd w:id="1"/>
      <w:bookmarkStart w:id="0" w:name="_Toc24431"/>
      <w:r>
        <w:rPr>
          <w:rFonts w:hint="eastAsia" w:ascii="黑体" w:hAnsi="黑体" w:cs="黑体"/>
          <w:color w:val="auto"/>
        </w:rPr>
        <w:t>2.4.1.1定期定额户申请核定及调整定额</w:t>
      </w:r>
      <w:bookmarkEnd w:id="0"/>
    </w:p>
    <w:p>
      <w:pPr>
        <w:pStyle w:val="3"/>
        <w:ind w:firstLine="552"/>
        <w:rPr>
          <w:color w:val="auto"/>
        </w:rPr>
      </w:pPr>
      <w:r>
        <w:rPr>
          <w:rFonts w:hint="eastAsia"/>
          <w:color w:val="auto"/>
        </w:rPr>
        <w:t>一、事项名称</w:t>
      </w:r>
    </w:p>
    <w:p>
      <w:pPr>
        <w:ind w:firstLine="472"/>
        <w:rPr>
          <w:color w:val="auto"/>
        </w:rPr>
      </w:pPr>
      <w:r>
        <w:rPr>
          <w:rFonts w:hint="eastAsia"/>
          <w:color w:val="auto"/>
        </w:rPr>
        <w:t>定期定额户申请核定及调整定额</w:t>
      </w:r>
    </w:p>
    <w:p>
      <w:pPr>
        <w:pStyle w:val="3"/>
        <w:ind w:firstLine="552"/>
        <w:rPr>
          <w:color w:val="auto"/>
        </w:rPr>
      </w:pPr>
      <w:r>
        <w:rPr>
          <w:rFonts w:hint="eastAsia"/>
          <w:color w:val="auto"/>
        </w:rPr>
        <w:t>二、事项类别</w:t>
      </w:r>
    </w:p>
    <w:p>
      <w:pPr>
        <w:pStyle w:val="49"/>
        <w:numPr>
          <w:ilvl w:val="0"/>
          <w:numId w:val="3"/>
        </w:numPr>
        <w:ind w:left="0" w:firstLine="472"/>
        <w:rPr>
          <w:color w:val="auto"/>
        </w:rPr>
      </w:pPr>
      <w:r>
        <w:rPr>
          <w:rFonts w:hint="eastAsia"/>
          <w:color w:val="auto"/>
        </w:rPr>
        <w:t>发起方式：人工发起（纳税人）</w:t>
      </w:r>
    </w:p>
    <w:p>
      <w:pPr>
        <w:pStyle w:val="49"/>
        <w:numPr>
          <w:ilvl w:val="0"/>
          <w:numId w:val="3"/>
        </w:numPr>
        <w:ind w:left="0" w:firstLine="472"/>
        <w:rPr>
          <w:color w:val="auto"/>
        </w:rPr>
      </w:pPr>
      <w:r>
        <w:rPr>
          <w:rFonts w:hint="eastAsia"/>
          <w:color w:val="auto"/>
        </w:rPr>
        <w:t>办结方式：限时办结</w:t>
      </w:r>
    </w:p>
    <w:p>
      <w:pPr>
        <w:pStyle w:val="49"/>
        <w:numPr>
          <w:ilvl w:val="0"/>
          <w:numId w:val="3"/>
        </w:numPr>
        <w:ind w:left="0" w:firstLine="472"/>
        <w:rPr>
          <w:color w:val="auto"/>
        </w:rPr>
      </w:pPr>
      <w:r>
        <w:rPr>
          <w:rFonts w:hint="eastAsia"/>
          <w:color w:val="auto"/>
        </w:rPr>
        <w:t>全省通办：否</w:t>
      </w:r>
    </w:p>
    <w:p>
      <w:pPr>
        <w:pStyle w:val="49"/>
        <w:numPr>
          <w:ilvl w:val="0"/>
          <w:numId w:val="3"/>
        </w:numPr>
        <w:ind w:left="0" w:firstLine="472"/>
        <w:rPr>
          <w:color w:val="auto"/>
        </w:rPr>
      </w:pPr>
      <w:r>
        <w:rPr>
          <w:rFonts w:hint="eastAsia"/>
          <w:color w:val="auto"/>
        </w:rPr>
        <w:t>网上办理：是</w:t>
      </w:r>
    </w:p>
    <w:p>
      <w:pPr>
        <w:pStyle w:val="49"/>
        <w:numPr>
          <w:ilvl w:val="0"/>
          <w:numId w:val="3"/>
        </w:numPr>
        <w:ind w:left="0" w:firstLine="472"/>
        <w:rPr>
          <w:color w:val="auto"/>
        </w:rPr>
      </w:pPr>
      <w:r>
        <w:rPr>
          <w:rFonts w:hint="eastAsia"/>
          <w:color w:val="auto"/>
        </w:rPr>
        <w:t>适用层级：县</w:t>
      </w:r>
      <w:r>
        <w:rPr>
          <w:color w:val="auto"/>
        </w:rPr>
        <w:t>(市、区)级</w:t>
      </w:r>
    </w:p>
    <w:p>
      <w:pPr>
        <w:pStyle w:val="47"/>
        <w:numPr>
          <w:ilvl w:val="0"/>
          <w:numId w:val="4"/>
        </w:numPr>
        <w:ind w:firstLineChars="0"/>
        <w:rPr>
          <w:color w:val="auto"/>
        </w:rPr>
      </w:pPr>
      <w:r>
        <w:rPr>
          <w:rFonts w:hint="eastAsia"/>
          <w:color w:val="auto"/>
        </w:rPr>
        <w:t>最多跑一次：是</w:t>
      </w:r>
    </w:p>
    <w:p>
      <w:pPr>
        <w:pStyle w:val="3"/>
        <w:numPr>
          <w:ilvl w:val="0"/>
          <w:numId w:val="5"/>
        </w:numPr>
        <w:ind w:firstLine="552"/>
        <w:rPr>
          <w:rFonts w:hint="eastAsia"/>
          <w:color w:val="auto"/>
        </w:rPr>
      </w:pPr>
      <w:r>
        <w:rPr>
          <w:rFonts w:hint="eastAsia" w:eastAsia="黑体" w:asciiTheme="majorHAnsi" w:hAnsiTheme="majorHAnsi" w:cstheme="majorBidi"/>
          <w:bCs/>
          <w:color w:val="auto"/>
          <w:kern w:val="2"/>
          <w:sz w:val="28"/>
          <w:szCs w:val="32"/>
          <w:lang w:val="en-US" w:eastAsia="zh-CN" w:bidi="ar-SA"/>
        </w:rPr>
        <w:t>办理条件</w:t>
      </w:r>
    </w:p>
    <w:p>
      <w:pPr>
        <w:numPr>
          <w:ilvl w:val="0"/>
          <w:numId w:val="0"/>
        </w:numPr>
        <w:rPr>
          <w:rFonts w:hint="eastAsia"/>
          <w:color w:val="auto"/>
          <w:lang w:val="en-US" w:eastAsia="zh-CN"/>
        </w:rPr>
      </w:pPr>
      <w:r>
        <w:rPr>
          <w:rFonts w:hint="eastAsia"/>
          <w:color w:val="auto"/>
          <w:lang w:val="en-US" w:eastAsia="zh-CN"/>
        </w:rPr>
        <w:t>定期定额户核定定额是指纳税人提出定额核定申请，税务机关根据《个体工商户税收定期定额征收管理办法》和其他税收法律、行政法规的规定，根据影响纳税人经营的一些经营指标如经营面积、年房屋租金、从业人数、月用电量（度）、主要设备名称及台（套）数等，对个体工商户在一定经营地点、一定经营时期、一定经营范围内的应纳税经营额（包括经营数量）进行核定，并以此为计税依据，确定其应纳税额；或者根据纳税人执行期月均成本费用支出总额，依据典型调查确定的每一行业所得率（不同于应税所得率，类似于企业的经营毛利率）标准，确定其定额的一种计算方法。定期定额户如未能全面提供或提供的主要成本费用支出明显偏低，又无正当理由的，主管税务机关可参照同类行业或类似行业中同规模、同地域纳税人的最低成本费用标准进行核定。</w:t>
      </w:r>
    </w:p>
    <w:p>
      <w:pPr>
        <w:numPr>
          <w:ilvl w:val="0"/>
          <w:numId w:val="0"/>
        </w:numPr>
        <w:ind w:firstLine="472" w:firstLineChars="200"/>
        <w:rPr>
          <w:rFonts w:hint="eastAsia"/>
          <w:color w:val="auto"/>
          <w:lang w:val="en-US" w:eastAsia="zh-CN"/>
        </w:rPr>
      </w:pPr>
      <w:r>
        <w:rPr>
          <w:rFonts w:hint="eastAsia"/>
          <w:color w:val="auto"/>
          <w:lang w:val="en-US" w:eastAsia="zh-CN"/>
        </w:rPr>
        <w:t>个体工商户税收定期定额征收适用于经主管税务机关认定和县以上税务机关（含县级）批准的生产、经营规模小，达不到《个体工商户建账管理暂行办法》规定设置账簿标准的个体工商户和个人独资企业的税收征收管理。</w:t>
      </w:r>
    </w:p>
    <w:p>
      <w:pPr>
        <w:numPr>
          <w:ilvl w:val="0"/>
          <w:numId w:val="0"/>
        </w:numPr>
        <w:ind w:firstLine="472" w:firstLineChars="200"/>
        <w:rPr>
          <w:rFonts w:hint="eastAsia" w:eastAsia="宋体"/>
          <w:color w:val="auto"/>
          <w:lang w:val="en-US" w:eastAsia="zh-CN"/>
        </w:rPr>
      </w:pPr>
      <w:r>
        <w:rPr>
          <w:rFonts w:hint="eastAsia"/>
          <w:color w:val="auto"/>
          <w:lang w:val="en-US" w:eastAsia="zh-CN"/>
        </w:rPr>
        <w:t>若纳税人依据《中华人民共和国税收征收管理法实施细则》第47条规定，对税务机关采取本条规定的方法核定的应纳税额有异议的，申请调整应纳税额的情况，定额调整业务属于行政许可事项，适用“对纳税人变更纳税定额的核准”流程办理。若属于定期定额户的经营额、所得额连续纳税期超过或低于税务机关核定的定额，按照规定申请调整定额的情况，不属于行政许可事项，适用本业务流程办理。</w:t>
      </w:r>
    </w:p>
    <w:p>
      <w:pPr>
        <w:pStyle w:val="3"/>
        <w:ind w:firstLine="552"/>
        <w:rPr>
          <w:color w:val="auto"/>
        </w:rPr>
      </w:pPr>
      <w:r>
        <w:rPr>
          <w:rFonts w:hint="eastAsia"/>
          <w:color w:val="auto"/>
        </w:rPr>
        <w:t>四、设定依据</w:t>
      </w:r>
    </w:p>
    <w:p>
      <w:pPr>
        <w:ind w:firstLine="472"/>
        <w:rPr>
          <w:rFonts w:hint="eastAsia" w:eastAsia="宋体"/>
          <w:color w:val="auto"/>
          <w:lang w:eastAsia="zh-CN"/>
        </w:rPr>
      </w:pPr>
      <w:r>
        <w:rPr>
          <w:color w:val="auto"/>
        </w:rPr>
        <w:t>1.</w:t>
      </w:r>
      <w:r>
        <w:rPr>
          <w:rFonts w:hint="eastAsia"/>
          <w:color w:val="auto"/>
        </w:rPr>
        <w:t>《中华人民共和国税收征收管理法》第三十五条</w:t>
      </w:r>
    </w:p>
    <w:p>
      <w:pPr>
        <w:keepNext w:val="0"/>
        <w:keepLines w:val="0"/>
        <w:pageBreakBefore w:val="0"/>
        <w:widowControl w:val="0"/>
        <w:numPr>
          <w:ilvl w:val="0"/>
          <w:numId w:val="0"/>
        </w:numPr>
        <w:kinsoku/>
        <w:wordWrap/>
        <w:overflowPunct/>
        <w:topLinePunct w:val="0"/>
        <w:autoSpaceDE/>
        <w:autoSpaceDN/>
        <w:bidi w:val="0"/>
        <w:adjustRightInd/>
        <w:snapToGrid/>
        <w:ind w:firstLine="472" w:firstLineChars="200"/>
        <w:textAlignment w:val="auto"/>
        <w:outlineLvl w:val="9"/>
        <w:rPr>
          <w:rFonts w:hint="eastAsia"/>
          <w:color w:val="auto"/>
          <w:lang w:val="en-US" w:eastAsia="zh-CN"/>
        </w:rPr>
      </w:pPr>
      <w:r>
        <w:rPr>
          <w:rFonts w:hint="eastAsia"/>
          <w:color w:val="auto"/>
          <w:lang w:val="en-US" w:eastAsia="zh-CN"/>
        </w:rPr>
        <w:t>“纳税人有下列情形之一的,税务机关有权核定其应纳税额:</w:t>
      </w:r>
    </w:p>
    <w:p>
      <w:pPr>
        <w:keepNext w:val="0"/>
        <w:keepLines w:val="0"/>
        <w:pageBreakBefore w:val="0"/>
        <w:widowControl w:val="0"/>
        <w:numPr>
          <w:ilvl w:val="0"/>
          <w:numId w:val="0"/>
        </w:numPr>
        <w:kinsoku/>
        <w:wordWrap/>
        <w:overflowPunct/>
        <w:topLinePunct w:val="0"/>
        <w:autoSpaceDE/>
        <w:autoSpaceDN/>
        <w:bidi w:val="0"/>
        <w:adjustRightInd/>
        <w:snapToGrid/>
        <w:textAlignment w:val="auto"/>
        <w:outlineLvl w:val="9"/>
        <w:rPr>
          <w:rFonts w:hint="eastAsia"/>
          <w:color w:val="auto"/>
          <w:lang w:val="en-US" w:eastAsia="zh-CN"/>
        </w:rPr>
      </w:pPr>
      <w:r>
        <w:rPr>
          <w:rFonts w:hint="eastAsia"/>
          <w:color w:val="auto"/>
          <w:lang w:val="en-US" w:eastAsia="zh-CN"/>
        </w:rPr>
        <w:t>(一)依照法律、行政法规的规定可以不设置帐簿的;</w:t>
      </w:r>
    </w:p>
    <w:p>
      <w:pPr>
        <w:keepNext w:val="0"/>
        <w:keepLines w:val="0"/>
        <w:pageBreakBefore w:val="0"/>
        <w:widowControl w:val="0"/>
        <w:numPr>
          <w:ilvl w:val="0"/>
          <w:numId w:val="0"/>
        </w:numPr>
        <w:kinsoku/>
        <w:wordWrap/>
        <w:overflowPunct/>
        <w:topLinePunct w:val="0"/>
        <w:autoSpaceDE/>
        <w:autoSpaceDN/>
        <w:bidi w:val="0"/>
        <w:adjustRightInd/>
        <w:snapToGrid/>
        <w:textAlignment w:val="auto"/>
        <w:outlineLvl w:val="9"/>
        <w:rPr>
          <w:rFonts w:hint="eastAsia"/>
          <w:color w:val="auto"/>
          <w:lang w:val="en-US" w:eastAsia="zh-CN"/>
        </w:rPr>
      </w:pPr>
      <w:r>
        <w:rPr>
          <w:rFonts w:hint="eastAsia"/>
          <w:color w:val="auto"/>
          <w:lang w:val="en-US" w:eastAsia="zh-CN"/>
        </w:rPr>
        <w:t>(二)依照法律、行政法规的规定应当设置帐簿但未设置的;</w:t>
      </w:r>
    </w:p>
    <w:p>
      <w:pPr>
        <w:keepNext w:val="0"/>
        <w:keepLines w:val="0"/>
        <w:pageBreakBefore w:val="0"/>
        <w:widowControl w:val="0"/>
        <w:numPr>
          <w:ilvl w:val="0"/>
          <w:numId w:val="0"/>
        </w:numPr>
        <w:kinsoku/>
        <w:wordWrap/>
        <w:overflowPunct/>
        <w:topLinePunct w:val="0"/>
        <w:autoSpaceDE/>
        <w:autoSpaceDN/>
        <w:bidi w:val="0"/>
        <w:adjustRightInd/>
        <w:snapToGrid/>
        <w:textAlignment w:val="auto"/>
        <w:outlineLvl w:val="9"/>
        <w:rPr>
          <w:rFonts w:hint="eastAsia"/>
          <w:color w:val="auto"/>
          <w:lang w:val="en-US" w:eastAsia="zh-CN"/>
        </w:rPr>
      </w:pPr>
      <w:r>
        <w:rPr>
          <w:rFonts w:hint="eastAsia"/>
          <w:color w:val="auto"/>
          <w:lang w:val="en-US" w:eastAsia="zh-CN"/>
        </w:rPr>
        <w:t>(三)擅自销毁帐簿或者拒不提供纳税资料的;</w:t>
      </w:r>
    </w:p>
    <w:p>
      <w:pPr>
        <w:keepNext w:val="0"/>
        <w:keepLines w:val="0"/>
        <w:pageBreakBefore w:val="0"/>
        <w:widowControl w:val="0"/>
        <w:numPr>
          <w:ilvl w:val="0"/>
          <w:numId w:val="0"/>
        </w:numPr>
        <w:kinsoku/>
        <w:wordWrap/>
        <w:overflowPunct/>
        <w:topLinePunct w:val="0"/>
        <w:autoSpaceDE/>
        <w:autoSpaceDN/>
        <w:bidi w:val="0"/>
        <w:adjustRightInd/>
        <w:snapToGrid/>
        <w:textAlignment w:val="auto"/>
        <w:outlineLvl w:val="9"/>
        <w:rPr>
          <w:rFonts w:hint="eastAsia"/>
          <w:color w:val="auto"/>
          <w:lang w:val="en-US" w:eastAsia="zh-CN"/>
        </w:rPr>
      </w:pPr>
      <w:r>
        <w:rPr>
          <w:rFonts w:hint="eastAsia"/>
          <w:color w:val="auto"/>
          <w:lang w:val="en-US" w:eastAsia="zh-CN"/>
        </w:rPr>
        <w:t>(四)虽设置帐簿,但帐目混乱或者成本资料、收入凭证、费用凭证残缺不全,难以查帐的;</w:t>
      </w:r>
    </w:p>
    <w:p>
      <w:pPr>
        <w:keepNext w:val="0"/>
        <w:keepLines w:val="0"/>
        <w:pageBreakBefore w:val="0"/>
        <w:widowControl w:val="0"/>
        <w:numPr>
          <w:ilvl w:val="0"/>
          <w:numId w:val="0"/>
        </w:numPr>
        <w:kinsoku/>
        <w:wordWrap/>
        <w:overflowPunct/>
        <w:topLinePunct w:val="0"/>
        <w:autoSpaceDE/>
        <w:autoSpaceDN/>
        <w:bidi w:val="0"/>
        <w:adjustRightInd/>
        <w:snapToGrid/>
        <w:textAlignment w:val="auto"/>
        <w:outlineLvl w:val="9"/>
        <w:rPr>
          <w:rFonts w:hint="eastAsia"/>
          <w:color w:val="auto"/>
          <w:lang w:val="en-US" w:eastAsia="zh-CN"/>
        </w:rPr>
      </w:pPr>
      <w:r>
        <w:rPr>
          <w:rFonts w:hint="eastAsia"/>
          <w:color w:val="auto"/>
          <w:lang w:val="en-US" w:eastAsia="zh-CN"/>
        </w:rPr>
        <w:t>(五)发生纳税义务,未按照规定的期限办理纳税申报,经税务机关责令限期申报,逾期仍不申报的;</w:t>
      </w:r>
    </w:p>
    <w:p>
      <w:pPr>
        <w:keepNext w:val="0"/>
        <w:keepLines w:val="0"/>
        <w:pageBreakBefore w:val="0"/>
        <w:widowControl w:val="0"/>
        <w:numPr>
          <w:ilvl w:val="0"/>
          <w:numId w:val="0"/>
        </w:numPr>
        <w:kinsoku/>
        <w:wordWrap/>
        <w:overflowPunct/>
        <w:topLinePunct w:val="0"/>
        <w:autoSpaceDE/>
        <w:autoSpaceDN/>
        <w:bidi w:val="0"/>
        <w:adjustRightInd/>
        <w:snapToGrid/>
        <w:textAlignment w:val="auto"/>
        <w:outlineLvl w:val="9"/>
        <w:rPr>
          <w:rFonts w:hint="eastAsia"/>
          <w:color w:val="auto"/>
          <w:lang w:val="en-US" w:eastAsia="zh-CN"/>
        </w:rPr>
      </w:pPr>
      <w:r>
        <w:rPr>
          <w:rFonts w:hint="eastAsia"/>
          <w:color w:val="auto"/>
          <w:lang w:val="en-US" w:eastAsia="zh-CN"/>
        </w:rPr>
        <w:t>(六)纳税人申报的计税依据明显偏低,又无正当理由的。</w:t>
      </w:r>
    </w:p>
    <w:p>
      <w:pPr>
        <w:numPr>
          <w:ilvl w:val="0"/>
          <w:numId w:val="0"/>
        </w:numPr>
        <w:rPr>
          <w:rFonts w:hint="eastAsia"/>
          <w:color w:val="auto"/>
          <w:lang w:val="en-US" w:eastAsia="zh-CN"/>
        </w:rPr>
      </w:pPr>
      <w:r>
        <w:rPr>
          <w:rFonts w:hint="eastAsia"/>
          <w:color w:val="auto"/>
          <w:lang w:val="en-US" w:eastAsia="zh-CN"/>
        </w:rPr>
        <w:t>税务机关核定应纳税额的具体程序和方法由国务院税务主管部门规定。”</w:t>
      </w:r>
    </w:p>
    <w:p>
      <w:pPr>
        <w:numPr>
          <w:ilvl w:val="0"/>
          <w:numId w:val="0"/>
        </w:numPr>
        <w:ind w:firstLine="472" w:firstLineChars="200"/>
        <w:rPr>
          <w:rFonts w:hint="eastAsia"/>
          <w:color w:val="auto"/>
        </w:rPr>
      </w:pPr>
      <w:r>
        <w:rPr>
          <w:rFonts w:hint="eastAsia"/>
          <w:color w:val="auto"/>
          <w:lang w:val="en-US" w:eastAsia="zh-CN"/>
        </w:rPr>
        <w:t>2.</w:t>
      </w:r>
      <w:r>
        <w:rPr>
          <w:rFonts w:hint="eastAsia"/>
          <w:color w:val="auto"/>
        </w:rPr>
        <w:t>《中华人民共和国税收征收管理法实施细则》（中华人民共和国国务院令第362号）第四十七条</w:t>
      </w:r>
    </w:p>
    <w:p>
      <w:pPr>
        <w:numPr>
          <w:ilvl w:val="0"/>
          <w:numId w:val="0"/>
        </w:numPr>
        <w:rPr>
          <w:rFonts w:hint="eastAsia"/>
          <w:color w:val="auto"/>
          <w:lang w:val="en-US" w:eastAsia="zh-CN"/>
        </w:rPr>
      </w:pPr>
      <w:r>
        <w:rPr>
          <w:rFonts w:hint="eastAsia"/>
          <w:color w:val="auto"/>
          <w:lang w:val="en-US" w:eastAsia="zh-CN"/>
        </w:rPr>
        <w:t>“纳税人有税收征管法第三十五条或者第三十七条所列情形之一的，税务机关有权采用下列任何一种方法核定其应纳税额：</w:t>
      </w:r>
    </w:p>
    <w:p>
      <w:pPr>
        <w:numPr>
          <w:ilvl w:val="0"/>
          <w:numId w:val="0"/>
        </w:numPr>
        <w:rPr>
          <w:rFonts w:hint="eastAsia"/>
          <w:color w:val="auto"/>
          <w:lang w:val="en-US" w:eastAsia="zh-CN"/>
        </w:rPr>
      </w:pPr>
    </w:p>
    <w:p>
      <w:pPr>
        <w:numPr>
          <w:ilvl w:val="0"/>
          <w:numId w:val="0"/>
        </w:numPr>
        <w:rPr>
          <w:rFonts w:hint="eastAsia"/>
          <w:color w:val="auto"/>
          <w:lang w:val="en-US" w:eastAsia="zh-CN"/>
        </w:rPr>
      </w:pPr>
      <w:r>
        <w:rPr>
          <w:rFonts w:hint="eastAsia"/>
          <w:color w:val="auto"/>
          <w:lang w:val="en-US" w:eastAsia="zh-CN"/>
        </w:rPr>
        <w:t>(一)参照当地同类行业或者类似行业中经营规模和收入水平相近的纳税人的税负水平核定；</w:t>
      </w:r>
    </w:p>
    <w:p>
      <w:pPr>
        <w:numPr>
          <w:ilvl w:val="0"/>
          <w:numId w:val="0"/>
        </w:numPr>
        <w:rPr>
          <w:rFonts w:hint="eastAsia"/>
          <w:color w:val="auto"/>
          <w:lang w:val="en-US" w:eastAsia="zh-CN"/>
        </w:rPr>
      </w:pPr>
      <w:r>
        <w:rPr>
          <w:rFonts w:hint="eastAsia"/>
          <w:color w:val="auto"/>
          <w:lang w:val="en-US" w:eastAsia="zh-CN"/>
        </w:rPr>
        <w:t>(二)按照营业收入或者成本加合理的费用和利润的方法核定；</w:t>
      </w:r>
    </w:p>
    <w:p>
      <w:pPr>
        <w:numPr>
          <w:ilvl w:val="0"/>
          <w:numId w:val="0"/>
        </w:numPr>
        <w:rPr>
          <w:rFonts w:hint="eastAsia"/>
          <w:color w:val="auto"/>
          <w:lang w:val="en-US" w:eastAsia="zh-CN"/>
        </w:rPr>
      </w:pPr>
      <w:r>
        <w:rPr>
          <w:rFonts w:hint="eastAsia"/>
          <w:color w:val="auto"/>
          <w:lang w:val="en-US" w:eastAsia="zh-CN"/>
        </w:rPr>
        <w:t>(三)按照耗用的原材料、燃料、动力等推算或者测算核定；</w:t>
      </w:r>
    </w:p>
    <w:p>
      <w:pPr>
        <w:numPr>
          <w:ilvl w:val="0"/>
          <w:numId w:val="0"/>
        </w:numPr>
        <w:rPr>
          <w:rFonts w:hint="eastAsia"/>
          <w:color w:val="auto"/>
          <w:lang w:val="en-US" w:eastAsia="zh-CN"/>
        </w:rPr>
      </w:pPr>
      <w:r>
        <w:rPr>
          <w:rFonts w:hint="eastAsia"/>
          <w:color w:val="auto"/>
          <w:lang w:val="en-US" w:eastAsia="zh-CN"/>
        </w:rPr>
        <w:t>(四)按照其他合理方法核定。</w:t>
      </w:r>
    </w:p>
    <w:p>
      <w:pPr>
        <w:numPr>
          <w:ilvl w:val="0"/>
          <w:numId w:val="0"/>
        </w:numPr>
        <w:rPr>
          <w:rFonts w:hint="eastAsia"/>
          <w:color w:val="auto"/>
          <w:lang w:val="en-US" w:eastAsia="zh-CN"/>
        </w:rPr>
      </w:pPr>
      <w:r>
        <w:rPr>
          <w:rFonts w:hint="eastAsia"/>
          <w:color w:val="auto"/>
          <w:lang w:val="en-US" w:eastAsia="zh-CN"/>
        </w:rPr>
        <w:t>采用前款所列一种方法不足以正确核定应纳税额时，可以同时采用两种以上的方法核定。</w:t>
      </w:r>
    </w:p>
    <w:p>
      <w:pPr>
        <w:numPr>
          <w:ilvl w:val="0"/>
          <w:numId w:val="0"/>
        </w:numPr>
        <w:rPr>
          <w:rFonts w:hint="eastAsia" w:eastAsia="宋体"/>
          <w:color w:val="auto"/>
          <w:lang w:val="en-US" w:eastAsia="zh-CN"/>
        </w:rPr>
      </w:pPr>
      <w:r>
        <w:rPr>
          <w:rFonts w:hint="eastAsia"/>
          <w:color w:val="auto"/>
          <w:lang w:val="en-US" w:eastAsia="zh-CN"/>
        </w:rPr>
        <w:t>纳税人对税务机关采取本条规定的方法核定的应纳税额有异议的，应当提供相关证据，经税务机关认定后，调整应纳税额。”</w:t>
      </w:r>
    </w:p>
    <w:p>
      <w:pPr>
        <w:ind w:firstLine="472"/>
        <w:rPr>
          <w:rFonts w:hint="eastAsia" w:eastAsia="宋体"/>
          <w:color w:val="auto"/>
          <w:lang w:eastAsia="zh-CN"/>
        </w:rPr>
      </w:pPr>
      <w:r>
        <w:rPr>
          <w:rFonts w:hint="eastAsia"/>
          <w:color w:val="auto"/>
        </w:rPr>
        <w:t>3.《个体工商户税收定期定额征收管理办法》（国家税务总局令第16号）全文</w:t>
      </w:r>
    </w:p>
    <w:p>
      <w:pPr>
        <w:ind w:firstLine="472"/>
        <w:rPr>
          <w:rFonts w:hint="eastAsia"/>
          <w:color w:val="auto"/>
        </w:rPr>
      </w:pPr>
      <w:r>
        <w:rPr>
          <w:rFonts w:hint="eastAsia"/>
          <w:color w:val="auto"/>
        </w:rPr>
        <w:t>4.《财政部国家税务总局关于印发〈关于个人独资企业和合伙企业投资者征收个人所得税的规定〉的通知》（财税〔2000〕91号）附件一第七至第十条</w:t>
      </w:r>
    </w:p>
    <w:p>
      <w:pPr>
        <w:ind w:firstLine="472"/>
        <w:rPr>
          <w:rFonts w:hint="eastAsia"/>
          <w:color w:val="auto"/>
          <w:lang w:eastAsia="zh-CN"/>
        </w:rPr>
      </w:pPr>
      <w:r>
        <w:rPr>
          <w:rFonts w:hint="eastAsia"/>
          <w:color w:val="auto"/>
          <w:lang w:eastAsia="zh-CN"/>
        </w:rPr>
        <w:t>“第七条有下列情形之一的，主管税务机关应采取核定征收方式征收个人所得税：</w:t>
      </w:r>
    </w:p>
    <w:p>
      <w:pPr>
        <w:ind w:firstLine="472"/>
        <w:rPr>
          <w:rFonts w:hint="eastAsia"/>
          <w:color w:val="auto"/>
          <w:lang w:eastAsia="zh-CN"/>
        </w:rPr>
      </w:pPr>
      <w:r>
        <w:rPr>
          <w:rFonts w:hint="eastAsia"/>
          <w:color w:val="auto"/>
          <w:lang w:eastAsia="zh-CN"/>
        </w:rPr>
        <w:t>(一)企业依照国家有关法规应当设置但未设置账簿的；</w:t>
      </w:r>
    </w:p>
    <w:p>
      <w:pPr>
        <w:ind w:firstLine="472"/>
        <w:rPr>
          <w:rFonts w:hint="eastAsia"/>
          <w:color w:val="auto"/>
          <w:lang w:eastAsia="zh-CN"/>
        </w:rPr>
      </w:pPr>
      <w:r>
        <w:rPr>
          <w:rFonts w:hint="eastAsia"/>
          <w:color w:val="auto"/>
          <w:lang w:eastAsia="zh-CN"/>
        </w:rPr>
        <w:t>(二)企业虽设置账簿，但账目混乱或者成本资料、收入凭证、费用凭证残缺不全，难以查账的；</w:t>
      </w:r>
    </w:p>
    <w:p>
      <w:pPr>
        <w:ind w:firstLine="472"/>
        <w:rPr>
          <w:rFonts w:hint="eastAsia"/>
          <w:color w:val="auto"/>
          <w:lang w:eastAsia="zh-CN"/>
        </w:rPr>
      </w:pPr>
      <w:r>
        <w:rPr>
          <w:rFonts w:hint="eastAsia"/>
          <w:color w:val="auto"/>
          <w:lang w:eastAsia="zh-CN"/>
        </w:rPr>
        <w:t>(三)纳税人发生纳税义务，未按照法规的期限办理纳税申报，经税务机关责令限期申报，逾期仍不申报的。</w:t>
      </w:r>
    </w:p>
    <w:p>
      <w:pPr>
        <w:ind w:firstLine="708" w:firstLineChars="300"/>
        <w:rPr>
          <w:rFonts w:hint="eastAsia"/>
          <w:color w:val="auto"/>
          <w:lang w:eastAsia="zh-CN"/>
        </w:rPr>
      </w:pPr>
      <w:r>
        <w:rPr>
          <w:rFonts w:hint="eastAsia"/>
          <w:color w:val="auto"/>
          <w:lang w:eastAsia="zh-CN"/>
        </w:rPr>
        <w:t>第八条第七条所说核定征收方式，包括定额征收、核定应税所得率征收以及其他合理的征收方式。</w:t>
      </w:r>
    </w:p>
    <w:p>
      <w:pPr>
        <w:ind w:firstLine="708" w:firstLineChars="300"/>
        <w:rPr>
          <w:rFonts w:hint="eastAsia"/>
          <w:color w:val="auto"/>
          <w:lang w:eastAsia="zh-CN"/>
        </w:rPr>
      </w:pPr>
      <w:r>
        <w:rPr>
          <w:rFonts w:hint="eastAsia"/>
          <w:color w:val="auto"/>
          <w:lang w:eastAsia="zh-CN"/>
        </w:rPr>
        <w:t>第九条实行核定应税所得率征收方式的，应纳所得税额的计算公式如下：</w:t>
      </w:r>
    </w:p>
    <w:p>
      <w:pPr>
        <w:ind w:firstLine="472"/>
        <w:rPr>
          <w:rFonts w:hint="eastAsia"/>
          <w:color w:val="auto"/>
          <w:lang w:eastAsia="zh-CN"/>
        </w:rPr>
      </w:pPr>
      <w:r>
        <w:rPr>
          <w:rFonts w:hint="eastAsia"/>
          <w:color w:val="auto"/>
          <w:lang w:eastAsia="zh-CN"/>
        </w:rPr>
        <w:t>应纳所得税额＝应纳税所得额×适用税率</w:t>
      </w:r>
    </w:p>
    <w:p>
      <w:pPr>
        <w:ind w:firstLine="472"/>
        <w:rPr>
          <w:rFonts w:hint="eastAsia"/>
          <w:color w:val="auto"/>
          <w:lang w:eastAsia="zh-CN"/>
        </w:rPr>
      </w:pPr>
      <w:r>
        <w:rPr>
          <w:rFonts w:hint="eastAsia"/>
          <w:color w:val="auto"/>
          <w:lang w:eastAsia="zh-CN"/>
        </w:rPr>
        <w:t>应纳税所得额＝收入总额×应税所得率或———＝成本费用支出额÷(1-应税所得率)×应税所得率</w:t>
      </w:r>
    </w:p>
    <w:p>
      <w:pPr>
        <w:ind w:firstLine="472"/>
        <w:rPr>
          <w:rFonts w:hint="eastAsia"/>
          <w:color w:val="auto"/>
          <w:lang w:eastAsia="zh-CN"/>
        </w:rPr>
      </w:pPr>
      <w:r>
        <w:rPr>
          <w:rFonts w:hint="eastAsia"/>
          <w:color w:val="auto"/>
          <w:lang w:eastAsia="zh-CN"/>
        </w:rPr>
        <w:t>应税所得率应按下表法规的标准执行：</w:t>
      </w:r>
    </w:p>
    <w:p>
      <w:pPr>
        <w:ind w:firstLine="472"/>
        <w:rPr>
          <w:rFonts w:hint="eastAsia"/>
          <w:color w:val="auto"/>
          <w:lang w:eastAsia="zh-CN"/>
        </w:rPr>
      </w:pPr>
      <w:r>
        <w:rPr>
          <w:rFonts w:hint="eastAsia"/>
          <w:color w:val="auto"/>
          <w:lang w:eastAsia="zh-CN"/>
        </w:rPr>
        <w:t>　　应税所得率表</w:t>
      </w:r>
    </w:p>
    <w:p>
      <w:pPr>
        <w:ind w:firstLine="472"/>
        <w:rPr>
          <w:rFonts w:hint="eastAsia"/>
          <w:color w:val="auto"/>
          <w:lang w:eastAsia="zh-CN"/>
        </w:rPr>
      </w:pPr>
      <w:r>
        <w:rPr>
          <w:rFonts w:hint="eastAsia"/>
          <w:color w:val="auto"/>
          <w:lang w:eastAsia="zh-CN"/>
        </w:rPr>
        <w:t>┌────────────┬─────────┐</w:t>
      </w:r>
    </w:p>
    <w:p>
      <w:pPr>
        <w:ind w:firstLine="472"/>
        <w:rPr>
          <w:rFonts w:hint="eastAsia"/>
          <w:color w:val="auto"/>
          <w:lang w:eastAsia="zh-CN"/>
        </w:rPr>
      </w:pPr>
      <w:r>
        <w:rPr>
          <w:rFonts w:hint="eastAsia"/>
          <w:color w:val="auto"/>
          <w:lang w:eastAsia="zh-CN"/>
        </w:rPr>
        <w:t>│　　行业　　　　　　　　│　　应税所得率(％)│</w:t>
      </w:r>
    </w:p>
    <w:p>
      <w:pPr>
        <w:ind w:firstLine="472"/>
        <w:rPr>
          <w:rFonts w:hint="eastAsia"/>
          <w:color w:val="auto"/>
          <w:lang w:eastAsia="zh-CN"/>
        </w:rPr>
      </w:pPr>
      <w:r>
        <w:rPr>
          <w:rFonts w:hint="eastAsia"/>
          <w:color w:val="auto"/>
          <w:lang w:eastAsia="zh-CN"/>
        </w:rPr>
        <w:t>├────────────┼─────────┤</w:t>
      </w:r>
    </w:p>
    <w:p>
      <w:pPr>
        <w:ind w:firstLine="472"/>
        <w:rPr>
          <w:rFonts w:hint="eastAsia"/>
          <w:color w:val="auto"/>
          <w:lang w:eastAsia="zh-CN"/>
        </w:rPr>
      </w:pPr>
      <w:r>
        <w:rPr>
          <w:rFonts w:hint="eastAsia"/>
          <w:color w:val="auto"/>
          <w:lang w:eastAsia="zh-CN"/>
        </w:rPr>
        <w:t>│工业、交通运输业、商业│　　5—20　　　　│</w:t>
      </w:r>
    </w:p>
    <w:p>
      <w:pPr>
        <w:ind w:firstLine="472"/>
        <w:rPr>
          <w:rFonts w:hint="eastAsia"/>
          <w:color w:val="auto"/>
          <w:lang w:eastAsia="zh-CN"/>
        </w:rPr>
      </w:pPr>
      <w:r>
        <w:rPr>
          <w:rFonts w:hint="eastAsia"/>
          <w:color w:val="auto"/>
          <w:lang w:eastAsia="zh-CN"/>
        </w:rPr>
        <w:t>├────────────┼─────────┤</w:t>
      </w:r>
    </w:p>
    <w:p>
      <w:pPr>
        <w:ind w:firstLine="472"/>
        <w:rPr>
          <w:rFonts w:hint="eastAsia"/>
          <w:color w:val="auto"/>
          <w:lang w:eastAsia="zh-CN"/>
        </w:rPr>
      </w:pPr>
      <w:r>
        <w:rPr>
          <w:rFonts w:hint="eastAsia"/>
          <w:color w:val="auto"/>
          <w:lang w:eastAsia="zh-CN"/>
        </w:rPr>
        <w:t>│　　建筑业、房地产开发业│　　7—20　　　　│</w:t>
      </w:r>
    </w:p>
    <w:p>
      <w:pPr>
        <w:ind w:firstLine="472"/>
        <w:rPr>
          <w:rFonts w:hint="eastAsia"/>
          <w:color w:val="auto"/>
          <w:lang w:eastAsia="zh-CN"/>
        </w:rPr>
      </w:pPr>
      <w:r>
        <w:rPr>
          <w:rFonts w:hint="eastAsia"/>
          <w:color w:val="auto"/>
          <w:lang w:eastAsia="zh-CN"/>
        </w:rPr>
        <w:t>├────────────┼─────────┤</w:t>
      </w:r>
    </w:p>
    <w:p>
      <w:pPr>
        <w:ind w:firstLine="472"/>
        <w:rPr>
          <w:rFonts w:hint="eastAsia"/>
          <w:color w:val="auto"/>
          <w:lang w:eastAsia="zh-CN"/>
        </w:rPr>
      </w:pPr>
      <w:r>
        <w:rPr>
          <w:rFonts w:hint="eastAsia"/>
          <w:color w:val="auto"/>
          <w:lang w:eastAsia="zh-CN"/>
        </w:rPr>
        <w:t>│　　饮食服务业　　　　│　　7—25　　　　│</w:t>
      </w:r>
    </w:p>
    <w:p>
      <w:pPr>
        <w:ind w:firstLine="472"/>
        <w:rPr>
          <w:rFonts w:hint="eastAsia"/>
          <w:color w:val="auto"/>
          <w:lang w:eastAsia="zh-CN"/>
        </w:rPr>
      </w:pPr>
      <w:r>
        <w:rPr>
          <w:rFonts w:hint="eastAsia"/>
          <w:color w:val="auto"/>
          <w:lang w:eastAsia="zh-CN"/>
        </w:rPr>
        <w:t>├────────────┼─────────┤</w:t>
      </w:r>
    </w:p>
    <w:p>
      <w:pPr>
        <w:ind w:firstLine="472"/>
        <w:rPr>
          <w:rFonts w:hint="eastAsia"/>
          <w:color w:val="auto"/>
          <w:lang w:eastAsia="zh-CN"/>
        </w:rPr>
      </w:pPr>
      <w:r>
        <w:rPr>
          <w:rFonts w:hint="eastAsia"/>
          <w:color w:val="auto"/>
          <w:lang w:eastAsia="zh-CN"/>
        </w:rPr>
        <w:t>│　　娱乐业　　　　　　│　　20—40　　　　│</w:t>
      </w:r>
    </w:p>
    <w:p>
      <w:pPr>
        <w:ind w:firstLine="472"/>
        <w:rPr>
          <w:rFonts w:hint="eastAsia"/>
          <w:color w:val="auto"/>
          <w:lang w:eastAsia="zh-CN"/>
        </w:rPr>
      </w:pPr>
      <w:r>
        <w:rPr>
          <w:rFonts w:hint="eastAsia"/>
          <w:color w:val="auto"/>
          <w:lang w:eastAsia="zh-CN"/>
        </w:rPr>
        <w:t>├────────────┼─────────┤</w:t>
      </w:r>
    </w:p>
    <w:p>
      <w:pPr>
        <w:ind w:firstLine="472"/>
        <w:rPr>
          <w:rFonts w:hint="eastAsia"/>
          <w:color w:val="auto"/>
          <w:lang w:eastAsia="zh-CN"/>
        </w:rPr>
      </w:pPr>
      <w:r>
        <w:rPr>
          <w:rFonts w:hint="eastAsia"/>
          <w:color w:val="auto"/>
          <w:lang w:eastAsia="zh-CN"/>
        </w:rPr>
        <w:t>│　　其他行业　　　　　　│　　10—30　　　　│</w:t>
      </w:r>
    </w:p>
    <w:p>
      <w:pPr>
        <w:ind w:firstLine="472"/>
        <w:rPr>
          <w:rFonts w:hint="eastAsia"/>
          <w:color w:val="auto"/>
          <w:lang w:eastAsia="zh-CN"/>
        </w:rPr>
      </w:pPr>
      <w:r>
        <w:rPr>
          <w:rFonts w:hint="eastAsia"/>
          <w:color w:val="auto"/>
          <w:lang w:eastAsia="zh-CN"/>
        </w:rPr>
        <w:t>└────────────┴─────────┘</w:t>
      </w:r>
    </w:p>
    <w:p>
      <w:pPr>
        <w:ind w:firstLine="472"/>
        <w:rPr>
          <w:rFonts w:hint="eastAsia"/>
          <w:color w:val="auto"/>
          <w:lang w:eastAsia="zh-CN"/>
        </w:rPr>
      </w:pPr>
      <w:r>
        <w:rPr>
          <w:rFonts w:hint="eastAsia"/>
          <w:color w:val="auto"/>
          <w:lang w:eastAsia="zh-CN"/>
        </w:rPr>
        <w:t>　　企业经营多业的，无论其经营项目是否单独核算，均应根据其主营项目确定其适用的应税所得率</w:t>
      </w:r>
    </w:p>
    <w:p>
      <w:pPr>
        <w:ind w:firstLine="944" w:firstLineChars="400"/>
        <w:rPr>
          <w:rFonts w:hint="eastAsia"/>
          <w:color w:val="auto"/>
          <w:lang w:eastAsia="zh-CN"/>
        </w:rPr>
      </w:pPr>
      <w:r>
        <w:rPr>
          <w:rFonts w:hint="eastAsia"/>
          <w:color w:val="auto"/>
          <w:lang w:eastAsia="zh-CN"/>
        </w:rPr>
        <w:t>第十条实行核定征税的投资者，不能享受个人所得税的优惠政策。”</w:t>
      </w:r>
    </w:p>
    <w:p>
      <w:pPr>
        <w:ind w:firstLine="472"/>
        <w:rPr>
          <w:rFonts w:hint="eastAsia" w:eastAsia="宋体"/>
          <w:color w:val="auto"/>
          <w:lang w:eastAsia="zh-CN"/>
        </w:rPr>
      </w:pPr>
      <w:r>
        <w:rPr>
          <w:rFonts w:hint="eastAsia"/>
          <w:color w:val="auto"/>
        </w:rPr>
        <w:t>5.《国家税务总局关于印发个体工商户税收定期定额征收管理文书的通知》（国税函〔2006〕1199号）全文</w:t>
      </w:r>
    </w:p>
    <w:p>
      <w:pPr>
        <w:ind w:firstLine="472"/>
        <w:rPr>
          <w:rFonts w:hint="eastAsia"/>
          <w:color w:val="auto"/>
        </w:rPr>
      </w:pPr>
      <w:r>
        <w:rPr>
          <w:rFonts w:hint="eastAsia"/>
          <w:color w:val="auto"/>
        </w:rPr>
        <w:t>6.《国家税务总局关于个体工商户定期定额征收管理有关问题的通知》（国税发〔2006〕183号）全文</w:t>
      </w:r>
    </w:p>
    <w:p>
      <w:pPr>
        <w:ind w:firstLine="472"/>
        <w:rPr>
          <w:rFonts w:hint="eastAsia" w:eastAsia="宋体"/>
          <w:color w:val="auto"/>
          <w:lang w:eastAsia="zh-CN"/>
        </w:rPr>
      </w:pPr>
      <w:r>
        <w:rPr>
          <w:rFonts w:hint="eastAsia"/>
          <w:color w:val="auto"/>
        </w:rPr>
        <w:t>7.《国家税务总局关于个体工商户、个人独资企业和合伙企业个人所得税问题的公告》（国家税务总局公告2014年第25号）全文</w:t>
      </w:r>
    </w:p>
    <w:p>
      <w:pPr>
        <w:ind w:firstLine="472"/>
        <w:rPr>
          <w:rFonts w:hint="eastAsia"/>
          <w:color w:val="auto"/>
        </w:rPr>
      </w:pPr>
      <w:r>
        <w:rPr>
          <w:rFonts w:hint="eastAsia"/>
          <w:color w:val="auto"/>
        </w:rPr>
        <w:t>8.《国家税务总局关于修订个体工商户税收定期定额征收管理文书的公告》（国家税务总局公告2016年第56号）全文</w:t>
      </w:r>
    </w:p>
    <w:p>
      <w:pPr>
        <w:ind w:firstLine="472"/>
        <w:rPr>
          <w:rFonts w:hint="eastAsia"/>
          <w:color w:val="auto"/>
        </w:rPr>
      </w:pPr>
      <w:r>
        <w:rPr>
          <w:rFonts w:hint="eastAsia"/>
          <w:color w:val="auto"/>
        </w:rPr>
        <w:t>9.《个体工商户建账管理暂行办法》全文</w:t>
      </w:r>
    </w:p>
    <w:p>
      <w:pPr>
        <w:ind w:firstLine="472"/>
        <w:rPr>
          <w:color w:val="auto"/>
        </w:rPr>
      </w:pPr>
      <w:r>
        <w:rPr>
          <w:rFonts w:hint="eastAsia"/>
          <w:color w:val="auto"/>
        </w:rPr>
        <w:t>10.《国家税务总局关于修订个体工商户定额信息采集相关文书的公告》（国家税务总局公告2018年第36号）全文</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tcBorders>
              <w:top w:val="single" w:color="auto" w:sz="12" w:space="0"/>
            </w:tcBorders>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tcBorders>
              <w:top w:val="single" w:color="auto" w:sz="12" w:space="0"/>
            </w:tcBorders>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tcBorders>
              <w:top w:val="single" w:color="auto" w:sz="12" w:space="0"/>
            </w:tcBorders>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tcBorders>
              <w:top w:val="single" w:color="auto" w:sz="12" w:space="0"/>
            </w:tcBorders>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tcBorders>
              <w:top w:val="single" w:color="auto" w:sz="12" w:space="0"/>
            </w:tcBorders>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tcBorders>
              <w:top w:val="single" w:color="auto" w:sz="12" w:space="0"/>
            </w:tcBorders>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tcBorders>
              <w:top w:val="single" w:color="auto" w:sz="12" w:space="0"/>
            </w:tcBorders>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vAlign w:val="center"/>
          </w:tcPr>
          <w:p>
            <w:pPr>
              <w:pStyle w:val="13"/>
              <w:widowControl/>
              <w:spacing w:beforeAutospacing="0" w:afterAutospacing="0" w:line="280" w:lineRule="exact"/>
              <w:ind w:firstLine="352" w:firstLineChars="0"/>
              <w:rPr>
                <w:rFonts w:cs="宋体"/>
                <w:color w:val="auto"/>
                <w:kern w:val="0"/>
                <w:sz w:val="18"/>
                <w:szCs w:val="18"/>
              </w:rPr>
            </w:pPr>
            <w:r>
              <w:rPr>
                <w:rFonts w:ascii="宋体" w:hAnsi="宋体" w:eastAsia="宋体" w:cs="微软雅黑"/>
                <w:color w:val="auto"/>
                <w:sz w:val="18"/>
                <w:szCs w:val="18"/>
              </w:rPr>
              <w:t>1</w:t>
            </w:r>
          </w:p>
        </w:tc>
        <w:tc>
          <w:tcPr>
            <w:tcW w:w="2551" w:type="dxa"/>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《个体工商户定额核定审批表》</w:t>
            </w:r>
          </w:p>
        </w:tc>
        <w:tc>
          <w:tcPr>
            <w:tcW w:w="709" w:type="dxa"/>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2</w:t>
            </w:r>
          </w:p>
        </w:tc>
        <w:tc>
          <w:tcPr>
            <w:tcW w:w="992"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r>
              <w:rPr>
                <w:rFonts w:cs="宋体"/>
                <w:color w:val="auto"/>
                <w:kern w:val="0"/>
                <w:sz w:val="18"/>
                <w:szCs w:val="18"/>
              </w:rPr>
              <w:t>1</w:t>
            </w:r>
            <w:r>
              <w:rPr>
                <w:rFonts w:hint="eastAsia" w:cs="宋体"/>
                <w:color w:val="auto"/>
                <w:kern w:val="0"/>
                <w:sz w:val="18"/>
                <w:szCs w:val="18"/>
              </w:rPr>
              <w:t>份</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vAlign w:val="center"/>
          </w:tcPr>
          <w:p>
            <w:pPr>
              <w:pStyle w:val="13"/>
              <w:widowControl/>
              <w:spacing w:beforeAutospacing="0" w:afterAutospacing="0" w:line="280" w:lineRule="exact"/>
              <w:ind w:firstLine="352" w:firstLineChars="0"/>
              <w:rPr>
                <w:rFonts w:cs="宋体"/>
                <w:color w:val="auto"/>
                <w:kern w:val="0"/>
                <w:sz w:val="18"/>
                <w:szCs w:val="18"/>
              </w:rPr>
            </w:pPr>
            <w:r>
              <w:rPr>
                <w:rFonts w:ascii="宋体" w:hAnsi="宋体" w:eastAsia="宋体" w:cs="微软雅黑"/>
                <w:color w:val="auto"/>
                <w:sz w:val="18"/>
                <w:szCs w:val="18"/>
              </w:rPr>
              <w:t>2</w:t>
            </w:r>
          </w:p>
        </w:tc>
        <w:tc>
          <w:tcPr>
            <w:tcW w:w="2551" w:type="dxa"/>
            <w:vAlign w:val="center"/>
          </w:tcPr>
          <w:p>
            <w:pPr>
              <w:widowControl/>
              <w:spacing w:line="280" w:lineRule="exact"/>
              <w:ind w:firstLine="0" w:firstLineChars="0"/>
              <w:jc w:val="left"/>
              <w:rPr>
                <w:rFonts w:cs="宋体"/>
                <w:color w:val="auto"/>
                <w:kern w:val="0"/>
                <w:sz w:val="18"/>
                <w:szCs w:val="18"/>
              </w:rPr>
            </w:pPr>
            <w:r>
              <w:rPr>
                <w:rFonts w:hint="eastAsia" w:cs="Arial"/>
                <w:color w:val="auto"/>
                <w:spacing w:val="-2"/>
                <w:sz w:val="18"/>
                <w:szCs w:val="18"/>
              </w:rPr>
              <w:t>《商业健康保险税前扣除情况明细表》</w:t>
            </w:r>
          </w:p>
        </w:tc>
        <w:tc>
          <w:tcPr>
            <w:tcW w:w="709"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条件报送</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购买符合规定的商业健康保险产品时</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tcBorders>
              <w:bottom w:val="single" w:color="auto" w:sz="12" w:space="0"/>
            </w:tcBorders>
            <w:vAlign w:val="center"/>
          </w:tcPr>
          <w:p>
            <w:pPr>
              <w:pStyle w:val="13"/>
              <w:widowControl/>
              <w:spacing w:beforeAutospacing="0" w:afterAutospacing="0" w:line="280" w:lineRule="exact"/>
              <w:ind w:firstLine="352" w:firstLineChars="0"/>
              <w:rPr>
                <w:rFonts w:cs="宋体"/>
                <w:color w:val="auto"/>
                <w:kern w:val="0"/>
                <w:sz w:val="18"/>
                <w:szCs w:val="18"/>
              </w:rPr>
            </w:pPr>
            <w:r>
              <w:rPr>
                <w:rFonts w:ascii="宋体" w:hAnsi="宋体" w:eastAsia="宋体" w:cs="微软雅黑"/>
                <w:color w:val="auto"/>
                <w:sz w:val="18"/>
                <w:szCs w:val="18"/>
              </w:rPr>
              <w:t>3</w:t>
            </w:r>
          </w:p>
        </w:tc>
        <w:tc>
          <w:tcPr>
            <w:tcW w:w="2551" w:type="dxa"/>
            <w:tcBorders>
              <w:bottom w:val="single" w:color="auto" w:sz="12" w:space="0"/>
            </w:tcBorders>
            <w:vAlign w:val="center"/>
          </w:tcPr>
          <w:p>
            <w:pPr>
              <w:widowControl/>
              <w:spacing w:line="280" w:lineRule="exact"/>
              <w:ind w:firstLine="0" w:firstLineChars="0"/>
              <w:jc w:val="left"/>
              <w:rPr>
                <w:rFonts w:hint="eastAsia" w:cs="宋体"/>
                <w:color w:val="auto"/>
                <w:kern w:val="0"/>
                <w:sz w:val="18"/>
                <w:szCs w:val="18"/>
              </w:rPr>
            </w:pPr>
            <w:r>
              <w:rPr>
                <w:rFonts w:hint="eastAsia" w:cs="Arial"/>
                <w:color w:val="auto"/>
                <w:spacing w:val="-2"/>
                <w:sz w:val="18"/>
                <w:szCs w:val="18"/>
              </w:rPr>
              <w:t>《个人税收递延型商业养老保险税前扣除情况明细表》</w:t>
            </w:r>
          </w:p>
        </w:tc>
        <w:tc>
          <w:tcPr>
            <w:tcW w:w="709" w:type="dxa"/>
            <w:tcBorders>
              <w:bottom w:val="single" w:color="auto" w:sz="12" w:space="0"/>
            </w:tcBorders>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tcBorders>
              <w:bottom w:val="single" w:color="auto" w:sz="12" w:space="0"/>
            </w:tcBorders>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条件报送</w:t>
            </w:r>
          </w:p>
        </w:tc>
        <w:tc>
          <w:tcPr>
            <w:tcW w:w="1134" w:type="dxa"/>
            <w:tcBorders>
              <w:bottom w:val="single" w:color="auto" w:sz="12" w:space="0"/>
            </w:tcBorders>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购买符合规定的养老保险产品时</w:t>
            </w:r>
          </w:p>
        </w:tc>
        <w:tc>
          <w:tcPr>
            <w:tcW w:w="1134" w:type="dxa"/>
            <w:tcBorders>
              <w:bottom w:val="single" w:color="auto" w:sz="12" w:space="0"/>
            </w:tcBorders>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税务机关留存</w:t>
            </w:r>
          </w:p>
        </w:tc>
        <w:tc>
          <w:tcPr>
            <w:tcW w:w="1134" w:type="dxa"/>
            <w:tcBorders>
              <w:bottom w:val="single" w:color="auto" w:sz="12" w:space="0"/>
            </w:tcBorders>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bl>
    <w:p>
      <w:pPr>
        <w:pStyle w:val="3"/>
        <w:ind w:firstLine="552"/>
        <w:rPr>
          <w:color w:val="auto"/>
        </w:rPr>
      </w:pPr>
      <w:r>
        <w:rPr>
          <w:rFonts w:hint="eastAsia"/>
          <w:color w:val="auto"/>
        </w:rPr>
        <w:t>六、办理流程</w:t>
      </w:r>
    </w:p>
    <w:p>
      <w:pPr>
        <w:spacing w:line="240" w:lineRule="auto"/>
        <w:ind w:left="472" w:firstLine="0" w:firstLineChars="0"/>
        <w:rPr>
          <w:color w:val="auto"/>
        </w:rPr>
      </w:pPr>
      <w:r>
        <w:rPr>
          <w:color w:val="auto"/>
        </w:rPr>
        <w:object>
          <v:shape id="_x0000_i1158" o:spt="75" type="#_x0000_t75" style="height:157.65pt;width:469.55pt;" o:ole="t" filled="f" o:preferrelative="t" stroked="f" coordsize="21600,21600">
            <v:path/>
            <v:fill on="f" focussize="0,0"/>
            <v:stroke on="f"/>
            <v:imagedata r:id="rId11" o:title=""/>
            <o:lock v:ext="edit" aspectratio="t"/>
            <w10:wrap type="none"/>
            <w10:anchorlock/>
          </v:shape>
          <o:OLEObject Type="Embed" ProgID="Visio.Drawing.11" ShapeID="_x0000_i1158" DrawAspect="Content" ObjectID="_1468075725" r:id="rId10">
            <o:LockedField>false</o:LockedField>
          </o:OLEObject>
        </w:object>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w:t>
      </w:r>
    </w:p>
    <w:p>
      <w:pPr>
        <w:pStyle w:val="3"/>
        <w:ind w:firstLine="552"/>
        <w:rPr>
          <w:color w:val="auto"/>
        </w:rPr>
      </w:pPr>
      <w:r>
        <w:rPr>
          <w:rFonts w:hint="eastAsia"/>
          <w:color w:val="auto"/>
        </w:rPr>
        <w:t>八、表证单书</w:t>
      </w:r>
    </w:p>
    <w:p>
      <w:pPr>
        <w:ind w:firstLine="472"/>
        <w:rPr>
          <w:rFonts w:hint="eastAsia"/>
          <w:color w:val="auto"/>
        </w:rPr>
      </w:pPr>
      <w:r>
        <w:rPr>
          <w:color w:val="auto"/>
        </w:rPr>
        <w:t>1.</w:t>
      </w:r>
      <w:r>
        <w:rPr>
          <w:rFonts w:hint="eastAsia"/>
          <w:color w:val="auto"/>
        </w:rPr>
        <w:t>A07108《个体工商户定额核定审批表》</w:t>
      </w:r>
    </w:p>
    <w:p>
      <w:pPr>
        <w:ind w:firstLine="472"/>
        <w:rPr>
          <w:rFonts w:hint="eastAsia"/>
          <w:color w:val="auto"/>
          <w:lang w:val="en-US" w:eastAsia="zh-CN"/>
        </w:rPr>
      </w:pPr>
      <w:r>
        <w:rPr>
          <w:rFonts w:hint="eastAsia"/>
          <w:color w:val="auto"/>
          <w:lang w:val="en-US" w:eastAsia="zh-CN"/>
        </w:rPr>
        <w:t>2.A06729《商业健康保险税前扣除情况明细表》</w:t>
      </w:r>
    </w:p>
    <w:p>
      <w:pPr>
        <w:ind w:firstLine="472"/>
        <w:rPr>
          <w:rFonts w:hint="eastAsia"/>
          <w:color w:val="auto"/>
          <w:lang w:val="en-US" w:eastAsia="zh-CN"/>
        </w:rPr>
      </w:pPr>
      <w:r>
        <w:rPr>
          <w:rFonts w:hint="eastAsia"/>
          <w:color w:val="auto"/>
          <w:lang w:val="en-US" w:eastAsia="zh-CN"/>
        </w:rPr>
        <w:t>3.A06844《个人税收递延型商业养老保险税前扣除情况明细表》</w:t>
      </w:r>
    </w:p>
    <w:p>
      <w:pPr>
        <w:pStyle w:val="3"/>
        <w:ind w:firstLine="552"/>
        <w:rPr>
          <w:color w:val="auto"/>
        </w:rPr>
      </w:pPr>
      <w:r>
        <w:rPr>
          <w:rFonts w:hint="eastAsia"/>
          <w:color w:val="auto"/>
        </w:rPr>
        <w:t>九、注意事项</w:t>
      </w:r>
    </w:p>
    <w:p>
      <w:pPr>
        <w:ind w:firstLine="472"/>
        <w:rPr>
          <w:rFonts w:hint="eastAsia"/>
          <w:color w:val="auto"/>
        </w:rPr>
      </w:pPr>
      <w:r>
        <w:rPr>
          <w:color w:val="auto"/>
        </w:rPr>
        <w:t>1.</w:t>
      </w:r>
      <w:r>
        <w:rPr>
          <w:rFonts w:hint="eastAsia"/>
          <w:color w:val="auto"/>
        </w:rPr>
        <w:t>纳税人首次申请定税时，必须采用计算机核定定额的方法。对于采取计算机核定定额的个体工商户，应在《个体工商户定额信息采集表》中采集定额要素，然后通过计算机进行定额数据生成。</w:t>
      </w:r>
    </w:p>
    <w:p>
      <w:pPr>
        <w:ind w:firstLine="472"/>
        <w:rPr>
          <w:rFonts w:hint="eastAsia"/>
          <w:color w:val="auto"/>
        </w:rPr>
      </w:pPr>
      <w:r>
        <w:rPr>
          <w:rFonts w:hint="eastAsia"/>
          <w:color w:val="auto"/>
        </w:rPr>
        <w:t>2.在计算机核定定额后，税务机关可进行人工核定、调整和确定定额。人工核定可以调整计算机核定的月应纳税销售（营业）额和月应纳税收益额。人工核定依据下列方法中的一种或两种以上方法进行人工核定、修改计算机核定的定额：</w:t>
      </w:r>
    </w:p>
    <w:p>
      <w:pPr>
        <w:ind w:firstLine="472"/>
        <w:rPr>
          <w:rFonts w:hint="eastAsia"/>
          <w:color w:val="auto"/>
        </w:rPr>
      </w:pPr>
      <w:r>
        <w:rPr>
          <w:rFonts w:hint="eastAsia"/>
          <w:color w:val="auto"/>
        </w:rPr>
        <w:t>（1）按照耗用的原材料、燃料、动力等推算或者测算核定。</w:t>
      </w:r>
    </w:p>
    <w:p>
      <w:pPr>
        <w:ind w:firstLine="472"/>
        <w:rPr>
          <w:rFonts w:hint="eastAsia"/>
          <w:color w:val="auto"/>
        </w:rPr>
      </w:pPr>
      <w:r>
        <w:rPr>
          <w:rFonts w:hint="eastAsia"/>
          <w:color w:val="auto"/>
        </w:rPr>
        <w:t>（2）按照成本加合理的费用和利润的方法核定。</w:t>
      </w:r>
    </w:p>
    <w:p>
      <w:pPr>
        <w:ind w:firstLine="472"/>
        <w:rPr>
          <w:rFonts w:hint="eastAsia"/>
          <w:color w:val="auto"/>
        </w:rPr>
      </w:pPr>
      <w:r>
        <w:rPr>
          <w:rFonts w:hint="eastAsia"/>
          <w:color w:val="auto"/>
        </w:rPr>
        <w:t>（3）按照盘点库存情况推算或者测算核定。</w:t>
      </w:r>
    </w:p>
    <w:p>
      <w:pPr>
        <w:ind w:firstLine="472"/>
        <w:rPr>
          <w:rFonts w:hint="eastAsia"/>
          <w:color w:val="auto"/>
        </w:rPr>
      </w:pPr>
      <w:r>
        <w:rPr>
          <w:rFonts w:hint="eastAsia"/>
          <w:color w:val="auto"/>
        </w:rPr>
        <w:t>（4）按照发票和相关凭据核定。</w:t>
      </w:r>
    </w:p>
    <w:p>
      <w:pPr>
        <w:ind w:firstLine="472"/>
        <w:rPr>
          <w:rFonts w:hint="eastAsia"/>
          <w:color w:val="auto"/>
        </w:rPr>
      </w:pPr>
      <w:r>
        <w:rPr>
          <w:rFonts w:hint="eastAsia"/>
          <w:color w:val="auto"/>
        </w:rPr>
        <w:t>（5）按照银行经营账户资金往来情况测算核定。</w:t>
      </w:r>
    </w:p>
    <w:p>
      <w:pPr>
        <w:ind w:firstLine="472"/>
        <w:rPr>
          <w:rFonts w:hint="eastAsia"/>
          <w:color w:val="auto"/>
        </w:rPr>
      </w:pPr>
      <w:r>
        <w:rPr>
          <w:rFonts w:hint="eastAsia"/>
          <w:color w:val="auto"/>
        </w:rPr>
        <w:t>（6）参照同类行业或类似行业中同规模、同区域纳税人的生产、经营情况核定。</w:t>
      </w:r>
    </w:p>
    <w:p>
      <w:pPr>
        <w:ind w:firstLine="472"/>
        <w:rPr>
          <w:rFonts w:hint="eastAsia"/>
          <w:color w:val="auto"/>
        </w:rPr>
      </w:pPr>
      <w:r>
        <w:rPr>
          <w:rFonts w:hint="eastAsia"/>
          <w:color w:val="auto"/>
        </w:rPr>
        <w:t>（7）按照其他合理方法核定。</w:t>
      </w:r>
    </w:p>
    <w:p>
      <w:pPr>
        <w:ind w:firstLine="472"/>
        <w:rPr>
          <w:rFonts w:hint="eastAsia"/>
          <w:color w:val="auto"/>
        </w:rPr>
      </w:pPr>
      <w:r>
        <w:rPr>
          <w:rFonts w:hint="eastAsia"/>
          <w:color w:val="auto"/>
        </w:rPr>
        <w:t>3.定期定额纳税人按季核定定额，定额执行期最长不得超过一年。定额执行期间，纳税人达到建账条件，申请查账征收的，可提前终止核定执行期。</w:t>
      </w:r>
    </w:p>
    <w:p>
      <w:pPr>
        <w:ind w:firstLine="472"/>
        <w:rPr>
          <w:rFonts w:hint="eastAsia"/>
          <w:color w:val="auto"/>
        </w:rPr>
      </w:pPr>
      <w:r>
        <w:rPr>
          <w:rFonts w:hint="eastAsia"/>
          <w:color w:val="auto"/>
        </w:rPr>
        <w:t>4.自2019年1月1日起，增值税小规模纳税人起征点由按月3万元(按季纳税9万元)，调整为按月10万元（按季纳税30万元），“货物及劳务”“服务、不动产和无形资产”列销售额不再分别计算，以合计数来确定是否享受免征增值税政策。</w:t>
      </w:r>
    </w:p>
    <w:p>
      <w:pPr>
        <w:ind w:firstLine="472"/>
        <w:rPr>
          <w:color w:val="auto"/>
        </w:rPr>
      </w:pPr>
      <w:r>
        <w:rPr>
          <w:rFonts w:hint="eastAsia"/>
          <w:color w:val="auto"/>
        </w:rPr>
        <w:t>5.税务机关可以对已提交定额核定申请并采集了的纳税人批量进行定额生成、人工调整、公示、核准，通过《个体工商户定额核定汇总审批表》汇总审核批准。</w:t>
      </w:r>
    </w:p>
    <w:p>
      <w:pPr>
        <w:ind w:firstLine="472"/>
        <w:rPr>
          <w:color w:val="auto"/>
        </w:rPr>
      </w:pPr>
      <w:r>
        <w:rPr>
          <w:rFonts w:hint="eastAsia"/>
          <w:color w:val="auto"/>
          <w:lang w:val="en-US" w:eastAsia="zh-CN"/>
        </w:rPr>
        <w:t>6</w:t>
      </w:r>
      <w:r>
        <w:rPr>
          <w:color w:val="auto"/>
        </w:rPr>
        <w:t>.</w:t>
      </w:r>
      <w:r>
        <w:rPr>
          <w:rFonts w:hint="eastAsia"/>
          <w:color w:val="auto"/>
        </w:rPr>
        <w:t>纳税人对报送资料的真实性和合法性承担责任。</w:t>
      </w:r>
    </w:p>
    <w:p>
      <w:pPr>
        <w:ind w:firstLine="472"/>
        <w:jc w:val="left"/>
        <w:rPr>
          <w:rFonts w:hint="eastAsia"/>
          <w:color w:val="auto"/>
        </w:rPr>
      </w:pPr>
      <w:r>
        <w:rPr>
          <w:rFonts w:hint="eastAsia"/>
          <w:color w:val="auto"/>
          <w:lang w:val="en-US" w:eastAsia="zh-CN"/>
        </w:rPr>
        <w:t>7</w:t>
      </w:r>
      <w:r>
        <w:rPr>
          <w:color w:val="auto"/>
        </w:rPr>
        <w:t>.</w:t>
      </w:r>
      <w:r>
        <w:rPr>
          <w:rFonts w:hint="eastAsia"/>
          <w:color w:val="auto"/>
        </w:rPr>
        <w:t>最多跑一次是在资料完整且符合法定受理条件的前提下，最多只需要到税务机关跑一次。</w:t>
      </w:r>
    </w:p>
    <w:p>
      <w:pPr>
        <w:ind w:firstLine="472"/>
        <w:jc w:val="left"/>
        <w:rPr>
          <w:rFonts w:hint="eastAsia"/>
          <w:color w:val="auto"/>
        </w:rPr>
      </w:pPr>
      <w:r>
        <w:rPr>
          <w:rFonts w:hint="eastAsia"/>
          <w:color w:val="auto"/>
          <w:lang w:val="en-US" w:eastAsia="zh-CN"/>
        </w:rPr>
        <w:t>8</w:t>
      </w:r>
      <w:r>
        <w:rPr>
          <w:rFonts w:hint="eastAsia"/>
          <w:color w:val="auto"/>
        </w:rPr>
        <w:t>.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F0F5684"/>
    <w:multiLevelType w:val="singleLevel"/>
    <w:tmpl w:val="CF0F5684"/>
    <w:lvl w:ilvl="0" w:tentative="0">
      <w:start w:val="3"/>
      <w:numFmt w:val="chineseCounting"/>
      <w:suff w:val="nothing"/>
      <w:lvlText w:val="%1、"/>
      <w:lvlJc w:val="left"/>
      <w:rPr>
        <w:rFonts w:hint="eastAsia"/>
      </w:rPr>
    </w:lvl>
  </w:abstractNum>
  <w:abstractNum w:abstractNumId="1">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2">
    <w:nsid w:val="5A826909"/>
    <w:multiLevelType w:val="multilevel"/>
    <w:tmpl w:val="5A826909"/>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3">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3"/>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80A0C49"/>
    <w:rsid w:val="695D302A"/>
    <w:rsid w:val="6AD13263"/>
    <w:rsid w:val="6D0B62B6"/>
    <w:rsid w:val="6D1A3B55"/>
    <w:rsid w:val="6DAA4EC2"/>
    <w:rsid w:val="6DEC482F"/>
    <w:rsid w:val="6E254F50"/>
    <w:rsid w:val="6F025CB3"/>
    <w:rsid w:val="6F373310"/>
    <w:rsid w:val="6FBE1A57"/>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74</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2019-10-31T05:07:51Z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