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0476"/>
      <w:r>
        <w:rPr>
          <w:rFonts w:hint="eastAsia" w:ascii="黑体" w:hAnsi="黑体"/>
          <w:color w:val="auto"/>
        </w:rPr>
        <w:t>1.3.4.2.2</w:t>
      </w:r>
      <w:r>
        <w:rPr>
          <w:rFonts w:hint="eastAsia"/>
          <w:color w:val="auto"/>
        </w:rPr>
        <w:t>居民分类所得个人所得税自行申报</w:t>
      </w:r>
      <w:bookmarkEnd w:id="0"/>
    </w:p>
    <w:p>
      <w:pPr>
        <w:pStyle w:val="3"/>
        <w:ind w:firstLine="552"/>
        <w:rPr>
          <w:color w:val="auto"/>
        </w:rPr>
      </w:pPr>
      <w:r>
        <w:rPr>
          <w:color w:val="auto"/>
        </w:rPr>
        <w:t>一、事项名称</w:t>
      </w:r>
    </w:p>
    <w:p>
      <w:pPr>
        <w:ind w:firstLine="472"/>
        <w:rPr>
          <w:rFonts w:hint="default" w:ascii="宋体" w:hAnsi="宋体" w:eastAsia="宋体" w:cs="Times New Roman"/>
          <w:bCs w:val="0"/>
          <w:color w:val="auto"/>
          <w:kern w:val="2"/>
          <w:sz w:val="24"/>
          <w:szCs w:val="22"/>
          <w:lang w:val="en-US" w:eastAsia="zh-CN" w:bidi="ar-SA"/>
        </w:rPr>
      </w:pPr>
      <w:r>
        <w:rPr>
          <w:rFonts w:hint="default" w:ascii="宋体" w:hAnsi="宋体" w:eastAsia="宋体" w:cs="Times New Roman"/>
          <w:bCs w:val="0"/>
          <w:color w:val="auto"/>
          <w:kern w:val="2"/>
          <w:sz w:val="24"/>
          <w:szCs w:val="22"/>
          <w:lang w:val="en-US" w:eastAsia="zh-CN" w:bidi="ar-SA"/>
        </w:rPr>
        <w:t>居民分类所得个人所得税自行申报</w:t>
      </w:r>
    </w:p>
    <w:p>
      <w:pPr>
        <w:pStyle w:val="3"/>
        <w:ind w:firstLine="552"/>
        <w:rPr>
          <w:color w:val="auto"/>
        </w:rPr>
      </w:pPr>
      <w:r>
        <w:rPr>
          <w:color w:val="auto"/>
        </w:rPr>
        <w:t>二、事项类别</w:t>
      </w:r>
    </w:p>
    <w:p>
      <w:pPr>
        <w:pStyle w:val="47"/>
        <w:numPr>
          <w:ilvl w:val="0"/>
          <w:numId w:val="3"/>
        </w:numPr>
        <w:ind w:firstLineChars="0"/>
        <w:rPr>
          <w:rFonts w:hint="eastAsia"/>
          <w:color w:val="auto"/>
        </w:rPr>
      </w:pPr>
      <w:r>
        <w:rPr>
          <w:rFonts w:hint="eastAsia"/>
          <w:color w:val="auto"/>
        </w:rPr>
        <w:t>发起方式：人工发起（纳税人）</w:t>
      </w:r>
    </w:p>
    <w:p>
      <w:pPr>
        <w:pStyle w:val="47"/>
        <w:numPr>
          <w:ilvl w:val="0"/>
          <w:numId w:val="3"/>
        </w:numPr>
        <w:ind w:firstLineChars="0"/>
        <w:rPr>
          <w:rFonts w:hint="eastAsia"/>
          <w:color w:val="auto"/>
        </w:rPr>
      </w:pPr>
      <w:r>
        <w:rPr>
          <w:rFonts w:hint="eastAsia"/>
          <w:color w:val="auto"/>
        </w:rPr>
        <w:t>办结方式：即办</w:t>
      </w:r>
    </w:p>
    <w:p>
      <w:pPr>
        <w:pStyle w:val="47"/>
        <w:numPr>
          <w:ilvl w:val="0"/>
          <w:numId w:val="3"/>
        </w:numPr>
        <w:ind w:firstLineChars="0"/>
        <w:rPr>
          <w:rFonts w:hint="eastAsia"/>
          <w:color w:val="auto"/>
        </w:rPr>
      </w:pPr>
      <w:r>
        <w:rPr>
          <w:rFonts w:hint="eastAsia"/>
          <w:color w:val="auto"/>
        </w:rPr>
        <w:t>全省通办：是</w:t>
      </w:r>
    </w:p>
    <w:p>
      <w:pPr>
        <w:pStyle w:val="47"/>
        <w:numPr>
          <w:ilvl w:val="0"/>
          <w:numId w:val="3"/>
        </w:numPr>
        <w:ind w:firstLineChars="0"/>
        <w:rPr>
          <w:rFonts w:hint="eastAsia"/>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spacing w:line="578" w:lineRule="exact"/>
        <w:ind w:firstLine="472" w:firstLineChars="200"/>
        <w:rPr>
          <w:rFonts w:ascii="宋体" w:hAnsi="宋体" w:cs="Times New Roman"/>
          <w:color w:val="auto"/>
          <w:sz w:val="24"/>
        </w:rPr>
      </w:pPr>
      <w:r>
        <w:rPr>
          <w:rFonts w:hint="eastAsia" w:ascii="宋体" w:hAnsi="宋体" w:cs="Times New Roman"/>
          <w:color w:val="auto"/>
          <w:sz w:val="24"/>
        </w:rPr>
        <w:t>纳税人取得利息、股息、红利所得，财产租赁所得，财产转让所得，偶然所得但没有扣缴义务人的，或者有扣缴义务人但未扣缴税款的，以及国务院规定的其他情形，应依照税收法律、法规、规章及其他有关规定，在规定的纳税期限内就其个人所得向主管税务机关申报并缴纳税款。</w:t>
      </w:r>
    </w:p>
    <w:p>
      <w:pPr>
        <w:spacing w:line="578" w:lineRule="exact"/>
        <w:ind w:firstLine="472" w:firstLineChars="200"/>
        <w:rPr>
          <w:rFonts w:ascii="宋体" w:hAnsi="宋体" w:cs="Times New Roman"/>
          <w:color w:val="auto"/>
          <w:sz w:val="24"/>
        </w:rPr>
      </w:pPr>
      <w:r>
        <w:rPr>
          <w:rFonts w:hint="eastAsia" w:ascii="宋体" w:hAnsi="宋体" w:cs="Times New Roman"/>
          <w:color w:val="auto"/>
          <w:sz w:val="24"/>
        </w:rPr>
        <w:t>纳税人取得上述所得扣缴义务人未扣缴税款的，应当在取得所得的次年6月30日前，按相关规定向主管税务机关办理纳税申报，并报送《个人所得税自行纳税申报表（A表）》。税务机关通知限期缴纳的，纳税人应当按照期限缴纳税款。</w:t>
      </w:r>
    </w:p>
    <w:p>
      <w:pPr>
        <w:spacing w:line="578" w:lineRule="exact"/>
        <w:ind w:firstLine="472" w:firstLineChars="200"/>
        <w:rPr>
          <w:rFonts w:ascii="宋体" w:hAnsi="宋体" w:cs="Times New Roman"/>
          <w:color w:val="auto"/>
          <w:sz w:val="24"/>
        </w:rPr>
      </w:pPr>
      <w:r>
        <w:rPr>
          <w:rFonts w:hint="eastAsia" w:ascii="宋体" w:hAnsi="宋体" w:cs="Times New Roman"/>
          <w:color w:val="auto"/>
          <w:sz w:val="24"/>
        </w:rPr>
        <w:t>1.财产租赁所得，每次收入不超过四千元的，减除费用八百元；四千元以上的，减除百分之二十的费用，其余额为应纳税所得额。财产转让所得，以转让财产的收入额减除财产原值和合理费用后的余额，为应纳税所得额。利息、股息、红利所得和偶然所得，以每次收入额为应纳税所得额。</w:t>
      </w:r>
    </w:p>
    <w:p>
      <w:pPr>
        <w:spacing w:line="578" w:lineRule="exact"/>
        <w:ind w:firstLine="472" w:firstLineChars="200"/>
        <w:rPr>
          <w:rFonts w:ascii="宋体" w:hAnsi="宋体" w:cs="Times New Roman"/>
          <w:color w:val="auto"/>
          <w:sz w:val="24"/>
        </w:rPr>
      </w:pPr>
      <w:r>
        <w:rPr>
          <w:rFonts w:hint="eastAsia" w:ascii="宋体" w:hAnsi="宋体" w:cs="Times New Roman"/>
          <w:color w:val="auto"/>
          <w:sz w:val="24"/>
        </w:rPr>
        <w:t>2.个人将其所得对教育、扶贫、济困等公益慈善事业进行捐赠，捐赠额未超过纳税人申报的应纳税所得额百分之三十的部分，可以从其应纳税所得额中扣除；国务院规定对公益慈善事业捐赠实行全额税前扣除的，从其规定。</w:t>
      </w:r>
    </w:p>
    <w:p>
      <w:pPr>
        <w:spacing w:line="578" w:lineRule="exact"/>
        <w:ind w:firstLine="472" w:firstLineChars="200"/>
        <w:rPr>
          <w:rFonts w:ascii="宋体" w:hAnsi="宋体" w:cs="Times New Roman"/>
          <w:color w:val="auto"/>
          <w:sz w:val="24"/>
        </w:rPr>
      </w:pPr>
      <w:r>
        <w:rPr>
          <w:rFonts w:hint="eastAsia" w:ascii="宋体" w:hAnsi="宋体" w:cs="Times New Roman"/>
          <w:color w:val="auto"/>
          <w:sz w:val="24"/>
        </w:rPr>
        <w:t>3.当纳税人既存有优惠减免，又存在非居民享受税收协定待遇减免时，纳税人可以选择优惠度最高的享受减免进行申报。</w:t>
      </w:r>
    </w:p>
    <w:p>
      <w:pPr>
        <w:spacing w:line="578" w:lineRule="exact"/>
        <w:ind w:firstLine="472" w:firstLineChars="200"/>
        <w:rPr>
          <w:rFonts w:ascii="宋体" w:hAnsi="宋体" w:cs="Times New Roman"/>
          <w:color w:val="auto"/>
          <w:sz w:val="24"/>
        </w:rPr>
      </w:pPr>
      <w:r>
        <w:rPr>
          <w:rFonts w:hint="eastAsia" w:ascii="宋体" w:hAnsi="宋体" w:cs="Times New Roman"/>
          <w:color w:val="auto"/>
          <w:sz w:val="24"/>
        </w:rPr>
        <w:t>4.根据《股权转让所得个人所得税管理办法（试行）》，个人股权转让所得个人所得税以被投资企业所在地税务机关为主管税务机关。具有下列情形之一的，纳税人应当依法在次月15日内向主管税务机关申报纳税：</w:t>
      </w:r>
    </w:p>
    <w:p>
      <w:pPr>
        <w:spacing w:line="578" w:lineRule="exact"/>
        <w:ind w:firstLine="472" w:firstLineChars="200"/>
        <w:rPr>
          <w:rFonts w:ascii="宋体" w:hAnsi="宋体" w:cs="Times New Roman"/>
          <w:color w:val="auto"/>
          <w:sz w:val="24"/>
        </w:rPr>
      </w:pPr>
      <w:r>
        <w:rPr>
          <w:rFonts w:hint="eastAsia" w:ascii="宋体" w:hAnsi="宋体" w:cs="Times New Roman"/>
          <w:color w:val="auto"/>
          <w:sz w:val="24"/>
        </w:rPr>
        <w:t>（1）受让方已支付或部分支付股权转让价款的；</w:t>
      </w:r>
    </w:p>
    <w:p>
      <w:pPr>
        <w:spacing w:line="578" w:lineRule="exact"/>
        <w:ind w:firstLine="472" w:firstLineChars="200"/>
        <w:rPr>
          <w:rFonts w:ascii="宋体" w:hAnsi="宋体" w:cs="Times New Roman"/>
          <w:color w:val="auto"/>
          <w:sz w:val="24"/>
        </w:rPr>
      </w:pPr>
      <w:r>
        <w:rPr>
          <w:rFonts w:hint="eastAsia" w:ascii="宋体" w:hAnsi="宋体" w:cs="Times New Roman"/>
          <w:color w:val="auto"/>
          <w:sz w:val="24"/>
        </w:rPr>
        <w:t>（2）股权转让协议已签订生效的；</w:t>
      </w:r>
    </w:p>
    <w:p>
      <w:pPr>
        <w:spacing w:line="578" w:lineRule="exact"/>
        <w:ind w:firstLine="472" w:firstLineChars="200"/>
        <w:rPr>
          <w:rFonts w:ascii="宋体" w:hAnsi="宋体" w:cs="Times New Roman"/>
          <w:color w:val="auto"/>
          <w:sz w:val="24"/>
        </w:rPr>
      </w:pPr>
      <w:r>
        <w:rPr>
          <w:rFonts w:hint="eastAsia" w:ascii="宋体" w:hAnsi="宋体" w:cs="Times New Roman"/>
          <w:color w:val="auto"/>
          <w:sz w:val="24"/>
        </w:rPr>
        <w:t>（3）受让方已经实际履行股东职责或者享受股东权益的；</w:t>
      </w:r>
    </w:p>
    <w:p>
      <w:pPr>
        <w:spacing w:line="578" w:lineRule="exact"/>
        <w:ind w:firstLine="472" w:firstLineChars="200"/>
        <w:rPr>
          <w:rFonts w:ascii="宋体" w:hAnsi="宋体" w:cs="Times New Roman"/>
          <w:color w:val="auto"/>
          <w:sz w:val="24"/>
        </w:rPr>
      </w:pPr>
      <w:r>
        <w:rPr>
          <w:rFonts w:hint="eastAsia" w:ascii="宋体" w:hAnsi="宋体" w:cs="Times New Roman"/>
          <w:color w:val="auto"/>
          <w:sz w:val="24"/>
        </w:rPr>
        <w:t>（4）国家有关部门判决、登记或公告生效的；</w:t>
      </w:r>
    </w:p>
    <w:p>
      <w:pPr>
        <w:spacing w:line="578" w:lineRule="exact"/>
        <w:ind w:firstLine="472" w:firstLineChars="200"/>
        <w:rPr>
          <w:rFonts w:ascii="宋体" w:hAnsi="宋体" w:cs="Times New Roman"/>
          <w:color w:val="auto"/>
          <w:sz w:val="24"/>
        </w:rPr>
      </w:pPr>
      <w:r>
        <w:rPr>
          <w:rFonts w:hint="eastAsia" w:ascii="宋体" w:hAnsi="宋体" w:cs="Times New Roman"/>
          <w:color w:val="auto"/>
          <w:sz w:val="24"/>
        </w:rPr>
        <w:t>（5）本办法第三条第四至第七项行为已完成的（4、股权被司法或行政机关强制过户；（5、以股权对外投资或进行其他非货币性交易；（6、以股权抵偿债务；（7、其他股权转移行为）；对个人多次取得同一被投资企业股权的，转让部分股权时，采用“加权平均法”确定其股权原值；</w:t>
      </w:r>
    </w:p>
    <w:p>
      <w:pPr>
        <w:spacing w:line="578" w:lineRule="exact"/>
        <w:ind w:firstLine="472" w:firstLineChars="200"/>
        <w:rPr>
          <w:rFonts w:ascii="宋体" w:hAnsi="宋体" w:cs="Times New Roman"/>
          <w:color w:val="auto"/>
          <w:sz w:val="24"/>
        </w:rPr>
      </w:pPr>
      <w:r>
        <w:rPr>
          <w:rFonts w:hint="eastAsia" w:ascii="宋体" w:hAnsi="宋体" w:cs="Times New Roman"/>
          <w:color w:val="auto"/>
          <w:sz w:val="24"/>
        </w:rPr>
        <w:t>（6）税务机关认定的其他有证据表明股权已发生转移的情形。</w:t>
      </w:r>
    </w:p>
    <w:p>
      <w:pPr>
        <w:spacing w:line="578" w:lineRule="exact"/>
        <w:ind w:firstLine="472" w:firstLineChars="200"/>
        <w:rPr>
          <w:rFonts w:ascii="宋体" w:hAnsi="宋体" w:cs="Times New Roman"/>
          <w:color w:val="auto"/>
          <w:sz w:val="24"/>
        </w:rPr>
      </w:pPr>
      <w:r>
        <w:rPr>
          <w:rFonts w:hint="eastAsia" w:ascii="宋体" w:hAnsi="宋体" w:cs="Times New Roman"/>
          <w:color w:val="auto"/>
          <w:sz w:val="24"/>
        </w:rPr>
        <w:t>5.营业税改征增值税后，个人转让房屋的个人所得税应税收入不含增值税，其取得房屋时所支付价款中包含的增值税计入财产原值，计算转让所得时可扣除的税费不包括本次转让缴纳的增值税。个人出租房屋的个人所得税应税收入不含增值税，计算房屋出租所得可扣除的税费不包括本次出租缴纳的增值税。个人转租房屋的，其向房屋出租方支付的租金及增值税额，在计算转租所得时予以扣除。免征增值税的，确定计税依据时，成交价格、租金收入、转让房地产取得的收入不扣减增值税额。税务机关核定的计税价格或收入不含增值税。</w:t>
      </w:r>
    </w:p>
    <w:p>
      <w:pPr>
        <w:pStyle w:val="3"/>
        <w:ind w:firstLine="552"/>
        <w:rPr>
          <w:color w:val="auto"/>
        </w:rPr>
      </w:pPr>
      <w:r>
        <w:rPr>
          <w:rFonts w:hint="eastAsia"/>
          <w:color w:val="auto"/>
        </w:rPr>
        <w:t>四、设定依据</w:t>
      </w:r>
    </w:p>
    <w:p>
      <w:pPr>
        <w:pStyle w:val="13"/>
        <w:keepNext w:val="0"/>
        <w:keepLines w:val="0"/>
        <w:pageBreakBefore w:val="0"/>
        <w:widowControl/>
        <w:suppressLineNumbers w:val="0"/>
        <w:kinsoku/>
        <w:wordWrap w:val="0"/>
        <w:overflowPunct/>
        <w:topLinePunct w:val="0"/>
        <w:autoSpaceDE/>
        <w:autoSpaceDN/>
        <w:bidi w:val="0"/>
        <w:adjustRightInd/>
        <w:snapToGrid/>
        <w:spacing w:before="0" w:beforeLines="0" w:beforeAutospacing="0" w:after="0" w:afterLines="0" w:afterAutospacing="0" w:line="240" w:lineRule="auto"/>
        <w:ind w:firstLine="472" w:firstLineChars="200"/>
        <w:textAlignment w:val="auto"/>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1.《中华人民共和国税收征收管理法》第二十五条第一款</w:t>
      </w:r>
    </w:p>
    <w:p>
      <w:pPr>
        <w:pStyle w:val="13"/>
        <w:keepNext w:val="0"/>
        <w:keepLines w:val="0"/>
        <w:pageBreakBefore w:val="0"/>
        <w:widowControl/>
        <w:suppressLineNumbers w:val="0"/>
        <w:kinsoku/>
        <w:wordWrap w:val="0"/>
        <w:overflowPunct/>
        <w:topLinePunct w:val="0"/>
        <w:autoSpaceDE/>
        <w:autoSpaceDN/>
        <w:bidi w:val="0"/>
        <w:adjustRightInd/>
        <w:snapToGrid/>
        <w:spacing w:before="0" w:beforeLines="0" w:beforeAutospacing="0" w:after="0" w:afterLines="0" w:afterAutospacing="0" w:line="240" w:lineRule="auto"/>
        <w:ind w:firstLine="472" w:firstLineChars="200"/>
        <w:textAlignment w:val="auto"/>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pStyle w:val="13"/>
        <w:keepNext w:val="0"/>
        <w:keepLines w:val="0"/>
        <w:pageBreakBefore w:val="0"/>
        <w:widowControl/>
        <w:suppressLineNumbers w:val="0"/>
        <w:kinsoku/>
        <w:wordWrap w:val="0"/>
        <w:overflowPunct/>
        <w:topLinePunct w:val="0"/>
        <w:autoSpaceDE/>
        <w:autoSpaceDN/>
        <w:bidi w:val="0"/>
        <w:adjustRightInd/>
        <w:snapToGrid/>
        <w:spacing w:before="0" w:beforeLines="0" w:beforeAutospacing="0" w:after="0" w:afterLines="0" w:afterAutospacing="0" w:line="240" w:lineRule="auto"/>
        <w:ind w:firstLine="472" w:firstLineChars="200"/>
        <w:textAlignment w:val="auto"/>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2.《中华人民共和国个人所得税法》第二条</w:t>
      </w:r>
    </w:p>
    <w:p>
      <w:pPr>
        <w:pStyle w:val="13"/>
        <w:keepNext w:val="0"/>
        <w:keepLines w:val="0"/>
        <w:pageBreakBefore w:val="0"/>
        <w:widowControl/>
        <w:suppressLineNumbers w:val="0"/>
        <w:kinsoku/>
        <w:wordWrap w:val="0"/>
        <w:overflowPunct/>
        <w:topLinePunct w:val="0"/>
        <w:autoSpaceDE/>
        <w:autoSpaceDN/>
        <w:bidi w:val="0"/>
        <w:adjustRightInd/>
        <w:snapToGrid/>
        <w:spacing w:before="0" w:beforeLines="0" w:beforeAutospacing="0" w:after="0" w:afterLines="0" w:afterAutospacing="0" w:line="240" w:lineRule="auto"/>
        <w:ind w:firstLine="472" w:firstLineChars="200"/>
        <w:textAlignment w:val="auto"/>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“第二条下列各项个人所得，应当缴纳个人所得税：</w:t>
      </w:r>
    </w:p>
    <w:p>
      <w:pPr>
        <w:pStyle w:val="13"/>
        <w:keepNext w:val="0"/>
        <w:keepLines w:val="0"/>
        <w:pageBreakBefore w:val="0"/>
        <w:widowControl/>
        <w:suppressLineNumbers w:val="0"/>
        <w:kinsoku/>
        <w:wordWrap w:val="0"/>
        <w:overflowPunct/>
        <w:topLinePunct w:val="0"/>
        <w:autoSpaceDE/>
        <w:autoSpaceDN/>
        <w:bidi w:val="0"/>
        <w:adjustRightInd/>
        <w:snapToGrid/>
        <w:spacing w:before="0" w:beforeLines="0" w:beforeAutospacing="0" w:after="0" w:afterLines="0" w:afterAutospacing="0" w:line="240" w:lineRule="auto"/>
        <w:textAlignment w:val="auto"/>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　　（一）工资、薪金所得；</w:t>
      </w:r>
    </w:p>
    <w:p>
      <w:pPr>
        <w:pStyle w:val="13"/>
        <w:keepNext w:val="0"/>
        <w:keepLines w:val="0"/>
        <w:pageBreakBefore w:val="0"/>
        <w:widowControl/>
        <w:suppressLineNumbers w:val="0"/>
        <w:kinsoku/>
        <w:wordWrap w:val="0"/>
        <w:overflowPunct/>
        <w:topLinePunct w:val="0"/>
        <w:autoSpaceDE/>
        <w:autoSpaceDN/>
        <w:bidi w:val="0"/>
        <w:adjustRightInd/>
        <w:snapToGrid/>
        <w:spacing w:before="0" w:beforeLines="0" w:beforeAutospacing="0" w:after="0" w:afterLines="0" w:afterAutospacing="0" w:line="240" w:lineRule="auto"/>
        <w:textAlignment w:val="auto"/>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　　（二）劳务报酬所得；</w:t>
      </w:r>
    </w:p>
    <w:p>
      <w:pPr>
        <w:pStyle w:val="13"/>
        <w:keepNext w:val="0"/>
        <w:keepLines w:val="0"/>
        <w:pageBreakBefore w:val="0"/>
        <w:widowControl/>
        <w:suppressLineNumbers w:val="0"/>
        <w:kinsoku/>
        <w:wordWrap w:val="0"/>
        <w:overflowPunct/>
        <w:topLinePunct w:val="0"/>
        <w:autoSpaceDE/>
        <w:autoSpaceDN/>
        <w:bidi w:val="0"/>
        <w:adjustRightInd/>
        <w:snapToGrid/>
        <w:spacing w:before="0" w:beforeLines="0" w:beforeAutospacing="0" w:after="0" w:afterLines="0" w:afterAutospacing="0" w:line="240" w:lineRule="auto"/>
        <w:textAlignment w:val="auto"/>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　　（三）稿酬所得；</w:t>
      </w:r>
    </w:p>
    <w:p>
      <w:pPr>
        <w:pStyle w:val="13"/>
        <w:keepNext w:val="0"/>
        <w:keepLines w:val="0"/>
        <w:pageBreakBefore w:val="0"/>
        <w:widowControl/>
        <w:suppressLineNumbers w:val="0"/>
        <w:kinsoku/>
        <w:wordWrap w:val="0"/>
        <w:overflowPunct/>
        <w:topLinePunct w:val="0"/>
        <w:autoSpaceDE/>
        <w:autoSpaceDN/>
        <w:bidi w:val="0"/>
        <w:adjustRightInd/>
        <w:snapToGrid/>
        <w:spacing w:before="0" w:beforeLines="0" w:beforeAutospacing="0" w:after="0" w:afterLines="0" w:afterAutospacing="0" w:line="240" w:lineRule="auto"/>
        <w:textAlignment w:val="auto"/>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　　（四）特许权使用费所得；</w:t>
      </w:r>
    </w:p>
    <w:p>
      <w:pPr>
        <w:pStyle w:val="13"/>
        <w:keepNext w:val="0"/>
        <w:keepLines w:val="0"/>
        <w:pageBreakBefore w:val="0"/>
        <w:widowControl/>
        <w:suppressLineNumbers w:val="0"/>
        <w:kinsoku/>
        <w:wordWrap w:val="0"/>
        <w:overflowPunct/>
        <w:topLinePunct w:val="0"/>
        <w:autoSpaceDE/>
        <w:autoSpaceDN/>
        <w:bidi w:val="0"/>
        <w:adjustRightInd/>
        <w:snapToGrid/>
        <w:spacing w:before="0" w:beforeLines="0" w:beforeAutospacing="0" w:after="0" w:afterLines="0" w:afterAutospacing="0" w:line="240" w:lineRule="auto"/>
        <w:textAlignment w:val="auto"/>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　　（五）经营所得；</w:t>
      </w:r>
    </w:p>
    <w:p>
      <w:pPr>
        <w:pStyle w:val="13"/>
        <w:keepNext w:val="0"/>
        <w:keepLines w:val="0"/>
        <w:pageBreakBefore w:val="0"/>
        <w:widowControl/>
        <w:suppressLineNumbers w:val="0"/>
        <w:kinsoku/>
        <w:wordWrap w:val="0"/>
        <w:overflowPunct/>
        <w:topLinePunct w:val="0"/>
        <w:autoSpaceDE/>
        <w:autoSpaceDN/>
        <w:bidi w:val="0"/>
        <w:adjustRightInd/>
        <w:snapToGrid/>
        <w:spacing w:before="0" w:beforeLines="0" w:beforeAutospacing="0" w:after="0" w:afterLines="0" w:afterAutospacing="0" w:line="240" w:lineRule="auto"/>
        <w:textAlignment w:val="auto"/>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　　（六）利息、股息、红利所得；</w:t>
      </w:r>
    </w:p>
    <w:p>
      <w:pPr>
        <w:pStyle w:val="13"/>
        <w:keepNext w:val="0"/>
        <w:keepLines w:val="0"/>
        <w:pageBreakBefore w:val="0"/>
        <w:widowControl/>
        <w:suppressLineNumbers w:val="0"/>
        <w:kinsoku/>
        <w:wordWrap w:val="0"/>
        <w:overflowPunct/>
        <w:topLinePunct w:val="0"/>
        <w:autoSpaceDE/>
        <w:autoSpaceDN/>
        <w:bidi w:val="0"/>
        <w:adjustRightInd/>
        <w:snapToGrid/>
        <w:spacing w:before="0" w:beforeLines="0" w:beforeAutospacing="0" w:after="0" w:afterLines="0" w:afterAutospacing="0" w:line="240" w:lineRule="auto"/>
        <w:textAlignment w:val="auto"/>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　　（七）财产租赁所得；</w:t>
      </w:r>
    </w:p>
    <w:p>
      <w:pPr>
        <w:pStyle w:val="13"/>
        <w:keepNext w:val="0"/>
        <w:keepLines w:val="0"/>
        <w:pageBreakBefore w:val="0"/>
        <w:widowControl/>
        <w:suppressLineNumbers w:val="0"/>
        <w:kinsoku/>
        <w:wordWrap w:val="0"/>
        <w:overflowPunct/>
        <w:topLinePunct w:val="0"/>
        <w:autoSpaceDE/>
        <w:autoSpaceDN/>
        <w:bidi w:val="0"/>
        <w:adjustRightInd/>
        <w:snapToGrid/>
        <w:spacing w:before="0" w:beforeLines="0" w:beforeAutospacing="0" w:after="0" w:afterLines="0" w:afterAutospacing="0" w:line="240" w:lineRule="auto"/>
        <w:textAlignment w:val="auto"/>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　　（八）财产转让所得；</w:t>
      </w:r>
    </w:p>
    <w:p>
      <w:pPr>
        <w:pStyle w:val="13"/>
        <w:keepNext w:val="0"/>
        <w:keepLines w:val="0"/>
        <w:pageBreakBefore w:val="0"/>
        <w:widowControl/>
        <w:suppressLineNumbers w:val="0"/>
        <w:kinsoku/>
        <w:wordWrap w:val="0"/>
        <w:overflowPunct/>
        <w:topLinePunct w:val="0"/>
        <w:autoSpaceDE/>
        <w:autoSpaceDN/>
        <w:bidi w:val="0"/>
        <w:adjustRightInd/>
        <w:snapToGrid/>
        <w:spacing w:before="0" w:beforeLines="0" w:beforeAutospacing="0" w:after="0" w:afterLines="0" w:afterAutospacing="0" w:line="240" w:lineRule="auto"/>
        <w:textAlignment w:val="auto"/>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　　（九）偶然所得。</w:t>
      </w:r>
    </w:p>
    <w:p>
      <w:pPr>
        <w:pStyle w:val="13"/>
        <w:keepNext w:val="0"/>
        <w:keepLines w:val="0"/>
        <w:pageBreakBefore w:val="0"/>
        <w:widowControl/>
        <w:suppressLineNumbers w:val="0"/>
        <w:kinsoku/>
        <w:wordWrap w:val="0"/>
        <w:overflowPunct/>
        <w:topLinePunct w:val="0"/>
        <w:autoSpaceDE/>
        <w:autoSpaceDN/>
        <w:bidi w:val="0"/>
        <w:adjustRightInd/>
        <w:snapToGrid/>
        <w:spacing w:before="0" w:beforeLines="0" w:beforeAutospacing="0" w:after="0" w:afterLines="0" w:afterAutospacing="0" w:line="240" w:lineRule="auto"/>
        <w:ind w:firstLine="472" w:firstLineChars="200"/>
        <w:textAlignment w:val="auto"/>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居民个人取得前款第一项至第四项所得（以下称综合所得），按纳税年度合并计算个人所得税；非居民个人取得前款第一项至第四项所得，按月或者按次分项计算个人所得税。纳税人取得前款第五项至第九项所得，依照本法规定分别计算个人所得税。”</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45"/>
        <w:gridCol w:w="2565"/>
        <w:gridCol w:w="840"/>
        <w:gridCol w:w="1020"/>
        <w:gridCol w:w="106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745"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65"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4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102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06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745" w:type="dxa"/>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ascii="宋体" w:hAnsi="宋体" w:cs="宋体"/>
                <w:color w:val="auto"/>
                <w:kern w:val="0"/>
                <w:sz w:val="18"/>
                <w:szCs w:val="18"/>
              </w:rPr>
              <w:t>1</w:t>
            </w:r>
          </w:p>
        </w:tc>
        <w:tc>
          <w:tcPr>
            <w:tcW w:w="2565" w:type="dxa"/>
            <w:shd w:val="clear" w:color="auto" w:fill="auto"/>
            <w:vAlign w:val="center"/>
          </w:tcPr>
          <w:p>
            <w:pPr>
              <w:widowControl/>
              <w:spacing w:line="280" w:lineRule="exact"/>
              <w:ind w:firstLine="352" w:firstLineChars="200"/>
              <w:jc w:val="left"/>
              <w:rPr>
                <w:rFonts w:cs="宋体"/>
                <w:color w:val="auto"/>
                <w:kern w:val="0"/>
                <w:sz w:val="18"/>
                <w:szCs w:val="18"/>
              </w:rPr>
            </w:pPr>
            <w:r>
              <w:rPr>
                <w:rFonts w:hint="eastAsia" w:ascii="宋体" w:hAnsi="宋体" w:cs="宋体"/>
                <w:color w:val="auto"/>
                <w:kern w:val="0"/>
                <w:sz w:val="18"/>
                <w:szCs w:val="18"/>
              </w:rPr>
              <w:t>《个人所得税自行纳税申报表（A表）》</w:t>
            </w:r>
          </w:p>
        </w:tc>
        <w:tc>
          <w:tcPr>
            <w:tcW w:w="840" w:type="dxa"/>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ascii="宋体" w:hAnsi="宋体" w:cs="宋体"/>
                <w:color w:val="auto"/>
                <w:kern w:val="0"/>
                <w:sz w:val="18"/>
                <w:szCs w:val="18"/>
              </w:rPr>
              <w:t>2</w:t>
            </w:r>
          </w:p>
        </w:tc>
        <w:tc>
          <w:tcPr>
            <w:tcW w:w="1020" w:type="dxa"/>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ascii="宋体" w:hAnsi="宋体" w:cs="宋体"/>
                <w:color w:val="auto"/>
                <w:kern w:val="0"/>
                <w:sz w:val="18"/>
                <w:szCs w:val="18"/>
              </w:rPr>
              <w:t>必报</w:t>
            </w:r>
          </w:p>
        </w:tc>
        <w:tc>
          <w:tcPr>
            <w:tcW w:w="1067" w:type="dxa"/>
            <w:shd w:val="clear" w:color="auto" w:fill="auto"/>
            <w:vAlign w:val="center"/>
          </w:tcPr>
          <w:p>
            <w:pPr>
              <w:widowControl/>
              <w:spacing w:line="280" w:lineRule="exact"/>
              <w:ind w:firstLine="352" w:firstLineChars="20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45" w:type="dxa"/>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ascii="宋体" w:hAnsi="宋体" w:cs="宋体"/>
                <w:color w:val="auto"/>
                <w:kern w:val="0"/>
                <w:sz w:val="18"/>
                <w:szCs w:val="18"/>
              </w:rPr>
              <w:t>2</w:t>
            </w:r>
          </w:p>
        </w:tc>
        <w:tc>
          <w:tcPr>
            <w:tcW w:w="2565" w:type="dxa"/>
            <w:shd w:val="clear" w:color="auto" w:fill="auto"/>
            <w:vAlign w:val="center"/>
          </w:tcPr>
          <w:p>
            <w:pPr>
              <w:widowControl/>
              <w:spacing w:line="280" w:lineRule="exact"/>
              <w:ind w:firstLine="352" w:firstLineChars="200"/>
              <w:jc w:val="left"/>
              <w:rPr>
                <w:rFonts w:cs="宋体"/>
                <w:color w:val="auto"/>
                <w:kern w:val="0"/>
                <w:sz w:val="18"/>
                <w:szCs w:val="18"/>
              </w:rPr>
            </w:pPr>
            <w:r>
              <w:rPr>
                <w:rFonts w:hint="eastAsia" w:ascii="宋体" w:hAnsi="宋体" w:cs="宋体"/>
                <w:color w:val="auto"/>
                <w:kern w:val="0"/>
                <w:sz w:val="18"/>
                <w:szCs w:val="18"/>
              </w:rPr>
              <w:t>有效身份证件</w:t>
            </w:r>
          </w:p>
        </w:tc>
        <w:tc>
          <w:tcPr>
            <w:tcW w:w="840" w:type="dxa"/>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ascii="宋体" w:hAnsi="宋体" w:cs="宋体"/>
                <w:color w:val="auto"/>
                <w:kern w:val="0"/>
                <w:sz w:val="18"/>
                <w:szCs w:val="18"/>
              </w:rPr>
              <w:t>1</w:t>
            </w:r>
          </w:p>
        </w:tc>
        <w:tc>
          <w:tcPr>
            <w:tcW w:w="1020" w:type="dxa"/>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ascii="宋体" w:hAnsi="宋体" w:cs="宋体"/>
                <w:color w:val="auto"/>
                <w:kern w:val="0"/>
                <w:sz w:val="18"/>
                <w:szCs w:val="18"/>
              </w:rPr>
              <w:t>必报</w:t>
            </w:r>
          </w:p>
        </w:tc>
        <w:tc>
          <w:tcPr>
            <w:tcW w:w="1067" w:type="dxa"/>
            <w:shd w:val="clear" w:color="auto" w:fill="auto"/>
            <w:vAlign w:val="center"/>
          </w:tcPr>
          <w:p>
            <w:pPr>
              <w:widowControl/>
              <w:spacing w:line="280" w:lineRule="exact"/>
              <w:ind w:firstLine="352" w:firstLineChars="20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45"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ascii="宋体" w:hAnsi="宋体" w:cs="宋体"/>
                <w:color w:val="auto"/>
                <w:kern w:val="0"/>
                <w:sz w:val="18"/>
                <w:szCs w:val="18"/>
              </w:rPr>
              <w:t>3</w:t>
            </w:r>
          </w:p>
        </w:tc>
        <w:tc>
          <w:tcPr>
            <w:tcW w:w="2565" w:type="dxa"/>
            <w:shd w:val="clear" w:color="auto" w:fill="auto"/>
            <w:vAlign w:val="center"/>
          </w:tcPr>
          <w:p>
            <w:pPr>
              <w:widowControl/>
              <w:spacing w:line="280" w:lineRule="exact"/>
              <w:ind w:firstLine="352" w:firstLineChars="200"/>
              <w:jc w:val="left"/>
              <w:rPr>
                <w:rFonts w:hint="eastAsia" w:cs="宋体"/>
                <w:color w:val="auto"/>
                <w:kern w:val="0"/>
                <w:sz w:val="18"/>
                <w:szCs w:val="18"/>
              </w:rPr>
            </w:pPr>
            <w:r>
              <w:rPr>
                <w:rFonts w:hint="eastAsia" w:cs="宋体"/>
                <w:color w:val="auto"/>
                <w:kern w:val="0"/>
                <w:sz w:val="18"/>
                <w:szCs w:val="18"/>
              </w:rPr>
              <w:t>《个人所得税减免税事项报告表》</w:t>
            </w:r>
          </w:p>
        </w:tc>
        <w:tc>
          <w:tcPr>
            <w:tcW w:w="840"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hint="eastAsia" w:ascii="宋体" w:hAnsi="宋体" w:cs="宋体"/>
                <w:color w:val="auto"/>
                <w:kern w:val="0"/>
                <w:sz w:val="18"/>
                <w:szCs w:val="18"/>
              </w:rPr>
              <w:t>1</w:t>
            </w:r>
          </w:p>
        </w:tc>
        <w:tc>
          <w:tcPr>
            <w:tcW w:w="1020"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hint="eastAsia" w:ascii="宋体" w:hAnsi="宋体" w:cs="宋体"/>
                <w:color w:val="auto"/>
                <w:kern w:val="0"/>
                <w:sz w:val="18"/>
                <w:szCs w:val="18"/>
              </w:rPr>
              <w:t>条件报送</w:t>
            </w:r>
          </w:p>
        </w:tc>
        <w:tc>
          <w:tcPr>
            <w:tcW w:w="1067" w:type="dxa"/>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ascii="宋体" w:hAnsi="宋体" w:cs="宋体"/>
                <w:color w:val="auto"/>
                <w:kern w:val="0"/>
                <w:sz w:val="18"/>
                <w:szCs w:val="18"/>
              </w:rPr>
              <w:t>纳税人存在减免个人所得税情形</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45"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cs="宋体"/>
                <w:color w:val="auto"/>
                <w:kern w:val="0"/>
                <w:sz w:val="18"/>
                <w:szCs w:val="18"/>
              </w:rPr>
              <w:t>4</w:t>
            </w:r>
          </w:p>
        </w:tc>
        <w:tc>
          <w:tcPr>
            <w:tcW w:w="2565" w:type="dxa"/>
            <w:shd w:val="clear" w:color="auto" w:fill="auto"/>
            <w:vAlign w:val="center"/>
          </w:tcPr>
          <w:p>
            <w:pPr>
              <w:widowControl/>
              <w:spacing w:line="280" w:lineRule="exact"/>
              <w:ind w:firstLine="352" w:firstLineChars="200"/>
              <w:jc w:val="left"/>
              <w:rPr>
                <w:rFonts w:hint="eastAsia" w:cs="宋体"/>
                <w:color w:val="auto"/>
                <w:kern w:val="0"/>
                <w:sz w:val="18"/>
                <w:szCs w:val="18"/>
              </w:rPr>
            </w:pPr>
            <w:r>
              <w:rPr>
                <w:rFonts w:hint="eastAsia" w:cs="宋体"/>
                <w:color w:val="auto"/>
                <w:kern w:val="0"/>
                <w:sz w:val="18"/>
                <w:szCs w:val="18"/>
              </w:rPr>
              <w:t>股权转让合同或协议</w:t>
            </w:r>
          </w:p>
        </w:tc>
        <w:tc>
          <w:tcPr>
            <w:tcW w:w="840"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hint="eastAsia" w:cs="宋体"/>
                <w:color w:val="auto"/>
                <w:kern w:val="0"/>
                <w:sz w:val="18"/>
                <w:szCs w:val="18"/>
              </w:rPr>
              <w:t>1</w:t>
            </w:r>
          </w:p>
        </w:tc>
        <w:tc>
          <w:tcPr>
            <w:tcW w:w="1020"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hint="eastAsia" w:cs="宋体"/>
                <w:color w:val="auto"/>
                <w:kern w:val="0"/>
                <w:sz w:val="18"/>
                <w:szCs w:val="18"/>
              </w:rPr>
              <w:t>条件报送</w:t>
            </w:r>
          </w:p>
        </w:tc>
        <w:tc>
          <w:tcPr>
            <w:tcW w:w="1067" w:type="dxa"/>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办理股权转让纳税申报</w:t>
            </w:r>
          </w:p>
        </w:tc>
        <w:tc>
          <w:tcPr>
            <w:tcW w:w="1134" w:type="dxa"/>
            <w:vAlign w:val="center"/>
          </w:tcPr>
          <w:p>
            <w:pPr>
              <w:widowControl/>
              <w:tabs>
                <w:tab w:val="left" w:pos="340"/>
              </w:tabs>
              <w:spacing w:line="280" w:lineRule="exact"/>
              <w:ind w:firstLine="0" w:firstLineChars="0"/>
              <w:jc w:val="left"/>
              <w:rPr>
                <w:rFonts w:hint="eastAsia" w:eastAsia="宋体" w:cs="宋体"/>
                <w:color w:val="auto"/>
                <w:kern w:val="0"/>
                <w:sz w:val="18"/>
                <w:szCs w:val="18"/>
                <w:lang w:eastAsia="zh-CN"/>
              </w:rPr>
            </w:pPr>
            <w:r>
              <w:rPr>
                <w:rFonts w:hint="eastAsia" w:cs="宋体"/>
                <w:color w:val="auto"/>
                <w:kern w:val="0"/>
                <w:sz w:val="18"/>
                <w:szCs w:val="18"/>
                <w:lang w:eastAsia="zh-CN"/>
              </w:rPr>
              <w:tab/>
            </w: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45"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cs="宋体"/>
                <w:color w:val="auto"/>
                <w:kern w:val="0"/>
                <w:sz w:val="18"/>
                <w:szCs w:val="18"/>
              </w:rPr>
              <w:t>5</w:t>
            </w:r>
          </w:p>
        </w:tc>
        <w:tc>
          <w:tcPr>
            <w:tcW w:w="2565" w:type="dxa"/>
            <w:shd w:val="clear" w:color="auto" w:fill="auto"/>
            <w:vAlign w:val="center"/>
          </w:tcPr>
          <w:p>
            <w:pPr>
              <w:widowControl/>
              <w:spacing w:line="280" w:lineRule="exact"/>
              <w:ind w:firstLine="352" w:firstLineChars="200"/>
              <w:jc w:val="left"/>
              <w:rPr>
                <w:rFonts w:hint="eastAsia" w:cs="宋体"/>
                <w:color w:val="auto"/>
                <w:kern w:val="0"/>
                <w:sz w:val="18"/>
                <w:szCs w:val="18"/>
              </w:rPr>
            </w:pPr>
            <w:r>
              <w:rPr>
                <w:rFonts w:hint="eastAsia" w:cs="宋体"/>
                <w:color w:val="auto"/>
                <w:kern w:val="0"/>
                <w:sz w:val="18"/>
                <w:szCs w:val="18"/>
              </w:rPr>
              <w:t>按规定需要进行资产评估的，需提供具有法定资质的中介机构出具的净资产或土地房产等资产价值评估报告</w:t>
            </w:r>
          </w:p>
        </w:tc>
        <w:tc>
          <w:tcPr>
            <w:tcW w:w="840"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hint="eastAsia" w:cs="宋体"/>
                <w:color w:val="auto"/>
                <w:kern w:val="0"/>
                <w:sz w:val="18"/>
                <w:szCs w:val="18"/>
              </w:rPr>
              <w:t>1</w:t>
            </w:r>
          </w:p>
        </w:tc>
        <w:tc>
          <w:tcPr>
            <w:tcW w:w="1020"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hint="eastAsia" w:cs="宋体"/>
                <w:color w:val="auto"/>
                <w:kern w:val="0"/>
                <w:sz w:val="18"/>
                <w:szCs w:val="18"/>
              </w:rPr>
              <w:t>条件报送</w:t>
            </w:r>
          </w:p>
        </w:tc>
        <w:tc>
          <w:tcPr>
            <w:tcW w:w="1067" w:type="dxa"/>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办理股权转让纳税申报</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45"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cs="宋体"/>
                <w:color w:val="auto"/>
                <w:kern w:val="0"/>
                <w:sz w:val="18"/>
                <w:szCs w:val="18"/>
              </w:rPr>
              <w:t>6</w:t>
            </w:r>
          </w:p>
        </w:tc>
        <w:tc>
          <w:tcPr>
            <w:tcW w:w="2565" w:type="dxa"/>
            <w:shd w:val="clear" w:color="auto" w:fill="auto"/>
            <w:vAlign w:val="center"/>
          </w:tcPr>
          <w:p>
            <w:pPr>
              <w:widowControl/>
              <w:spacing w:line="280" w:lineRule="exact"/>
              <w:ind w:firstLine="352" w:firstLineChars="200"/>
              <w:jc w:val="left"/>
              <w:rPr>
                <w:rFonts w:hint="eastAsia" w:cs="宋体"/>
                <w:color w:val="auto"/>
                <w:kern w:val="0"/>
                <w:sz w:val="18"/>
                <w:szCs w:val="18"/>
              </w:rPr>
            </w:pPr>
            <w:r>
              <w:rPr>
                <w:rFonts w:hint="eastAsia" w:cs="宋体"/>
                <w:color w:val="auto"/>
                <w:kern w:val="0"/>
                <w:sz w:val="18"/>
                <w:szCs w:val="18"/>
              </w:rPr>
              <w:t>计税依据明显偏低但有正当理由的证明材料</w:t>
            </w:r>
          </w:p>
        </w:tc>
        <w:tc>
          <w:tcPr>
            <w:tcW w:w="840"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hint="eastAsia" w:cs="宋体"/>
                <w:color w:val="auto"/>
                <w:kern w:val="0"/>
                <w:sz w:val="18"/>
                <w:szCs w:val="18"/>
              </w:rPr>
              <w:t>1</w:t>
            </w:r>
          </w:p>
        </w:tc>
        <w:tc>
          <w:tcPr>
            <w:tcW w:w="1020"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hint="eastAsia" w:cs="宋体"/>
                <w:color w:val="auto"/>
                <w:kern w:val="0"/>
                <w:sz w:val="18"/>
                <w:szCs w:val="18"/>
              </w:rPr>
              <w:t>条件报送</w:t>
            </w:r>
          </w:p>
        </w:tc>
        <w:tc>
          <w:tcPr>
            <w:tcW w:w="1067" w:type="dxa"/>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办理股权转让纳税申报</w:t>
            </w:r>
          </w:p>
        </w:tc>
        <w:tc>
          <w:tcPr>
            <w:tcW w:w="1134" w:type="dxa"/>
            <w:vAlign w:val="center"/>
          </w:tcPr>
          <w:p>
            <w:pPr>
              <w:widowControl/>
              <w:spacing w:line="280" w:lineRule="exact"/>
              <w:ind w:firstLine="0" w:firstLineChars="0"/>
              <w:jc w:val="center"/>
              <w:rPr>
                <w:rFonts w:hint="eastAsia" w:cs="宋体"/>
                <w:color w:val="auto"/>
                <w:kern w:val="0"/>
                <w:sz w:val="18"/>
                <w:szCs w:val="18"/>
              </w:rPr>
            </w:pPr>
          </w:p>
          <w:p>
            <w:pPr>
              <w:bidi w:val="0"/>
              <w:jc w:val="center"/>
              <w:rPr>
                <w:rFonts w:hint="eastAsia" w:ascii="宋体" w:hAnsi="宋体" w:eastAsia="宋体" w:cs="Times New Roman"/>
                <w:color w:val="auto"/>
                <w:kern w:val="2"/>
                <w:sz w:val="24"/>
                <w:szCs w:val="22"/>
                <w:lang w:val="en-US" w:eastAsia="zh-CN" w:bidi="ar-SA"/>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45"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hint="eastAsia" w:cs="宋体"/>
                <w:color w:val="auto"/>
                <w:kern w:val="0"/>
                <w:sz w:val="18"/>
                <w:szCs w:val="18"/>
              </w:rPr>
              <w:t>7</w:t>
            </w:r>
          </w:p>
        </w:tc>
        <w:tc>
          <w:tcPr>
            <w:tcW w:w="2565" w:type="dxa"/>
            <w:shd w:val="clear" w:color="auto" w:fill="auto"/>
            <w:vAlign w:val="center"/>
          </w:tcPr>
          <w:p>
            <w:pPr>
              <w:widowControl/>
              <w:spacing w:line="280" w:lineRule="exact"/>
              <w:ind w:firstLine="352" w:firstLineChars="200"/>
              <w:jc w:val="left"/>
              <w:rPr>
                <w:rFonts w:hint="eastAsia" w:cs="宋体"/>
                <w:color w:val="auto"/>
                <w:kern w:val="0"/>
                <w:sz w:val="18"/>
                <w:szCs w:val="18"/>
              </w:rPr>
            </w:pPr>
            <w:r>
              <w:rPr>
                <w:rFonts w:hint="eastAsia" w:cs="宋体"/>
                <w:color w:val="auto"/>
                <w:kern w:val="0"/>
                <w:sz w:val="18"/>
                <w:szCs w:val="18"/>
              </w:rPr>
              <w:t>股权转让双方身份证明</w:t>
            </w:r>
          </w:p>
        </w:tc>
        <w:tc>
          <w:tcPr>
            <w:tcW w:w="840"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hint="eastAsia" w:cs="宋体"/>
                <w:color w:val="auto"/>
                <w:kern w:val="0"/>
                <w:sz w:val="18"/>
                <w:szCs w:val="18"/>
              </w:rPr>
              <w:t>1</w:t>
            </w:r>
          </w:p>
        </w:tc>
        <w:tc>
          <w:tcPr>
            <w:tcW w:w="1020" w:type="dxa"/>
            <w:shd w:val="clear" w:color="auto" w:fill="auto"/>
            <w:vAlign w:val="center"/>
          </w:tcPr>
          <w:p>
            <w:pPr>
              <w:widowControl/>
              <w:spacing w:line="280" w:lineRule="exact"/>
              <w:ind w:firstLine="352" w:firstLineChars="200"/>
              <w:jc w:val="center"/>
              <w:rPr>
                <w:rFonts w:hint="eastAsia"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067" w:type="dxa"/>
            <w:shd w:val="clear" w:color="auto" w:fill="auto"/>
            <w:vAlign w:val="center"/>
          </w:tcPr>
          <w:p>
            <w:pPr>
              <w:widowControl/>
              <w:spacing w:line="280" w:lineRule="exact"/>
              <w:ind w:firstLine="352" w:firstLineChars="200"/>
              <w:jc w:val="center"/>
              <w:rPr>
                <w:rFonts w:cs="宋体"/>
                <w:color w:val="auto"/>
                <w:kern w:val="0"/>
                <w:sz w:val="18"/>
                <w:szCs w:val="18"/>
              </w:rPr>
            </w:pPr>
            <w:r>
              <w:rPr>
                <w:rFonts w:hint="eastAsia" w:cs="宋体"/>
                <w:color w:val="auto"/>
                <w:kern w:val="0"/>
                <w:sz w:val="18"/>
                <w:szCs w:val="18"/>
              </w:rPr>
              <w:t>办理股权转让纳税申报</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pageBreakBefore w:val="0"/>
        <w:widowControl w:val="0"/>
        <w:kinsoku/>
        <w:wordWrap/>
        <w:overflowPunct/>
        <w:topLinePunct w:val="0"/>
        <w:autoSpaceDE/>
        <w:autoSpaceDN/>
        <w:bidi w:val="0"/>
        <w:adjustRightInd/>
        <w:snapToGrid/>
        <w:spacing w:line="240" w:lineRule="auto"/>
        <w:ind w:firstLine="552"/>
        <w:textAlignment w:val="auto"/>
        <w:rPr>
          <w:color w:val="auto"/>
        </w:rPr>
      </w:pPr>
      <w:r>
        <w:rPr>
          <w:rFonts w:hint="eastAsia"/>
          <w:color w:val="auto"/>
        </w:rPr>
        <w:t>六</w:t>
      </w:r>
      <w:r>
        <w:rPr>
          <w:color w:val="auto"/>
        </w:rPr>
        <w:t>、办理流程</w:t>
      </w: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r>
        <w:rPr>
          <w:rFonts w:ascii="宋体" w:hAnsi="宋体" w:cs="Times New Roman"/>
          <w:color w:val="auto"/>
          <w:sz w:val="24"/>
        </w:rPr>
        <w:drawing>
          <wp:inline distT="0" distB="0" distL="114300" distR="114300">
            <wp:extent cx="4810125" cy="1286510"/>
            <wp:effectExtent l="0" t="0" r="9525" b="8890"/>
            <wp:docPr id="1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pic:cNvPicPr>
                      <a:picLocks noChangeAspect="1"/>
                    </pic:cNvPicPr>
                  </pic:nvPicPr>
                  <pic:blipFill>
                    <a:blip r:embed="rId10"/>
                    <a:stretch>
                      <a:fillRect/>
                    </a:stretch>
                  </pic:blipFill>
                  <pic:spPr>
                    <a:xfrm>
                      <a:off x="0" y="0"/>
                      <a:ext cx="4810125" cy="1286510"/>
                    </a:xfrm>
                    <a:prstGeom prst="rect">
                      <a:avLst/>
                    </a:prstGeom>
                    <a:noFill/>
                    <a:ln>
                      <a:noFill/>
                    </a:ln>
                  </pic:spPr>
                </pic:pic>
              </a:graphicData>
            </a:graphic>
          </wp:inline>
        </w:drawing>
      </w:r>
    </w:p>
    <w:p>
      <w:pPr>
        <w:pStyle w:val="3"/>
        <w:ind w:left="0" w:leftChars="0" w:firstLine="552" w:firstLineChars="200"/>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default" w:ascii="宋体" w:hAnsi="宋体" w:eastAsia="宋体" w:cs="Times New Roman"/>
          <w:bCs w:val="0"/>
          <w:color w:val="auto"/>
          <w:kern w:val="2"/>
          <w:sz w:val="24"/>
          <w:szCs w:val="22"/>
          <w:lang w:val="en-US" w:eastAsia="zh-CN" w:bidi="ar-SA"/>
        </w:rPr>
      </w:pPr>
      <w:r>
        <w:rPr>
          <w:rFonts w:hint="default" w:ascii="宋体" w:hAnsi="宋体" w:eastAsia="宋体" w:cs="Times New Roman"/>
          <w:bCs w:val="0"/>
          <w:color w:val="auto"/>
          <w:kern w:val="2"/>
          <w:sz w:val="24"/>
          <w:szCs w:val="22"/>
          <w:lang w:val="en-US" w:eastAsia="zh-CN" w:bidi="ar-SA"/>
        </w:rPr>
        <w:t>1.A06442《个人所得税自行纳税申报表（A表）》</w:t>
      </w:r>
    </w:p>
    <w:p>
      <w:pPr>
        <w:ind w:firstLine="472"/>
        <w:rPr>
          <w:rFonts w:hint="default" w:ascii="宋体" w:hAnsi="宋体" w:eastAsia="宋体" w:cs="Times New Roman"/>
          <w:bCs w:val="0"/>
          <w:color w:val="auto"/>
          <w:kern w:val="2"/>
          <w:sz w:val="24"/>
          <w:szCs w:val="22"/>
          <w:lang w:val="en-US" w:eastAsia="zh-CN" w:bidi="ar-SA"/>
        </w:rPr>
      </w:pPr>
      <w:r>
        <w:rPr>
          <w:rFonts w:hint="default" w:ascii="宋体" w:hAnsi="宋体" w:eastAsia="宋体" w:cs="Times New Roman"/>
          <w:bCs w:val="0"/>
          <w:color w:val="auto"/>
          <w:kern w:val="2"/>
          <w:sz w:val="24"/>
          <w:szCs w:val="22"/>
          <w:lang w:val="en-US" w:eastAsia="zh-CN" w:bidi="ar-SA"/>
        </w:rPr>
        <w:t>2.A06652《个人所得税减免税事项报告表》</w:t>
      </w:r>
    </w:p>
    <w:p>
      <w:pPr>
        <w:pStyle w:val="3"/>
        <w:ind w:firstLine="552"/>
        <w:rPr>
          <w:color w:val="auto"/>
        </w:rPr>
      </w:pPr>
      <w:r>
        <w:rPr>
          <w:rFonts w:hint="eastAsia"/>
          <w:color w:val="auto"/>
        </w:rPr>
        <w:t>九、注意事项</w:t>
      </w:r>
    </w:p>
    <w:p>
      <w:pPr>
        <w:rPr>
          <w:rFonts w:hint="eastAsia"/>
          <w:color w:val="auto"/>
        </w:rPr>
      </w:pPr>
      <w:r>
        <w:rPr>
          <w:rFonts w:hint="eastAsia"/>
          <w:color w:val="auto"/>
          <w:lang w:val="en-US" w:eastAsia="zh-CN"/>
        </w:rPr>
        <w:t>1.</w:t>
      </w:r>
      <w:r>
        <w:rPr>
          <w:rFonts w:hint="eastAsia"/>
          <w:color w:val="auto"/>
        </w:rPr>
        <w:t>纳税人对报送资料的真实性和合法性承担责任。</w:t>
      </w:r>
    </w:p>
    <w:p>
      <w:pPr>
        <w:rPr>
          <w:rFonts w:hint="eastAsia"/>
          <w:color w:val="auto"/>
        </w:rPr>
      </w:pPr>
      <w:r>
        <w:rPr>
          <w:rFonts w:hint="eastAsia"/>
          <w:color w:val="auto"/>
          <w:lang w:val="en-US" w:eastAsia="zh-CN"/>
        </w:rPr>
        <w:t>2</w:t>
      </w:r>
      <w:r>
        <w:rPr>
          <w:rFonts w:hint="eastAsia"/>
          <w:color w:val="auto"/>
        </w:rPr>
        <w:t>.最多跑一次是在资料完整且符合法定受理条件的前提下，最多只需要到税务机关跑一次。</w:t>
      </w:r>
    </w:p>
    <w:p>
      <w:pPr>
        <w:ind w:firstLine="471" w:firstLineChars="0"/>
        <w:rPr>
          <w:rFonts w:hint="default"/>
          <w:color w:val="auto"/>
          <w:lang w:val="en-US" w:eastAsia="zh-CN"/>
        </w:rPr>
      </w:pPr>
      <w:r>
        <w:rPr>
          <w:rFonts w:hint="eastAsia"/>
          <w:color w:val="auto"/>
          <w:lang w:val="en-US" w:eastAsia="zh-CN"/>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9B53712"/>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2019-10-31T06:22:32Z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