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color w:val="auto"/>
        </w:rPr>
      </w:pPr>
      <w:bookmarkStart w:id="1" w:name="_GoBack"/>
      <w:bookmarkEnd w:id="1"/>
      <w:bookmarkStart w:id="0" w:name="_Toc31475"/>
      <w:r>
        <w:rPr>
          <w:rFonts w:hint="eastAsia" w:ascii="黑体" w:hAnsi="黑体" w:cstheme="minorBidi"/>
          <w:color w:val="auto"/>
        </w:rPr>
        <w:t>1.5.1.4转开印花税票销售凭证</w:t>
      </w:r>
      <w:bookmarkEnd w:id="0"/>
    </w:p>
    <w:p>
      <w:pPr>
        <w:pStyle w:val="3"/>
        <w:ind w:firstLine="552"/>
        <w:rPr>
          <w:color w:val="auto"/>
        </w:rPr>
      </w:pPr>
      <w:r>
        <w:rPr>
          <w:color w:val="auto"/>
        </w:rPr>
        <w:t>一、事项名称</w:t>
      </w:r>
    </w:p>
    <w:p>
      <w:pPr>
        <w:ind w:firstLine="472"/>
        <w:rPr>
          <w:rFonts w:hint="eastAsia" w:eastAsia="宋体"/>
          <w:color w:val="auto"/>
          <w:lang w:eastAsia="zh-CN"/>
        </w:rPr>
      </w:pPr>
      <w:r>
        <w:rPr>
          <w:rFonts w:hint="eastAsia"/>
          <w:color w:val="auto"/>
        </w:rPr>
        <w:t>转开印花税票销售凭证</w:t>
      </w:r>
    </w:p>
    <w:p>
      <w:pPr>
        <w:pStyle w:val="3"/>
        <w:ind w:firstLine="552"/>
        <w:rPr>
          <w:color w:val="auto"/>
        </w:rPr>
      </w:pPr>
      <w:r>
        <w:rPr>
          <w:color w:val="auto"/>
        </w:rPr>
        <w:t>二、事项类别</w:t>
      </w:r>
    </w:p>
    <w:p>
      <w:pPr>
        <w:pStyle w:val="47"/>
        <w:numPr>
          <w:ilvl w:val="0"/>
          <w:numId w:val="3"/>
        </w:numPr>
        <w:ind w:firstLineChars="0"/>
        <w:rPr>
          <w:color w:val="auto"/>
        </w:rPr>
      </w:pPr>
      <w:r>
        <w:rPr>
          <w:rFonts w:hint="eastAsia"/>
          <w:color w:val="auto"/>
        </w:rPr>
        <w:t>发起方式：人工发起（纳税人）</w:t>
      </w:r>
    </w:p>
    <w:p>
      <w:pPr>
        <w:pStyle w:val="47"/>
        <w:numPr>
          <w:ilvl w:val="0"/>
          <w:numId w:val="3"/>
        </w:numPr>
        <w:ind w:firstLineChars="0"/>
        <w:rPr>
          <w:color w:val="auto"/>
        </w:rPr>
      </w:pPr>
      <w:r>
        <w:rPr>
          <w:rFonts w:hint="eastAsia"/>
          <w:color w:val="auto"/>
        </w:rPr>
        <w:t>办结方式：</w:t>
      </w:r>
      <w:r>
        <w:rPr>
          <w:rFonts w:hint="eastAsia"/>
          <w:color w:val="auto"/>
          <w:lang w:eastAsia="zh-CN"/>
        </w:rPr>
        <w:t>即办</w:t>
      </w:r>
    </w:p>
    <w:p>
      <w:pPr>
        <w:pStyle w:val="47"/>
        <w:numPr>
          <w:ilvl w:val="0"/>
          <w:numId w:val="3"/>
        </w:numPr>
        <w:ind w:firstLineChars="0"/>
        <w:rPr>
          <w:color w:val="auto"/>
        </w:rPr>
      </w:pPr>
      <w:r>
        <w:rPr>
          <w:rFonts w:hint="eastAsia"/>
          <w:color w:val="auto"/>
        </w:rPr>
        <w:t>全省通办：</w:t>
      </w:r>
      <w:r>
        <w:rPr>
          <w:rFonts w:hint="eastAsia"/>
          <w:color w:val="auto"/>
          <w:lang w:eastAsia="zh-CN"/>
        </w:rPr>
        <w:t>是</w:t>
      </w:r>
    </w:p>
    <w:p>
      <w:pPr>
        <w:pStyle w:val="47"/>
        <w:numPr>
          <w:ilvl w:val="0"/>
          <w:numId w:val="3"/>
        </w:numPr>
        <w:ind w:firstLineChars="0"/>
        <w:rPr>
          <w:color w:val="auto"/>
        </w:rPr>
      </w:pPr>
      <w:r>
        <w:rPr>
          <w:rFonts w:hint="eastAsia"/>
          <w:color w:val="auto"/>
        </w:rPr>
        <w:t>网上办理：</w:t>
      </w:r>
      <w:r>
        <w:rPr>
          <w:rFonts w:hint="eastAsia"/>
          <w:color w:val="auto"/>
          <w:lang w:eastAsia="zh-CN"/>
        </w:rPr>
        <w:t>是</w:t>
      </w:r>
    </w:p>
    <w:p>
      <w:pPr>
        <w:pStyle w:val="47"/>
        <w:numPr>
          <w:ilvl w:val="0"/>
          <w:numId w:val="3"/>
        </w:numPr>
        <w:ind w:firstLineChars="0"/>
        <w:rPr>
          <w:color w:val="auto"/>
        </w:rPr>
      </w:pPr>
      <w:r>
        <w:rPr>
          <w:rFonts w:hint="eastAsia"/>
          <w:color w:val="auto"/>
        </w:rPr>
        <w:t>适用层级：县(市、区)级</w:t>
      </w:r>
    </w:p>
    <w:p>
      <w:pPr>
        <w:pStyle w:val="47"/>
        <w:numPr>
          <w:ilvl w:val="0"/>
          <w:numId w:val="3"/>
        </w:numPr>
        <w:ind w:firstLineChars="0"/>
        <w:rPr>
          <w:color w:val="auto"/>
        </w:rPr>
      </w:pPr>
      <w:r>
        <w:rPr>
          <w:rFonts w:hint="eastAsia"/>
          <w:color w:val="auto"/>
        </w:rPr>
        <w:t>最多跑一次：是</w:t>
      </w:r>
    </w:p>
    <w:p>
      <w:pPr>
        <w:pStyle w:val="3"/>
        <w:ind w:firstLine="552"/>
        <w:rPr>
          <w:color w:val="auto"/>
        </w:rPr>
      </w:pPr>
      <w:r>
        <w:rPr>
          <w:rFonts w:hint="eastAsia"/>
          <w:color w:val="auto"/>
        </w:rPr>
        <w:t>三、</w:t>
      </w:r>
      <w:r>
        <w:rPr>
          <w:rFonts w:hint="eastAsia"/>
          <w:color w:val="auto"/>
          <w:lang w:eastAsia="zh-CN"/>
        </w:rPr>
        <w:t>办理条件</w:t>
      </w:r>
    </w:p>
    <w:p>
      <w:pPr>
        <w:ind w:firstLine="472"/>
        <w:rPr>
          <w:color w:val="auto"/>
        </w:rPr>
      </w:pPr>
      <w:r>
        <w:rPr>
          <w:rFonts w:hint="eastAsia"/>
          <w:color w:val="auto"/>
        </w:rPr>
        <w:t>转开印花税票销售凭证，是指纳税人通过横向联网方式完成印花税款的缴纳或退还后，向主管税务机关申请开具《中华人民共和国印花税票销售凭证》（证明凭证）。</w:t>
      </w:r>
    </w:p>
    <w:p>
      <w:pPr>
        <w:pStyle w:val="3"/>
        <w:ind w:firstLine="552"/>
        <w:rPr>
          <w:color w:val="auto"/>
        </w:rPr>
      </w:pPr>
      <w:r>
        <w:rPr>
          <w:rFonts w:hint="eastAsia"/>
          <w:color w:val="auto"/>
        </w:rPr>
        <w:t>四、设定依据</w:t>
      </w:r>
    </w:p>
    <w:p>
      <w:pPr>
        <w:keepNext w:val="0"/>
        <w:keepLines w:val="0"/>
        <w:pageBreakBefore w:val="0"/>
        <w:widowControl w:val="0"/>
        <w:kinsoku/>
        <w:wordWrap/>
        <w:overflowPunct/>
        <w:topLinePunct w:val="0"/>
        <w:autoSpaceDE/>
        <w:autoSpaceDN/>
        <w:bidi w:val="0"/>
        <w:adjustRightInd w:val="0"/>
        <w:snapToGrid w:val="0"/>
        <w:ind w:firstLine="472"/>
        <w:textAlignment w:val="auto"/>
        <w:rPr>
          <w:rFonts w:hint="eastAsia"/>
          <w:color w:val="auto"/>
        </w:rPr>
      </w:pPr>
      <w:r>
        <w:rPr>
          <w:rFonts w:hint="eastAsia"/>
          <w:color w:val="auto"/>
        </w:rPr>
        <w:t>1.《中华人民共和国印花税暂行条例》全文。</w:t>
      </w:r>
    </w:p>
    <w:p>
      <w:pPr>
        <w:keepNext w:val="0"/>
        <w:keepLines w:val="0"/>
        <w:pageBreakBefore w:val="0"/>
        <w:widowControl w:val="0"/>
        <w:kinsoku/>
        <w:wordWrap/>
        <w:overflowPunct/>
        <w:topLinePunct w:val="0"/>
        <w:autoSpaceDE/>
        <w:autoSpaceDN/>
        <w:bidi w:val="0"/>
        <w:adjustRightInd w:val="0"/>
        <w:snapToGrid w:val="0"/>
        <w:ind w:firstLine="472"/>
        <w:textAlignment w:val="auto"/>
        <w:rPr>
          <w:rFonts w:hint="eastAsia"/>
          <w:color w:val="auto"/>
        </w:rPr>
      </w:pPr>
      <w:r>
        <w:rPr>
          <w:rFonts w:hint="eastAsia"/>
          <w:color w:val="auto"/>
        </w:rPr>
        <w:t>2.《税收票证管理办法》（国家税务总局令第28号公布，国家税务总局令第48号修改）第十六条</w:t>
      </w:r>
    </w:p>
    <w:p>
      <w:pPr>
        <w:keepNext w:val="0"/>
        <w:keepLines w:val="0"/>
        <w:pageBreakBefore w:val="0"/>
        <w:widowControl w:val="0"/>
        <w:kinsoku/>
        <w:wordWrap/>
        <w:overflowPunct/>
        <w:topLinePunct w:val="0"/>
        <w:autoSpaceDE/>
        <w:autoSpaceDN/>
        <w:bidi w:val="0"/>
        <w:adjustRightInd w:val="0"/>
        <w:snapToGrid w:val="0"/>
        <w:ind w:firstLine="472"/>
        <w:textAlignment w:val="auto"/>
        <w:rPr>
          <w:rFonts w:hint="eastAsia"/>
          <w:color w:val="auto"/>
        </w:rPr>
      </w:pPr>
      <w:r>
        <w:rPr>
          <w:rFonts w:hint="eastAsia"/>
          <w:color w:val="auto"/>
          <w:lang w:eastAsia="zh-CN"/>
        </w:rPr>
        <w:t>“</w:t>
      </w:r>
      <w:r>
        <w:rPr>
          <w:rFonts w:hint="eastAsia"/>
          <w:color w:val="auto"/>
        </w:rPr>
        <w:t>印花税专用税收票证是税务机关或印花税票代售人在征收印花税时向纳税人交付、开具的纸质税收票证。具体包括：</w:t>
      </w:r>
    </w:p>
    <w:p>
      <w:pPr>
        <w:keepNext w:val="0"/>
        <w:keepLines w:val="0"/>
        <w:pageBreakBefore w:val="0"/>
        <w:widowControl w:val="0"/>
        <w:kinsoku/>
        <w:wordWrap/>
        <w:overflowPunct/>
        <w:topLinePunct w:val="0"/>
        <w:autoSpaceDE/>
        <w:autoSpaceDN/>
        <w:bidi w:val="0"/>
        <w:adjustRightInd w:val="0"/>
        <w:snapToGrid w:val="0"/>
        <w:ind w:firstLine="472"/>
        <w:textAlignment w:val="auto"/>
        <w:rPr>
          <w:rFonts w:hint="eastAsia"/>
          <w:color w:val="auto"/>
        </w:rPr>
      </w:pPr>
      <w:r>
        <w:rPr>
          <w:rFonts w:hint="eastAsia"/>
          <w:color w:val="auto"/>
        </w:rPr>
        <w:t>（一）印花税票。印有固定金额，专门用于征收印花税的有价证券。纳税人缴纳印花税，可以购买印花税票贴花缴纳，也可以开具税收缴款书缴纳。采用开具税收缴款书缴纳的，应当将纸质税收缴款书或税收完税证明粘贴在应税凭证上，或者由税务机关在应税凭证上加盖印花税收讫专用章。</w:t>
      </w:r>
    </w:p>
    <w:p>
      <w:pPr>
        <w:keepNext w:val="0"/>
        <w:keepLines w:val="0"/>
        <w:pageBreakBefore w:val="0"/>
        <w:widowControl w:val="0"/>
        <w:kinsoku/>
        <w:wordWrap/>
        <w:overflowPunct/>
        <w:topLinePunct w:val="0"/>
        <w:autoSpaceDE/>
        <w:autoSpaceDN/>
        <w:bidi w:val="0"/>
        <w:adjustRightInd w:val="0"/>
        <w:snapToGrid w:val="0"/>
        <w:ind w:firstLine="472"/>
        <w:textAlignment w:val="auto"/>
        <w:rPr>
          <w:rFonts w:hint="eastAsia"/>
          <w:color w:val="auto"/>
        </w:rPr>
      </w:pPr>
      <w:r>
        <w:rPr>
          <w:rFonts w:hint="eastAsia"/>
          <w:color w:val="auto"/>
        </w:rPr>
        <w:t>（二）《印花税票销售凭证》。税务机关和印花税票代售人销售印花税票时一并开具的专供购买方报销的纸质凭证。</w:t>
      </w:r>
      <w:r>
        <w:rPr>
          <w:rFonts w:hint="eastAsia"/>
          <w:color w:val="auto"/>
          <w:lang w:eastAsia="zh-CN"/>
        </w:rPr>
        <w:t>”</w:t>
      </w:r>
    </w:p>
    <w:p>
      <w:pPr>
        <w:keepNext w:val="0"/>
        <w:keepLines w:val="0"/>
        <w:pageBreakBefore w:val="0"/>
        <w:widowControl w:val="0"/>
        <w:kinsoku/>
        <w:wordWrap/>
        <w:overflowPunct/>
        <w:topLinePunct w:val="0"/>
        <w:autoSpaceDE/>
        <w:autoSpaceDN/>
        <w:bidi w:val="0"/>
        <w:adjustRightInd w:val="0"/>
        <w:snapToGrid w:val="0"/>
        <w:ind w:firstLine="472"/>
        <w:textAlignment w:val="auto"/>
        <w:rPr>
          <w:rFonts w:hint="eastAsia"/>
          <w:color w:val="auto"/>
        </w:rPr>
      </w:pPr>
      <w:r>
        <w:rPr>
          <w:rFonts w:hint="eastAsia"/>
          <w:color w:val="auto"/>
        </w:rPr>
        <w:t>3.《国家税务总局关于实施〈税收票证管理办法〉若干问题的公告》（国家税务总局公告2013年第34号）第二条第四项</w:t>
      </w:r>
    </w:p>
    <w:p>
      <w:pPr>
        <w:keepNext w:val="0"/>
        <w:keepLines w:val="0"/>
        <w:pageBreakBefore w:val="0"/>
        <w:widowControl w:val="0"/>
        <w:kinsoku/>
        <w:wordWrap/>
        <w:overflowPunct/>
        <w:topLinePunct w:val="0"/>
        <w:autoSpaceDE/>
        <w:autoSpaceDN/>
        <w:bidi w:val="0"/>
        <w:adjustRightInd w:val="0"/>
        <w:snapToGrid w:val="0"/>
        <w:ind w:firstLine="472"/>
        <w:textAlignment w:val="auto"/>
        <w:rPr>
          <w:rFonts w:hint="eastAsia"/>
          <w:color w:val="auto"/>
        </w:rPr>
      </w:pPr>
      <w:r>
        <w:rPr>
          <w:rFonts w:hint="eastAsia"/>
          <w:color w:val="auto"/>
          <w:lang w:eastAsia="zh-CN"/>
        </w:rPr>
        <w:t>“（四）</w:t>
      </w:r>
      <w:r>
        <w:rPr>
          <w:rFonts w:hint="eastAsia"/>
          <w:color w:val="auto"/>
        </w:rPr>
        <w:t>《印花税票销售凭证》的使用管理</w:t>
      </w:r>
    </w:p>
    <w:p>
      <w:pPr>
        <w:keepNext w:val="0"/>
        <w:keepLines w:val="0"/>
        <w:pageBreakBefore w:val="0"/>
        <w:widowControl w:val="0"/>
        <w:kinsoku/>
        <w:wordWrap/>
        <w:overflowPunct/>
        <w:topLinePunct w:val="0"/>
        <w:autoSpaceDE/>
        <w:autoSpaceDN/>
        <w:bidi w:val="0"/>
        <w:adjustRightInd w:val="0"/>
        <w:snapToGrid w:val="0"/>
        <w:ind w:firstLine="472"/>
        <w:textAlignment w:val="auto"/>
        <w:rPr>
          <w:rFonts w:hint="eastAsia" w:eastAsia="宋体"/>
          <w:color w:val="auto"/>
          <w:lang w:val="en-US" w:eastAsia="zh-CN"/>
        </w:rPr>
      </w:pPr>
      <w:r>
        <w:rPr>
          <w:rFonts w:hint="eastAsia"/>
          <w:color w:val="auto"/>
        </w:rPr>
        <w:t>税务机关、代售人销售印花税票应当同时开具《印花税票销售凭证》；税务机关印花税票销售人员、代售人向税收票证管理人员办理票款结报缴销时，应当持《印花税票销售凭证》一并办理。</w:t>
      </w:r>
      <w:r>
        <w:rPr>
          <w:rFonts w:hint="eastAsia"/>
          <w:color w:val="auto"/>
          <w:lang w:eastAsia="zh-CN"/>
        </w:rPr>
        <w:t>”</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1969"/>
        <w:gridCol w:w="850"/>
        <w:gridCol w:w="980"/>
        <w:gridCol w:w="1587"/>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196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850"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80"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587"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63"/>
              <w:widowControl/>
              <w:spacing w:line="280" w:lineRule="exact"/>
              <w:ind w:firstLine="0" w:firstLineChars="0"/>
              <w:jc w:val="center"/>
              <w:rPr>
                <w:rFonts w:cs="宋体"/>
                <w:color w:val="auto"/>
                <w:kern w:val="0"/>
                <w:sz w:val="18"/>
                <w:szCs w:val="18"/>
              </w:rPr>
            </w:pPr>
            <w:r>
              <w:rPr>
                <w:rFonts w:hint="eastAsia" w:ascii="宋体" w:hAnsi="宋体" w:cs="微软雅黑"/>
                <w:color w:val="auto"/>
                <w:sz w:val="18"/>
                <w:szCs w:val="18"/>
              </w:rPr>
              <w:t>1</w:t>
            </w:r>
          </w:p>
        </w:tc>
        <w:tc>
          <w:tcPr>
            <w:tcW w:w="1969" w:type="dxa"/>
            <w:shd w:val="clear" w:color="auto" w:fill="auto"/>
            <w:vAlign w:val="center"/>
          </w:tcPr>
          <w:p>
            <w:pPr>
              <w:pStyle w:val="63"/>
              <w:widowControl/>
              <w:spacing w:line="280" w:lineRule="exact"/>
              <w:ind w:firstLine="0" w:firstLineChars="0"/>
              <w:jc w:val="center"/>
              <w:rPr>
                <w:rFonts w:cs="宋体"/>
                <w:color w:val="auto"/>
                <w:kern w:val="0"/>
                <w:sz w:val="18"/>
                <w:szCs w:val="18"/>
              </w:rPr>
            </w:pPr>
            <w:r>
              <w:rPr>
                <w:rFonts w:hint="eastAsia" w:ascii="宋体" w:hAnsi="宋体" w:cs="微软雅黑"/>
                <w:color w:val="auto"/>
                <w:sz w:val="18"/>
                <w:szCs w:val="18"/>
              </w:rPr>
              <w:t>税务登记证副本</w:t>
            </w:r>
          </w:p>
        </w:tc>
        <w:tc>
          <w:tcPr>
            <w:tcW w:w="850" w:type="dxa"/>
            <w:shd w:val="clear" w:color="auto" w:fill="auto"/>
            <w:vAlign w:val="center"/>
          </w:tcPr>
          <w:p>
            <w:pPr>
              <w:pStyle w:val="63"/>
              <w:widowControl/>
              <w:spacing w:line="280" w:lineRule="exact"/>
              <w:ind w:firstLine="0" w:firstLineChars="0"/>
              <w:jc w:val="center"/>
              <w:rPr>
                <w:rFonts w:cs="宋体"/>
                <w:color w:val="auto"/>
                <w:kern w:val="0"/>
                <w:sz w:val="18"/>
                <w:szCs w:val="18"/>
              </w:rPr>
            </w:pPr>
            <w:r>
              <w:rPr>
                <w:rFonts w:hint="eastAsia" w:ascii="宋体" w:hAnsi="宋体" w:cs="微软雅黑"/>
                <w:color w:val="auto"/>
                <w:sz w:val="18"/>
                <w:szCs w:val="18"/>
              </w:rPr>
              <w:t>1</w:t>
            </w:r>
          </w:p>
        </w:tc>
        <w:tc>
          <w:tcPr>
            <w:tcW w:w="980" w:type="dxa"/>
            <w:shd w:val="clear" w:color="auto" w:fill="auto"/>
            <w:vAlign w:val="center"/>
          </w:tcPr>
          <w:p>
            <w:pPr>
              <w:pStyle w:val="63"/>
              <w:widowControl/>
              <w:spacing w:line="280" w:lineRule="exact"/>
              <w:ind w:firstLine="0" w:firstLineChars="0"/>
              <w:jc w:val="center"/>
              <w:rPr>
                <w:rFonts w:cs="宋体"/>
                <w:color w:val="auto"/>
                <w:kern w:val="0"/>
                <w:sz w:val="18"/>
                <w:szCs w:val="18"/>
              </w:rPr>
            </w:pPr>
            <w:r>
              <w:rPr>
                <w:rFonts w:hint="eastAsia" w:ascii="宋体" w:hAnsi="宋体" w:cs="微软雅黑"/>
                <w:color w:val="auto"/>
                <w:sz w:val="18"/>
                <w:szCs w:val="18"/>
              </w:rPr>
              <w:t>条件报送</w:t>
            </w:r>
          </w:p>
        </w:tc>
        <w:tc>
          <w:tcPr>
            <w:tcW w:w="1587" w:type="dxa"/>
            <w:shd w:val="clear" w:color="auto" w:fill="auto"/>
            <w:vAlign w:val="center"/>
          </w:tcPr>
          <w:p>
            <w:pPr>
              <w:pStyle w:val="63"/>
              <w:widowControl/>
              <w:spacing w:line="280" w:lineRule="exact"/>
              <w:ind w:firstLine="0" w:firstLineChars="0"/>
              <w:rPr>
                <w:rFonts w:cs="宋体"/>
                <w:color w:val="auto"/>
                <w:kern w:val="0"/>
                <w:sz w:val="18"/>
                <w:szCs w:val="18"/>
              </w:rPr>
            </w:pPr>
            <w:r>
              <w:rPr>
                <w:rFonts w:ascii="宋体" w:hAnsi="宋体"/>
                <w:color w:val="auto"/>
                <w:sz w:val="18"/>
              </w:rPr>
              <w:t>未实行“多证合一、一照一码、两证整合”登记模式的纳税人报送</w:t>
            </w:r>
            <w:r>
              <w:rPr>
                <w:rFonts w:hint="eastAsia" w:ascii="宋体" w:hAnsi="宋体"/>
                <w:color w:val="auto"/>
                <w:sz w:val="18"/>
              </w:rPr>
              <w:t>。</w:t>
            </w:r>
            <w:r>
              <w:rPr>
                <w:rFonts w:hint="eastAsia" w:ascii="宋体" w:hAnsi="宋体" w:cs="微软雅黑"/>
                <w:color w:val="auto"/>
                <w:sz w:val="18"/>
                <w:szCs w:val="18"/>
              </w:rPr>
              <w:t>已</w:t>
            </w:r>
            <w:r>
              <w:rPr>
                <w:rFonts w:hint="eastAsia" w:ascii="宋体" w:hAnsi="宋体"/>
                <w:color w:val="auto"/>
                <w:sz w:val="18"/>
              </w:rPr>
              <w:t>实行实名制的可取消报送。</w:t>
            </w:r>
          </w:p>
        </w:tc>
        <w:tc>
          <w:tcPr>
            <w:tcW w:w="1134" w:type="dxa"/>
            <w:vAlign w:val="center"/>
          </w:tcPr>
          <w:p>
            <w:pPr>
              <w:widowControl/>
              <w:spacing w:line="280" w:lineRule="exact"/>
              <w:ind w:firstLine="0" w:firstLineChars="0"/>
              <w:contextualSpacing/>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hint="eastAsia" w:eastAsia="宋体" w:cs="宋体"/>
                <w:color w:val="auto"/>
                <w:kern w:val="0"/>
                <w:sz w:val="18"/>
                <w:szCs w:val="18"/>
                <w:lang w:eastAsia="zh-CN"/>
              </w:rPr>
            </w:pPr>
            <w:r>
              <w:rPr>
                <w:rFonts w:hint="eastAsia" w:cs="宋体"/>
                <w:color w:val="auto"/>
                <w:kern w:val="0"/>
                <w:sz w:val="18"/>
                <w:szCs w:val="18"/>
                <w:lang w:eastAsia="zh-CN"/>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63"/>
              <w:widowControl/>
              <w:spacing w:line="280" w:lineRule="exact"/>
              <w:ind w:firstLine="0" w:firstLineChars="0"/>
              <w:jc w:val="center"/>
              <w:rPr>
                <w:rFonts w:ascii="宋体" w:hAnsi="宋体" w:eastAsia="宋体" w:cs="微软雅黑"/>
                <w:color w:val="auto"/>
                <w:sz w:val="18"/>
                <w:szCs w:val="18"/>
              </w:rPr>
            </w:pPr>
            <w:r>
              <w:rPr>
                <w:rFonts w:hint="eastAsia" w:ascii="宋体" w:hAnsi="宋体" w:cs="微软雅黑"/>
                <w:color w:val="auto"/>
                <w:sz w:val="18"/>
                <w:szCs w:val="18"/>
              </w:rPr>
              <w:t>2</w:t>
            </w:r>
          </w:p>
        </w:tc>
        <w:tc>
          <w:tcPr>
            <w:tcW w:w="1969" w:type="dxa"/>
            <w:shd w:val="clear" w:color="auto" w:fill="auto"/>
            <w:vAlign w:val="center"/>
          </w:tcPr>
          <w:p>
            <w:pPr>
              <w:pStyle w:val="63"/>
              <w:widowControl/>
              <w:spacing w:line="280" w:lineRule="exact"/>
              <w:ind w:firstLine="0" w:firstLineChars="0"/>
              <w:jc w:val="center"/>
              <w:rPr>
                <w:rFonts w:hint="eastAsia" w:ascii="宋体" w:hAnsi="宋体" w:eastAsia="宋体" w:cs="微软雅黑"/>
                <w:color w:val="auto"/>
                <w:sz w:val="18"/>
                <w:szCs w:val="18"/>
              </w:rPr>
            </w:pPr>
            <w:r>
              <w:rPr>
                <w:rFonts w:hint="eastAsia" w:ascii="宋体" w:hAnsi="宋体" w:cs="微软雅黑"/>
                <w:color w:val="auto"/>
                <w:sz w:val="18"/>
                <w:szCs w:val="18"/>
              </w:rPr>
              <w:t>纳税人身份证件</w:t>
            </w:r>
          </w:p>
        </w:tc>
        <w:tc>
          <w:tcPr>
            <w:tcW w:w="850" w:type="dxa"/>
            <w:shd w:val="clear" w:color="auto" w:fill="auto"/>
            <w:vAlign w:val="center"/>
          </w:tcPr>
          <w:p>
            <w:pPr>
              <w:pStyle w:val="63"/>
              <w:widowControl/>
              <w:spacing w:line="280" w:lineRule="exact"/>
              <w:ind w:firstLine="0" w:firstLineChars="0"/>
              <w:jc w:val="center"/>
              <w:rPr>
                <w:rStyle w:val="17"/>
                <w:rFonts w:ascii="宋体" w:hAnsi="宋体" w:eastAsia="宋体" w:cs="微软雅黑"/>
                <w:b w:val="0"/>
                <w:color w:val="auto"/>
                <w:sz w:val="18"/>
                <w:szCs w:val="18"/>
              </w:rPr>
            </w:pPr>
            <w:r>
              <w:rPr>
                <w:rFonts w:hint="eastAsia" w:ascii="宋体" w:hAnsi="宋体" w:cs="微软雅黑"/>
                <w:color w:val="auto"/>
                <w:sz w:val="18"/>
                <w:szCs w:val="18"/>
              </w:rPr>
              <w:t>1</w:t>
            </w:r>
          </w:p>
        </w:tc>
        <w:tc>
          <w:tcPr>
            <w:tcW w:w="980" w:type="dxa"/>
            <w:shd w:val="clear" w:color="auto" w:fill="auto"/>
            <w:vAlign w:val="center"/>
          </w:tcPr>
          <w:p>
            <w:pPr>
              <w:pStyle w:val="63"/>
              <w:widowControl/>
              <w:spacing w:line="280" w:lineRule="exact"/>
              <w:ind w:firstLine="0" w:firstLineChars="0"/>
              <w:jc w:val="center"/>
              <w:rPr>
                <w:rFonts w:hint="eastAsia" w:ascii="宋体" w:hAnsi="宋体" w:eastAsia="宋体" w:cs="微软雅黑"/>
                <w:color w:val="auto"/>
                <w:sz w:val="18"/>
                <w:szCs w:val="18"/>
              </w:rPr>
            </w:pPr>
            <w:r>
              <w:rPr>
                <w:rFonts w:hint="eastAsia" w:ascii="宋体" w:hAnsi="宋体" w:cs="微软雅黑"/>
                <w:color w:val="auto"/>
                <w:sz w:val="18"/>
                <w:szCs w:val="18"/>
              </w:rPr>
              <w:t>条件报送</w:t>
            </w:r>
          </w:p>
        </w:tc>
        <w:tc>
          <w:tcPr>
            <w:tcW w:w="1587" w:type="dxa"/>
            <w:shd w:val="clear" w:color="auto" w:fill="auto"/>
            <w:vAlign w:val="center"/>
          </w:tcPr>
          <w:p>
            <w:pPr>
              <w:pStyle w:val="63"/>
              <w:widowControl/>
              <w:spacing w:line="280" w:lineRule="exact"/>
              <w:ind w:firstLine="0" w:firstLineChars="0"/>
              <w:jc w:val="center"/>
              <w:rPr>
                <w:rFonts w:cs="宋体"/>
                <w:color w:val="auto"/>
                <w:kern w:val="0"/>
                <w:sz w:val="18"/>
                <w:szCs w:val="18"/>
              </w:rPr>
            </w:pPr>
            <w:r>
              <w:rPr>
                <w:rFonts w:hint="eastAsia" w:ascii="宋体" w:hAnsi="宋体" w:cs="微软雅黑"/>
                <w:color w:val="auto"/>
                <w:sz w:val="18"/>
                <w:szCs w:val="18"/>
              </w:rPr>
              <w:t>自然人纳税</w:t>
            </w:r>
            <w:r>
              <w:rPr>
                <w:rFonts w:ascii="宋体" w:hAnsi="宋体" w:cs="微软雅黑"/>
                <w:color w:val="auto"/>
                <w:sz w:val="18"/>
                <w:szCs w:val="18"/>
              </w:rPr>
              <w:t>人</w:t>
            </w:r>
            <w:r>
              <w:rPr>
                <w:rFonts w:hint="eastAsia" w:ascii="宋体" w:hAnsi="宋体" w:cs="微软雅黑"/>
                <w:color w:val="auto"/>
                <w:sz w:val="18"/>
                <w:szCs w:val="18"/>
              </w:rPr>
              <w:t>报送</w:t>
            </w:r>
          </w:p>
        </w:tc>
        <w:tc>
          <w:tcPr>
            <w:tcW w:w="1134" w:type="dxa"/>
            <w:vAlign w:val="center"/>
          </w:tcPr>
          <w:p>
            <w:pPr>
              <w:widowControl/>
              <w:spacing w:line="280" w:lineRule="exact"/>
              <w:ind w:firstLine="0" w:firstLineChars="0"/>
              <w:contextualSpacing/>
              <w:jc w:val="center"/>
              <w:rPr>
                <w:rFonts w:hint="eastAsia" w:cs="宋体"/>
                <w:color w:val="auto"/>
                <w:kern w:val="0"/>
                <w:sz w:val="18"/>
                <w:szCs w:val="18"/>
                <w:lang w:eastAsia="zh-CN"/>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lang w:eastAsia="zh-CN"/>
              </w:rPr>
            </w:pPr>
            <w:r>
              <w:rPr>
                <w:rFonts w:hint="eastAsia" w:cs="宋体"/>
                <w:color w:val="auto"/>
                <w:kern w:val="0"/>
                <w:sz w:val="18"/>
                <w:szCs w:val="18"/>
                <w:lang w:eastAsia="zh-CN"/>
              </w:rPr>
              <w:t>是</w:t>
            </w:r>
          </w:p>
        </w:tc>
      </w:tr>
    </w:tbl>
    <w:p>
      <w:pPr>
        <w:pStyle w:val="3"/>
        <w:ind w:firstLine="552"/>
        <w:rPr>
          <w:color w:val="auto"/>
        </w:rPr>
      </w:pPr>
      <w:r>
        <w:rPr>
          <w:rFonts w:hint="eastAsia"/>
          <w:color w:val="auto"/>
        </w:rPr>
        <w:t>六</w:t>
      </w:r>
      <w:r>
        <w:rPr>
          <w:color w:val="auto"/>
        </w:rPr>
        <w:t>、办理流程</w:t>
      </w:r>
    </w:p>
    <w:p>
      <w:pPr>
        <w:spacing w:line="240" w:lineRule="auto"/>
        <w:ind w:left="472" w:firstLine="0" w:firstLineChars="0"/>
        <w:rPr>
          <w:color w:val="auto"/>
        </w:rPr>
      </w:pPr>
      <w:r>
        <w:rPr>
          <w:rFonts w:ascii="Calibri Light" w:hAnsi="Calibri Light"/>
          <w:color w:val="auto"/>
          <w:szCs w:val="32"/>
        </w:rPr>
        <w:object>
          <v:shape id="_x0000_i1129" o:spt="75" type="#_x0000_t75" style="height:114.35pt;width:368.7pt;" o:ole="t" filled="f" o:preferrelative="t" stroked="f" coordsize="21600,21600">
            <v:path/>
            <v:fill on="f" focussize="0,0"/>
            <v:stroke on="f"/>
            <v:imagedata r:id="rId11" o:title=""/>
            <o:lock v:ext="edit" aspectratio="f"/>
            <w10:wrap type="none"/>
            <w10:anchorlock/>
          </v:shape>
          <o:OLEObject Type="Embed" ProgID="" ShapeID="_x0000_i1129" DrawAspect="Content" ObjectID="_1468075725" r:id="rId10">
            <o:LockedField>false</o:LockedField>
          </o:OLEObject>
        </w:obje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w:t>
      </w:r>
      <w:r>
        <w:rPr>
          <w:rFonts w:hint="eastAsia"/>
          <w:color w:val="auto"/>
          <w:lang w:eastAsia="zh-CN"/>
        </w:rPr>
        <w:t>即时办结</w:t>
      </w:r>
      <w:r>
        <w:rPr>
          <w:rFonts w:hint="eastAsia"/>
          <w:color w:val="auto"/>
        </w:rPr>
        <w:t>。</w:t>
      </w:r>
    </w:p>
    <w:p>
      <w:pPr>
        <w:pStyle w:val="3"/>
        <w:ind w:firstLine="552"/>
        <w:rPr>
          <w:color w:val="auto"/>
        </w:rPr>
      </w:pPr>
      <w:r>
        <w:rPr>
          <w:rFonts w:hint="eastAsia"/>
          <w:color w:val="auto"/>
        </w:rPr>
        <w:t>八、表证单书</w:t>
      </w:r>
    </w:p>
    <w:p>
      <w:pPr>
        <w:ind w:firstLine="472"/>
        <w:rPr>
          <w:rFonts w:hint="eastAsia"/>
          <w:color w:val="auto"/>
          <w:lang w:eastAsia="zh-CN"/>
        </w:rPr>
      </w:pPr>
      <w:r>
        <w:rPr>
          <w:rFonts w:hint="eastAsia"/>
          <w:color w:val="auto"/>
          <w:lang w:eastAsia="zh-CN"/>
        </w:rPr>
        <w:t>无</w:t>
      </w:r>
    </w:p>
    <w:p>
      <w:pPr>
        <w:pStyle w:val="3"/>
        <w:ind w:firstLine="552"/>
        <w:rPr>
          <w:color w:val="auto"/>
        </w:rPr>
      </w:pPr>
      <w:r>
        <w:rPr>
          <w:rFonts w:hint="eastAsia"/>
          <w:color w:val="auto"/>
        </w:rPr>
        <w:t>九、注意事项</w:t>
      </w:r>
    </w:p>
    <w:p>
      <w:pPr>
        <w:ind w:left="0" w:leftChars="0" w:firstLine="472" w:firstLineChars="200"/>
        <w:rPr>
          <w:color w:val="auto"/>
        </w:rPr>
      </w:pPr>
      <w:r>
        <w:rPr>
          <w:color w:val="auto"/>
        </w:rPr>
        <w:t>1.</w:t>
      </w:r>
      <w:r>
        <w:rPr>
          <w:rFonts w:hint="eastAsia"/>
          <w:color w:val="auto"/>
        </w:rPr>
        <w:t>纳税人对报送资料的真实性和合法性承担责任。</w:t>
      </w:r>
    </w:p>
    <w:p>
      <w:pPr>
        <w:ind w:firstLine="472"/>
        <w:jc w:val="left"/>
        <w:rPr>
          <w:rFonts w:hint="eastAsia"/>
          <w:color w:val="auto"/>
        </w:rPr>
      </w:pPr>
      <w:r>
        <w:rPr>
          <w:rFonts w:hint="eastAsia"/>
          <w:color w:val="auto"/>
          <w:lang w:val="en-US" w:eastAsia="zh-CN"/>
        </w:rPr>
        <w:t>2</w:t>
      </w:r>
      <w:r>
        <w:rPr>
          <w:rFonts w:hint="eastAsia"/>
          <w:color w:val="auto"/>
        </w:rPr>
        <w:t>.最多跑一次是在资料完整且符合法定受理条件的前提下，最多只需要到税务机关跑一次。</w:t>
      </w:r>
    </w:p>
    <w:p>
      <w:pPr>
        <w:ind w:firstLine="472"/>
        <w:jc w:val="left"/>
        <w:rPr>
          <w:rFonts w:hint="default" w:eastAsia="宋体"/>
          <w:color w:val="auto"/>
          <w:lang w:val="en-US" w:eastAsia="zh-CN"/>
        </w:rPr>
      </w:pPr>
      <w:r>
        <w:rPr>
          <w:rFonts w:hint="eastAsia"/>
          <w:color w:val="auto"/>
          <w:lang w:val="en-US" w:eastAsia="zh-CN"/>
        </w:rPr>
        <w:t>3.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rFonts w:hint="eastAsia"/>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0B0E54"/>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74</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2019-10-31T04:51:35Z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