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11462"/>
      <w:r>
        <w:rPr>
          <w:rFonts w:ascii="黑体" w:hAnsi="黑体" w:cs="黑体"/>
          <w:color w:val="auto"/>
        </w:rPr>
        <w:t>2.</w:t>
      </w:r>
      <w:r>
        <w:rPr>
          <w:rFonts w:hint="eastAsia" w:ascii="黑体" w:hAnsi="黑体" w:cs="黑体"/>
          <w:color w:val="auto"/>
        </w:rPr>
        <w:t>2</w:t>
      </w:r>
      <w:r>
        <w:rPr>
          <w:rFonts w:ascii="黑体" w:hAnsi="黑体" w:cs="黑体"/>
          <w:color w:val="auto"/>
        </w:rPr>
        <w:t>.1</w:t>
      </w:r>
      <w:r>
        <w:rPr>
          <w:rFonts w:hint="eastAsia" w:ascii="黑体" w:hAnsi="黑体" w:cs="黑体"/>
          <w:color w:val="auto"/>
        </w:rPr>
        <w:t>.2</w:t>
      </w:r>
      <w:r>
        <w:rPr>
          <w:rFonts w:hint="eastAsia"/>
          <w:color w:val="auto"/>
        </w:rPr>
        <w:t>对纳税人延期缴纳税款的核准</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对纳税人延期缴纳税款的核准</w:t>
      </w:r>
    </w:p>
    <w:p>
      <w:pPr>
        <w:pStyle w:val="3"/>
        <w:ind w:firstLine="552"/>
        <w:rPr>
          <w:color w:val="auto"/>
        </w:rPr>
      </w:pPr>
      <w:r>
        <w:rPr>
          <w:color w:val="auto"/>
        </w:rPr>
        <w:t>二、事项类别</w:t>
      </w:r>
    </w:p>
    <w:p>
      <w:pPr>
        <w:pStyle w:val="49"/>
        <w:numPr>
          <w:ilvl w:val="0"/>
          <w:numId w:val="3"/>
        </w:numPr>
        <w:ind w:firstLineChars="0"/>
        <w:rPr>
          <w:color w:val="auto"/>
        </w:rPr>
      </w:pPr>
      <w:r>
        <w:rPr>
          <w:rFonts w:hint="eastAsia"/>
          <w:color w:val="auto"/>
        </w:rPr>
        <w:t>发起方式：人工发起（纳税人）</w:t>
      </w:r>
    </w:p>
    <w:p>
      <w:pPr>
        <w:pStyle w:val="49"/>
        <w:numPr>
          <w:ilvl w:val="0"/>
          <w:numId w:val="3"/>
        </w:numPr>
        <w:ind w:firstLineChars="0"/>
        <w:rPr>
          <w:color w:val="auto"/>
        </w:rPr>
      </w:pPr>
      <w:r>
        <w:rPr>
          <w:rFonts w:hint="eastAsia"/>
          <w:color w:val="auto"/>
        </w:rPr>
        <w:t>办结方式：限时办结</w:t>
      </w:r>
    </w:p>
    <w:p>
      <w:pPr>
        <w:pStyle w:val="49"/>
        <w:numPr>
          <w:ilvl w:val="0"/>
          <w:numId w:val="3"/>
        </w:numPr>
        <w:ind w:firstLineChars="0"/>
        <w:rPr>
          <w:color w:val="auto"/>
        </w:rPr>
      </w:pPr>
      <w:r>
        <w:rPr>
          <w:rFonts w:hint="eastAsia"/>
          <w:color w:val="auto"/>
        </w:rPr>
        <w:t>全省通办：是</w:t>
      </w:r>
    </w:p>
    <w:p>
      <w:pPr>
        <w:pStyle w:val="49"/>
        <w:numPr>
          <w:ilvl w:val="0"/>
          <w:numId w:val="3"/>
        </w:numPr>
        <w:ind w:firstLineChars="0"/>
        <w:rPr>
          <w:color w:val="auto"/>
        </w:rPr>
      </w:pPr>
      <w:r>
        <w:rPr>
          <w:rFonts w:hint="eastAsia"/>
          <w:color w:val="auto"/>
        </w:rPr>
        <w:t>网上办理：是</w:t>
      </w:r>
    </w:p>
    <w:p>
      <w:pPr>
        <w:pStyle w:val="49"/>
        <w:numPr>
          <w:ilvl w:val="0"/>
          <w:numId w:val="3"/>
        </w:numPr>
        <w:ind w:firstLineChars="0"/>
        <w:rPr>
          <w:color w:val="auto"/>
        </w:rPr>
      </w:pPr>
      <w:r>
        <w:rPr>
          <w:rFonts w:hint="eastAsia"/>
          <w:color w:val="auto"/>
        </w:rPr>
        <w:t>适用层级：省级</w:t>
      </w:r>
    </w:p>
    <w:p>
      <w:pPr>
        <w:widowControl w:val="0"/>
        <w:numPr>
          <w:ilvl w:val="0"/>
          <w:numId w:val="4"/>
        </w:numPr>
        <w:spacing w:line="578" w:lineRule="exact"/>
        <w:ind w:left="892" w:hanging="420" w:firstLineChars="0"/>
        <w:jc w:val="both"/>
        <w:rPr>
          <w:rFonts w:ascii="宋体" w:hAnsi="宋体" w:eastAsia="宋体" w:cs="Times New Roman"/>
          <w:color w:val="auto"/>
          <w:kern w:val="2"/>
          <w:sz w:val="24"/>
          <w:szCs w:val="22"/>
          <w:lang w:val="en-US" w:eastAsia="zh-CN" w:bidi="ar-SA"/>
        </w:rPr>
      </w:pPr>
      <w:r>
        <w:rPr>
          <w:rFonts w:hint="eastAsia" w:ascii="宋体" w:hAnsi="宋体" w:eastAsia="宋体" w:cs="Times New Roman"/>
          <w:color w:val="auto"/>
          <w:kern w:val="2"/>
          <w:sz w:val="24"/>
          <w:szCs w:val="22"/>
          <w:lang w:val="en-US" w:eastAsia="zh-CN" w:bidi="ar-SA"/>
        </w:rPr>
        <w:t>最多跑一次：是</w:t>
      </w:r>
    </w:p>
    <w:p>
      <w:pPr>
        <w:pStyle w:val="3"/>
        <w:ind w:firstLine="552"/>
        <w:rPr>
          <w:rFonts w:hint="eastAsia" w:eastAsia="黑体"/>
          <w:color w:val="auto"/>
          <w:lang w:val="en-US" w:eastAsia="zh-CN"/>
        </w:rPr>
      </w:pPr>
      <w:r>
        <w:rPr>
          <w:rFonts w:hint="eastAsia"/>
          <w:color w:val="auto"/>
          <w:lang w:val="en-US" w:eastAsia="zh-CN"/>
        </w:rPr>
        <w:t>三</w:t>
      </w:r>
      <w:r>
        <w:rPr>
          <w:color w:val="auto"/>
        </w:rPr>
        <w:t>、</w:t>
      </w:r>
      <w:r>
        <w:rPr>
          <w:rFonts w:hint="eastAsia" w:eastAsia="黑体" w:asciiTheme="majorHAnsi" w:hAnsiTheme="majorHAnsi" w:cstheme="majorBidi"/>
          <w:bCs/>
          <w:color w:val="auto"/>
          <w:kern w:val="2"/>
          <w:sz w:val="28"/>
          <w:szCs w:val="32"/>
          <w:lang w:val="en-US" w:eastAsia="zh-CN" w:bidi="ar-SA"/>
        </w:rPr>
        <w:t>办理条件</w:t>
      </w:r>
    </w:p>
    <w:p>
      <w:pPr>
        <w:ind w:firstLine="472"/>
        <w:rPr>
          <w:color w:val="auto"/>
        </w:rPr>
      </w:pPr>
      <w:r>
        <w:rPr>
          <w:rFonts w:hint="eastAsia"/>
          <w:color w:val="auto"/>
        </w:rPr>
        <w:t>延期缴纳税款核准，是指纳税人因不可抗力因素，导致发生较大损失，正常生产经营活动受到较大影响的，或者当期货币资金在扣除应付职工工资、社会保险费后不足缴纳税款的，经省、自治区、直辖市税务局批准，可以延期缴纳税款，但最长不得超过</w:t>
      </w:r>
      <w:r>
        <w:rPr>
          <w:color w:val="auto"/>
        </w:rPr>
        <w:t>3个月。</w:t>
      </w:r>
    </w:p>
    <w:p>
      <w:pPr>
        <w:pStyle w:val="3"/>
        <w:ind w:firstLine="560"/>
        <w:rPr>
          <w:color w:val="auto"/>
        </w:rPr>
      </w:pPr>
      <w:r>
        <w:rPr>
          <w:rFonts w:hint="eastAsia" w:cs="黑体"/>
          <w:color w:val="auto"/>
          <w:lang w:val="en-US" w:eastAsia="zh-CN"/>
        </w:rPr>
        <w:t>四</w:t>
      </w:r>
      <w:r>
        <w:rPr>
          <w:rFonts w:hint="eastAsia" w:cs="黑体"/>
          <w:color w:val="auto"/>
        </w:rPr>
        <w:t>、</w:t>
      </w:r>
      <w:r>
        <w:rPr>
          <w:rFonts w:hint="eastAsia" w:cs="黑体"/>
          <w:color w:val="auto"/>
          <w:lang w:val="en-US" w:eastAsia="zh-CN"/>
        </w:rPr>
        <w:t>设定</w:t>
      </w:r>
      <w:r>
        <w:rPr>
          <w:rFonts w:hint="eastAsia" w:cs="黑体"/>
          <w:color w:val="auto"/>
        </w:rPr>
        <w:t>依据</w:t>
      </w:r>
    </w:p>
    <w:p>
      <w:pPr>
        <w:ind w:firstLine="472"/>
        <w:rPr>
          <w:rFonts w:hint="default"/>
          <w:color w:val="auto"/>
        </w:rPr>
      </w:pPr>
      <w:r>
        <w:rPr>
          <w:rFonts w:hint="default"/>
          <w:color w:val="auto"/>
        </w:rPr>
        <w:t>1.《中华人民共和国税收征收管理法》第三十一条第二款</w:t>
      </w:r>
    </w:p>
    <w:p>
      <w:pPr>
        <w:ind w:firstLine="472"/>
        <w:rPr>
          <w:rFonts w:hint="eastAsia"/>
          <w:color w:val="auto"/>
        </w:rPr>
      </w:pPr>
      <w:r>
        <w:rPr>
          <w:rFonts w:hint="eastAsia"/>
          <w:color w:val="auto"/>
          <w:lang w:eastAsia="zh-CN"/>
        </w:rPr>
        <w:t>“</w:t>
      </w:r>
      <w:r>
        <w:rPr>
          <w:rFonts w:hint="default"/>
          <w:color w:val="auto"/>
        </w:rPr>
        <w:t>纳税人因有特殊困难，不能按期缴纳税款的，经省、自治区、直辖市国家税务局、地方税务局批准，可以延期缴纳税款，但是最长不得超过三个月。</w:t>
      </w:r>
      <w:r>
        <w:rPr>
          <w:rFonts w:hint="eastAsia"/>
          <w:color w:val="auto"/>
          <w:lang w:eastAsia="zh-CN"/>
        </w:rPr>
        <w:t>”</w:t>
      </w:r>
    </w:p>
    <w:p>
      <w:pPr>
        <w:ind w:firstLine="472"/>
        <w:rPr>
          <w:rFonts w:hint="default"/>
          <w:color w:val="auto"/>
        </w:rPr>
      </w:pPr>
      <w:r>
        <w:rPr>
          <w:rFonts w:hint="default"/>
          <w:color w:val="auto"/>
        </w:rPr>
        <w:t>《中华人民共和国税收征收管理法实施细则》第四十一条、第四十二条第一款</w:t>
      </w:r>
    </w:p>
    <w:p>
      <w:pPr>
        <w:ind w:firstLine="472"/>
        <w:rPr>
          <w:rFonts w:hint="eastAsia"/>
          <w:color w:val="auto"/>
        </w:rPr>
      </w:pPr>
      <w:r>
        <w:rPr>
          <w:rFonts w:hint="eastAsia"/>
          <w:color w:val="auto"/>
          <w:lang w:eastAsia="zh-CN"/>
        </w:rPr>
        <w:t>“</w:t>
      </w:r>
      <w:r>
        <w:rPr>
          <w:rFonts w:hint="default"/>
          <w:color w:val="auto"/>
        </w:rPr>
        <w:t>第四十一条纳税人有下列情形之一的，属于税收征管法第三十一条所称特殊困难：</w:t>
      </w:r>
    </w:p>
    <w:p>
      <w:pPr>
        <w:ind w:firstLine="472"/>
        <w:rPr>
          <w:rFonts w:hint="eastAsia"/>
          <w:color w:val="auto"/>
        </w:rPr>
      </w:pPr>
      <w:r>
        <w:rPr>
          <w:rFonts w:hint="default"/>
          <w:color w:val="auto"/>
        </w:rPr>
        <w:t>（一）因不可抗力，导致纳税人发生较大损失，正常生产经营活动受到较大影响的；</w:t>
      </w:r>
    </w:p>
    <w:p>
      <w:pPr>
        <w:ind w:firstLine="472"/>
        <w:rPr>
          <w:rFonts w:hint="eastAsia"/>
          <w:color w:val="auto"/>
        </w:rPr>
      </w:pPr>
      <w:r>
        <w:rPr>
          <w:rFonts w:hint="default"/>
          <w:color w:val="auto"/>
        </w:rPr>
        <w:t>（二）当期货币资金在扣除应付职工工资、社会保险费后，不足以缴纳税款的。</w:t>
      </w:r>
    </w:p>
    <w:p>
      <w:pPr>
        <w:ind w:firstLine="472"/>
        <w:rPr>
          <w:rFonts w:hint="eastAsia"/>
          <w:color w:val="auto"/>
        </w:rPr>
      </w:pPr>
      <w:r>
        <w:rPr>
          <w:rFonts w:hint="default"/>
          <w:color w:val="auto"/>
        </w:rPr>
        <w:t>计划单列市国家税务局、地方税务局可以参照税收征管法第三十一条第二款的批准权限，审批纳税人延期缴纳税款。</w:t>
      </w:r>
    </w:p>
    <w:p>
      <w:pPr>
        <w:ind w:firstLine="472"/>
        <w:rPr>
          <w:rFonts w:hint="eastAsia"/>
          <w:color w:val="auto"/>
        </w:rPr>
      </w:pPr>
      <w:r>
        <w:rPr>
          <w:rFonts w:hint="default"/>
          <w:color w:val="auto"/>
        </w:rPr>
        <w:t>第四十二条第一款纳税人需要延期缴纳税款的，应当在缴纳税款期限届满前提出申请，并报送下列材料：申请延期缴纳税款报告，当期货币资金余额情况及所有银行存款账户的对账单，资产负债表，应付职工工资和社会保险费等税务机关要求提供的支出预算。</w:t>
      </w:r>
      <w:r>
        <w:rPr>
          <w:rFonts w:hint="eastAsia"/>
          <w:color w:val="auto"/>
          <w:lang w:eastAsia="zh-CN"/>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noWrap w:val="0"/>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noWrap w:val="0"/>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noWrap w:val="0"/>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noWrap w:val="0"/>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noWrap w:val="0"/>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noWrap w:val="0"/>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noWrap w:val="0"/>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noWrap w:val="0"/>
            <w:vAlign w:val="center"/>
          </w:tcPr>
          <w:p>
            <w:pPr>
              <w:pStyle w:val="13"/>
              <w:widowControl/>
              <w:ind w:firstLine="0" w:firstLineChars="0"/>
              <w:jc w:val="center"/>
              <w:rPr>
                <w:rFonts w:cs="宋体"/>
                <w:color w:val="auto"/>
                <w:kern w:val="0"/>
                <w:sz w:val="18"/>
                <w:szCs w:val="18"/>
              </w:rPr>
            </w:pPr>
            <w:r>
              <w:rPr>
                <w:rFonts w:hint="eastAsia" w:ascii="宋体" w:hAnsi="宋体" w:eastAsia="宋体" w:cs="微软雅黑"/>
                <w:color w:val="auto"/>
                <w:sz w:val="18"/>
                <w:szCs w:val="18"/>
              </w:rPr>
              <w:t>1</w:t>
            </w:r>
          </w:p>
        </w:tc>
        <w:tc>
          <w:tcPr>
            <w:tcW w:w="2551" w:type="dxa"/>
            <w:noWrap w:val="0"/>
            <w:vAlign w:val="center"/>
          </w:tcPr>
          <w:p>
            <w:pPr>
              <w:pStyle w:val="13"/>
              <w:widowControl/>
              <w:ind w:firstLine="0" w:firstLineChars="0"/>
              <w:jc w:val="center"/>
              <w:rPr>
                <w:rFonts w:cs="宋体"/>
                <w:color w:val="auto"/>
                <w:kern w:val="0"/>
                <w:sz w:val="18"/>
                <w:szCs w:val="18"/>
              </w:rPr>
            </w:pPr>
            <w:r>
              <w:rPr>
                <w:rFonts w:hint="eastAsia" w:ascii="宋体" w:hAnsi="宋体" w:eastAsia="宋体" w:cs="微软雅黑"/>
                <w:color w:val="auto"/>
                <w:sz w:val="18"/>
                <w:szCs w:val="18"/>
              </w:rPr>
              <w:t>《税务行政许可申请表》</w:t>
            </w:r>
          </w:p>
        </w:tc>
        <w:tc>
          <w:tcPr>
            <w:tcW w:w="709" w:type="dxa"/>
            <w:noWrap w:val="0"/>
            <w:vAlign w:val="center"/>
          </w:tcPr>
          <w:p>
            <w:pPr>
              <w:pStyle w:val="13"/>
              <w:widowControl/>
              <w:ind w:firstLine="352" w:firstLineChars="0"/>
              <w:rPr>
                <w:rFonts w:cs="宋体"/>
                <w:color w:val="auto"/>
                <w:kern w:val="0"/>
                <w:sz w:val="18"/>
                <w:szCs w:val="18"/>
              </w:rPr>
            </w:pPr>
            <w:r>
              <w:rPr>
                <w:rFonts w:hint="eastAsia" w:ascii="宋体" w:hAnsi="宋体" w:eastAsia="宋体" w:cs="微软雅黑"/>
                <w:color w:val="auto"/>
                <w:sz w:val="18"/>
                <w:szCs w:val="18"/>
              </w:rPr>
              <w:t>1</w:t>
            </w:r>
          </w:p>
        </w:tc>
        <w:tc>
          <w:tcPr>
            <w:tcW w:w="992" w:type="dxa"/>
            <w:noWrap w:val="0"/>
            <w:vAlign w:val="center"/>
          </w:tcPr>
          <w:p>
            <w:pPr>
              <w:pStyle w:val="13"/>
              <w:widowControl/>
              <w:ind w:firstLine="0" w:firstLineChars="0"/>
              <w:jc w:val="center"/>
              <w:rPr>
                <w:rFonts w:cs="宋体"/>
                <w:color w:val="auto"/>
                <w:kern w:val="0"/>
                <w:sz w:val="18"/>
                <w:szCs w:val="18"/>
              </w:rPr>
            </w:pPr>
            <w:r>
              <w:rPr>
                <w:rFonts w:hint="eastAsia" w:ascii="宋体" w:hAnsi="宋体" w:eastAsia="宋体" w:cs="微软雅黑"/>
                <w:color w:val="auto"/>
                <w:sz w:val="18"/>
                <w:szCs w:val="18"/>
              </w:rPr>
              <w:t>必报</w:t>
            </w:r>
          </w:p>
        </w:tc>
        <w:tc>
          <w:tcPr>
            <w:tcW w:w="1134" w:type="dxa"/>
            <w:noWrap w:val="0"/>
            <w:vAlign w:val="center"/>
          </w:tcPr>
          <w:p>
            <w:pPr>
              <w:pStyle w:val="13"/>
              <w:widowControl/>
              <w:ind w:firstLine="352" w:firstLineChars="0"/>
              <w:rPr>
                <w:rFonts w:cs="宋体"/>
                <w:color w:val="auto"/>
                <w:kern w:val="0"/>
                <w:sz w:val="18"/>
                <w:szCs w:val="18"/>
              </w:rPr>
            </w:pPr>
          </w:p>
        </w:tc>
        <w:tc>
          <w:tcPr>
            <w:tcW w:w="1134" w:type="dxa"/>
            <w:noWrap w:val="0"/>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noWrap w:val="0"/>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noWrap w:val="0"/>
            <w:vAlign w:val="center"/>
          </w:tcPr>
          <w:p>
            <w:pPr>
              <w:pStyle w:val="13"/>
              <w:widowControl/>
              <w:ind w:firstLine="0" w:firstLineChars="0"/>
              <w:jc w:val="center"/>
              <w:rPr>
                <w:rFonts w:cs="宋体"/>
                <w:color w:val="auto"/>
                <w:kern w:val="0"/>
                <w:sz w:val="18"/>
                <w:szCs w:val="18"/>
              </w:rPr>
            </w:pPr>
            <w:r>
              <w:rPr>
                <w:rFonts w:hint="eastAsia" w:ascii="宋体" w:hAnsi="宋体" w:eastAsia="宋体" w:cs="微软雅黑"/>
                <w:color w:val="auto"/>
                <w:sz w:val="18"/>
                <w:szCs w:val="18"/>
              </w:rPr>
              <w:t>2</w:t>
            </w:r>
          </w:p>
        </w:tc>
        <w:tc>
          <w:tcPr>
            <w:tcW w:w="2551" w:type="dxa"/>
            <w:noWrap w:val="0"/>
            <w:vAlign w:val="center"/>
          </w:tcPr>
          <w:p>
            <w:pPr>
              <w:pStyle w:val="13"/>
              <w:widowControl/>
              <w:spacing w:before="100" w:after="100" w:line="240" w:lineRule="exact"/>
              <w:ind w:firstLine="0" w:firstLineChars="0"/>
              <w:rPr>
                <w:rFonts w:cs="宋体"/>
                <w:color w:val="auto"/>
                <w:kern w:val="0"/>
                <w:sz w:val="18"/>
                <w:szCs w:val="18"/>
              </w:rPr>
            </w:pPr>
            <w:r>
              <w:rPr>
                <w:rFonts w:hint="eastAsia" w:ascii="宋体" w:hAnsi="宋体" w:eastAsia="宋体" w:cs="微软雅黑"/>
                <w:color w:val="auto"/>
                <w:sz w:val="18"/>
                <w:szCs w:val="18"/>
              </w:rPr>
              <w:t>《延期缴纳税款申请审批表》</w:t>
            </w:r>
          </w:p>
        </w:tc>
        <w:tc>
          <w:tcPr>
            <w:tcW w:w="709" w:type="dxa"/>
            <w:noWrap w:val="0"/>
            <w:vAlign w:val="center"/>
          </w:tcPr>
          <w:p>
            <w:pPr>
              <w:pStyle w:val="13"/>
              <w:widowControl/>
              <w:ind w:firstLine="352" w:firstLineChars="0"/>
              <w:rPr>
                <w:rFonts w:cs="宋体"/>
                <w:color w:val="auto"/>
                <w:kern w:val="0"/>
                <w:sz w:val="18"/>
                <w:szCs w:val="18"/>
              </w:rPr>
            </w:pPr>
            <w:r>
              <w:rPr>
                <w:rFonts w:hint="eastAsia" w:ascii="宋体" w:hAnsi="宋体" w:eastAsia="宋体" w:cs="微软雅黑"/>
                <w:color w:val="auto"/>
                <w:sz w:val="18"/>
                <w:szCs w:val="18"/>
              </w:rPr>
              <w:t>1</w:t>
            </w:r>
          </w:p>
        </w:tc>
        <w:tc>
          <w:tcPr>
            <w:tcW w:w="992" w:type="dxa"/>
            <w:noWrap w:val="0"/>
            <w:vAlign w:val="center"/>
          </w:tcPr>
          <w:p>
            <w:pPr>
              <w:pStyle w:val="13"/>
              <w:widowControl/>
              <w:ind w:firstLine="0" w:firstLineChars="0"/>
              <w:jc w:val="center"/>
              <w:rPr>
                <w:rFonts w:cs="宋体"/>
                <w:color w:val="auto"/>
                <w:kern w:val="0"/>
                <w:sz w:val="18"/>
                <w:szCs w:val="18"/>
              </w:rPr>
            </w:pPr>
            <w:r>
              <w:rPr>
                <w:rFonts w:hint="eastAsia" w:ascii="宋体" w:hAnsi="宋体" w:eastAsia="宋体" w:cs="微软雅黑"/>
                <w:color w:val="auto"/>
                <w:sz w:val="18"/>
                <w:szCs w:val="18"/>
              </w:rPr>
              <w:t>必报</w:t>
            </w:r>
          </w:p>
        </w:tc>
        <w:tc>
          <w:tcPr>
            <w:tcW w:w="1134" w:type="dxa"/>
            <w:noWrap w:val="0"/>
            <w:vAlign w:val="center"/>
          </w:tcPr>
          <w:p>
            <w:pPr>
              <w:pStyle w:val="13"/>
              <w:widowControl/>
              <w:ind w:firstLine="352" w:firstLineChars="0"/>
              <w:rPr>
                <w:rFonts w:cs="宋体"/>
                <w:color w:val="auto"/>
                <w:kern w:val="0"/>
                <w:sz w:val="18"/>
                <w:szCs w:val="18"/>
              </w:rPr>
            </w:pPr>
          </w:p>
        </w:tc>
        <w:tc>
          <w:tcPr>
            <w:tcW w:w="1134" w:type="dxa"/>
            <w:noWrap w:val="0"/>
            <w:vAlign w:val="center"/>
          </w:tcPr>
          <w:p>
            <w:pPr>
              <w:widowControl/>
              <w:spacing w:line="280" w:lineRule="exact"/>
              <w:ind w:left="0" w:leftChars="0" w:firstLine="0" w:firstLineChars="0"/>
              <w:jc w:val="both"/>
              <w:rPr>
                <w:rFonts w:cs="宋体"/>
                <w:color w:val="auto"/>
                <w:kern w:val="0"/>
                <w:sz w:val="18"/>
                <w:szCs w:val="18"/>
              </w:rPr>
            </w:pPr>
            <w:r>
              <w:rPr>
                <w:rFonts w:hint="eastAsia" w:cs="宋体"/>
                <w:color w:val="auto"/>
                <w:kern w:val="0"/>
                <w:sz w:val="18"/>
                <w:szCs w:val="18"/>
              </w:rPr>
              <w:t>税务机关留存</w:t>
            </w:r>
          </w:p>
        </w:tc>
        <w:tc>
          <w:tcPr>
            <w:tcW w:w="1134" w:type="dxa"/>
            <w:noWrap w:val="0"/>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noWrap w:val="0"/>
            <w:vAlign w:val="center"/>
          </w:tcPr>
          <w:p>
            <w:pPr>
              <w:pStyle w:val="13"/>
              <w:widowControl/>
              <w:ind w:firstLine="0" w:firstLineChars="0"/>
              <w:jc w:val="center"/>
              <w:rPr>
                <w:rFonts w:hint="eastAsia" w:cs="宋体"/>
                <w:color w:val="auto"/>
                <w:kern w:val="0"/>
                <w:sz w:val="18"/>
                <w:szCs w:val="18"/>
              </w:rPr>
            </w:pPr>
            <w:r>
              <w:rPr>
                <w:rFonts w:ascii="宋体" w:hAnsi="宋体" w:eastAsia="宋体" w:cs="微软雅黑"/>
                <w:color w:val="auto"/>
                <w:sz w:val="18"/>
                <w:szCs w:val="18"/>
              </w:rPr>
              <w:t>3</w:t>
            </w:r>
          </w:p>
        </w:tc>
        <w:tc>
          <w:tcPr>
            <w:tcW w:w="2551" w:type="dxa"/>
            <w:noWrap w:val="0"/>
            <w:vAlign w:val="center"/>
          </w:tcPr>
          <w:p>
            <w:pPr>
              <w:pStyle w:val="13"/>
              <w:widowControl/>
              <w:spacing w:before="100" w:after="100" w:line="240" w:lineRule="exact"/>
              <w:ind w:firstLine="0" w:firstLineChars="0"/>
              <w:rPr>
                <w:rFonts w:hint="eastAsia"/>
                <w:color w:val="auto"/>
                <w:sz w:val="18"/>
                <w:szCs w:val="18"/>
              </w:rPr>
            </w:pPr>
            <w:r>
              <w:rPr>
                <w:rFonts w:hint="eastAsia" w:ascii="宋体" w:hAnsi="宋体" w:eastAsia="宋体" w:cs="微软雅黑"/>
                <w:color w:val="auto"/>
                <w:sz w:val="18"/>
                <w:szCs w:val="18"/>
              </w:rPr>
              <w:t>纳税人申请延期缴纳税款报告（详细说明申请延期原因，人员工资、社会保险费支出情况，连续</w:t>
            </w:r>
            <w:r>
              <w:rPr>
                <w:rFonts w:ascii="宋体" w:hAnsi="宋体" w:eastAsia="宋体" w:cs="微软雅黑"/>
                <w:color w:val="auto"/>
                <w:sz w:val="18"/>
                <w:szCs w:val="18"/>
              </w:rPr>
              <w:t>3个月缴纳税款情况。因不可抗力，导致纳税人发生较大损失，正常生产经营活动受到较大影响的，在报告中对不可抗力情况进行说明并承诺：“以上情况属实，特此承诺。”</w:t>
            </w:r>
            <w:r>
              <w:rPr>
                <w:rFonts w:hint="eastAsia" w:ascii="宋体" w:hAnsi="宋体" w:eastAsia="宋体" w:cs="微软雅黑"/>
                <w:color w:val="auto"/>
                <w:sz w:val="18"/>
                <w:szCs w:val="18"/>
              </w:rPr>
              <w:t>）</w:t>
            </w:r>
          </w:p>
        </w:tc>
        <w:tc>
          <w:tcPr>
            <w:tcW w:w="709" w:type="dxa"/>
            <w:noWrap w:val="0"/>
            <w:vAlign w:val="center"/>
          </w:tcPr>
          <w:p>
            <w:pPr>
              <w:pStyle w:val="13"/>
              <w:widowControl/>
              <w:ind w:firstLine="352" w:firstLineChars="0"/>
              <w:rPr>
                <w:rFonts w:hint="eastAsia" w:cs="宋体"/>
                <w:color w:val="auto"/>
                <w:kern w:val="0"/>
                <w:sz w:val="18"/>
                <w:szCs w:val="18"/>
              </w:rPr>
            </w:pPr>
            <w:r>
              <w:rPr>
                <w:rStyle w:val="17"/>
                <w:rFonts w:hint="eastAsia" w:ascii="宋体" w:hAnsi="宋体" w:eastAsia="宋体" w:cs="微软雅黑"/>
                <w:b w:val="0"/>
                <w:color w:val="auto"/>
                <w:sz w:val="18"/>
                <w:szCs w:val="18"/>
              </w:rPr>
              <w:t>1</w:t>
            </w:r>
          </w:p>
        </w:tc>
        <w:tc>
          <w:tcPr>
            <w:tcW w:w="992" w:type="dxa"/>
            <w:noWrap w:val="0"/>
            <w:vAlign w:val="center"/>
          </w:tcPr>
          <w:p>
            <w:pPr>
              <w:pStyle w:val="13"/>
              <w:widowControl/>
              <w:ind w:firstLine="0" w:firstLineChars="0"/>
              <w:jc w:val="center"/>
              <w:rPr>
                <w:rFonts w:hint="eastAsia" w:cs="宋体"/>
                <w:color w:val="auto"/>
                <w:kern w:val="0"/>
                <w:sz w:val="18"/>
                <w:szCs w:val="18"/>
                <w:lang w:val="en-US" w:eastAsia="zh-CN"/>
              </w:rPr>
            </w:pPr>
            <w:r>
              <w:rPr>
                <w:rFonts w:hint="eastAsia" w:ascii="宋体" w:hAnsi="宋体" w:eastAsia="宋体" w:cs="微软雅黑"/>
                <w:color w:val="auto"/>
                <w:sz w:val="18"/>
                <w:szCs w:val="18"/>
              </w:rPr>
              <w:t>必报</w:t>
            </w:r>
          </w:p>
        </w:tc>
        <w:tc>
          <w:tcPr>
            <w:tcW w:w="1134" w:type="dxa"/>
            <w:noWrap w:val="0"/>
            <w:vAlign w:val="center"/>
          </w:tcPr>
          <w:p>
            <w:pPr>
              <w:pStyle w:val="13"/>
              <w:widowControl/>
              <w:ind w:firstLine="352" w:firstLineChars="0"/>
              <w:rPr>
                <w:rFonts w:hint="eastAsia" w:ascii="宋体" w:hAnsi="宋体" w:cs="宋体"/>
                <w:color w:val="auto"/>
                <w:kern w:val="2"/>
                <w:sz w:val="18"/>
                <w:szCs w:val="18"/>
              </w:rPr>
            </w:pPr>
          </w:p>
        </w:tc>
        <w:tc>
          <w:tcPr>
            <w:tcW w:w="1134" w:type="dxa"/>
            <w:noWrap w:val="0"/>
            <w:vAlign w:val="center"/>
          </w:tcPr>
          <w:p>
            <w:pPr>
              <w:widowControl/>
              <w:spacing w:line="280" w:lineRule="exact"/>
              <w:ind w:left="0" w:leftChars="0" w:firstLine="0" w:firstLineChars="0"/>
              <w:jc w:val="both"/>
              <w:rPr>
                <w:rFonts w:hint="eastAsia" w:cs="宋体"/>
                <w:color w:val="auto"/>
                <w:kern w:val="0"/>
                <w:sz w:val="18"/>
                <w:szCs w:val="18"/>
              </w:rPr>
            </w:pPr>
            <w:r>
              <w:rPr>
                <w:rFonts w:hint="eastAsia" w:cs="宋体"/>
                <w:color w:val="auto"/>
                <w:kern w:val="0"/>
                <w:sz w:val="18"/>
                <w:szCs w:val="18"/>
              </w:rPr>
              <w:t>税务机关留存</w:t>
            </w:r>
          </w:p>
        </w:tc>
        <w:tc>
          <w:tcPr>
            <w:tcW w:w="1134" w:type="dxa"/>
            <w:noWrap w:val="0"/>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noWrap w:val="0"/>
            <w:vAlign w:val="center"/>
          </w:tcPr>
          <w:p>
            <w:pPr>
              <w:pStyle w:val="13"/>
              <w:widowControl/>
              <w:spacing w:afterAutospacing="0"/>
              <w:ind w:firstLine="0" w:firstLineChars="0"/>
              <w:jc w:val="center"/>
              <w:rPr>
                <w:rFonts w:hint="eastAsia" w:cs="宋体"/>
                <w:color w:val="auto"/>
                <w:kern w:val="0"/>
                <w:sz w:val="18"/>
                <w:szCs w:val="18"/>
              </w:rPr>
            </w:pPr>
            <w:r>
              <w:rPr>
                <w:rFonts w:hint="eastAsia" w:ascii="宋体" w:hAnsi="宋体" w:eastAsia="宋体" w:cs="微软雅黑"/>
                <w:color w:val="auto"/>
                <w:sz w:val="18"/>
                <w:szCs w:val="18"/>
              </w:rPr>
              <w:t>4</w:t>
            </w:r>
          </w:p>
        </w:tc>
        <w:tc>
          <w:tcPr>
            <w:tcW w:w="2551" w:type="dxa"/>
            <w:noWrap w:val="0"/>
            <w:vAlign w:val="center"/>
          </w:tcPr>
          <w:p>
            <w:pPr>
              <w:pStyle w:val="13"/>
              <w:widowControl/>
              <w:spacing w:beforeAutospacing="0" w:afterAutospacing="0" w:line="280" w:lineRule="exact"/>
              <w:ind w:firstLine="0" w:firstLineChars="0"/>
              <w:rPr>
                <w:rFonts w:hint="eastAsia"/>
                <w:color w:val="auto"/>
                <w:sz w:val="18"/>
                <w:szCs w:val="18"/>
              </w:rPr>
            </w:pPr>
            <w:r>
              <w:rPr>
                <w:rFonts w:hint="eastAsia" w:ascii="宋体" w:hAnsi="宋体" w:eastAsia="宋体" w:cs="微软雅黑"/>
                <w:color w:val="auto"/>
                <w:sz w:val="18"/>
                <w:szCs w:val="18"/>
              </w:rPr>
              <w:t>经办人身份证件</w:t>
            </w:r>
          </w:p>
        </w:tc>
        <w:tc>
          <w:tcPr>
            <w:tcW w:w="709" w:type="dxa"/>
            <w:noWrap w:val="0"/>
            <w:vAlign w:val="center"/>
          </w:tcPr>
          <w:p>
            <w:pPr>
              <w:pStyle w:val="13"/>
              <w:widowControl/>
              <w:spacing w:afterAutospacing="0"/>
              <w:ind w:firstLine="352" w:firstLineChars="0"/>
              <w:rPr>
                <w:rFonts w:hint="eastAsia" w:cs="宋体"/>
                <w:color w:val="auto"/>
                <w:kern w:val="0"/>
                <w:sz w:val="18"/>
                <w:szCs w:val="18"/>
              </w:rPr>
            </w:pPr>
            <w:r>
              <w:rPr>
                <w:rFonts w:hint="eastAsia" w:ascii="宋体" w:hAnsi="宋体" w:eastAsia="宋体" w:cs="微软雅黑"/>
                <w:color w:val="auto"/>
                <w:sz w:val="18"/>
                <w:szCs w:val="18"/>
              </w:rPr>
              <w:t>1</w:t>
            </w:r>
          </w:p>
        </w:tc>
        <w:tc>
          <w:tcPr>
            <w:tcW w:w="992" w:type="dxa"/>
            <w:noWrap w:val="0"/>
            <w:vAlign w:val="center"/>
          </w:tcPr>
          <w:p>
            <w:pPr>
              <w:pStyle w:val="13"/>
              <w:widowControl/>
              <w:spacing w:afterAutospacing="0"/>
              <w:ind w:firstLine="0" w:firstLineChars="0"/>
              <w:jc w:val="center"/>
              <w:rPr>
                <w:rFonts w:hint="eastAsia" w:cs="宋体"/>
                <w:color w:val="auto"/>
                <w:kern w:val="0"/>
                <w:sz w:val="18"/>
                <w:szCs w:val="18"/>
                <w:lang w:val="en-US" w:eastAsia="zh-CN"/>
              </w:rPr>
            </w:pPr>
            <w:r>
              <w:rPr>
                <w:rFonts w:hint="eastAsia" w:ascii="宋体" w:hAnsi="宋体" w:eastAsia="宋体" w:cs="微软雅黑"/>
                <w:color w:val="auto"/>
                <w:sz w:val="18"/>
                <w:szCs w:val="18"/>
              </w:rPr>
              <w:t>条件报送</w:t>
            </w:r>
          </w:p>
        </w:tc>
        <w:tc>
          <w:tcPr>
            <w:tcW w:w="1134" w:type="dxa"/>
            <w:noWrap w:val="0"/>
            <w:vAlign w:val="center"/>
          </w:tcPr>
          <w:p>
            <w:pPr>
              <w:pStyle w:val="13"/>
              <w:widowControl/>
              <w:spacing w:beforeAutospacing="0" w:afterAutospacing="0" w:line="280" w:lineRule="exact"/>
              <w:ind w:firstLine="0" w:firstLineChars="0"/>
              <w:rPr>
                <w:rFonts w:hint="eastAsia" w:ascii="宋体" w:hAnsi="宋体" w:cs="宋体"/>
                <w:color w:val="auto"/>
                <w:kern w:val="2"/>
                <w:sz w:val="18"/>
                <w:szCs w:val="18"/>
              </w:rPr>
            </w:pPr>
            <w:r>
              <w:rPr>
                <w:rFonts w:hint="eastAsia" w:ascii="宋体" w:hAnsi="宋体" w:eastAsia="宋体" w:cs="微软雅黑"/>
                <w:color w:val="auto"/>
                <w:sz w:val="18"/>
                <w:szCs w:val="18"/>
              </w:rPr>
              <w:t>经办人办理的情形需提供</w:t>
            </w:r>
          </w:p>
        </w:tc>
        <w:tc>
          <w:tcPr>
            <w:tcW w:w="1134" w:type="dxa"/>
            <w:noWrap w:val="0"/>
            <w:vAlign w:val="center"/>
          </w:tcPr>
          <w:p>
            <w:pPr>
              <w:pStyle w:val="13"/>
              <w:widowControl/>
              <w:spacing w:afterAutospacing="0"/>
              <w:ind w:firstLine="0" w:firstLineChars="0"/>
              <w:rPr>
                <w:rFonts w:hint="eastAsia" w:cs="宋体"/>
                <w:color w:val="auto"/>
                <w:kern w:val="0"/>
                <w:sz w:val="18"/>
                <w:szCs w:val="18"/>
              </w:rPr>
            </w:pPr>
            <w:r>
              <w:rPr>
                <w:rFonts w:hint="eastAsia" w:ascii="宋体" w:hAnsi="宋体" w:eastAsia="宋体" w:cs="微软雅黑"/>
                <w:color w:val="auto"/>
                <w:sz w:val="18"/>
                <w:szCs w:val="18"/>
              </w:rPr>
              <w:t>查验后返还</w:t>
            </w:r>
          </w:p>
        </w:tc>
        <w:tc>
          <w:tcPr>
            <w:tcW w:w="1134" w:type="dxa"/>
            <w:noWrap w:val="0"/>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noWrap w:val="0"/>
            <w:vAlign w:val="center"/>
          </w:tcPr>
          <w:p>
            <w:pPr>
              <w:pStyle w:val="13"/>
              <w:widowControl/>
              <w:spacing w:afterAutospacing="0"/>
              <w:ind w:firstLine="0" w:firstLineChars="0"/>
              <w:jc w:val="center"/>
              <w:rPr>
                <w:rFonts w:hint="eastAsia" w:cs="宋体"/>
                <w:color w:val="auto"/>
                <w:kern w:val="0"/>
                <w:sz w:val="18"/>
                <w:szCs w:val="18"/>
              </w:rPr>
            </w:pPr>
            <w:r>
              <w:rPr>
                <w:rFonts w:hint="eastAsia" w:ascii="宋体" w:hAnsi="宋体" w:eastAsia="宋体" w:cs="微软雅黑"/>
                <w:color w:val="auto"/>
                <w:sz w:val="18"/>
                <w:szCs w:val="18"/>
              </w:rPr>
              <w:t>5</w:t>
            </w:r>
          </w:p>
        </w:tc>
        <w:tc>
          <w:tcPr>
            <w:tcW w:w="2551" w:type="dxa"/>
            <w:noWrap w:val="0"/>
            <w:vAlign w:val="center"/>
          </w:tcPr>
          <w:p>
            <w:pPr>
              <w:pStyle w:val="13"/>
              <w:widowControl/>
              <w:spacing w:beforeAutospacing="0" w:afterAutospacing="0" w:line="280" w:lineRule="exact"/>
              <w:ind w:firstLine="0" w:firstLineChars="0"/>
              <w:rPr>
                <w:rFonts w:hint="eastAsia"/>
                <w:color w:val="auto"/>
                <w:sz w:val="18"/>
                <w:szCs w:val="18"/>
              </w:rPr>
            </w:pPr>
            <w:r>
              <w:rPr>
                <w:rFonts w:hint="eastAsia" w:ascii="宋体" w:hAnsi="宋体" w:eastAsia="宋体" w:cs="微软雅黑"/>
                <w:color w:val="auto"/>
                <w:sz w:val="18"/>
                <w:szCs w:val="18"/>
              </w:rPr>
              <w:t>代理人身份证件</w:t>
            </w:r>
          </w:p>
        </w:tc>
        <w:tc>
          <w:tcPr>
            <w:tcW w:w="709" w:type="dxa"/>
            <w:noWrap w:val="0"/>
            <w:vAlign w:val="center"/>
          </w:tcPr>
          <w:p>
            <w:pPr>
              <w:pStyle w:val="13"/>
              <w:widowControl/>
              <w:spacing w:afterAutospacing="0"/>
              <w:ind w:firstLine="352" w:firstLineChars="0"/>
              <w:rPr>
                <w:rFonts w:hint="eastAsia" w:cs="宋体"/>
                <w:color w:val="auto"/>
                <w:kern w:val="0"/>
                <w:sz w:val="18"/>
                <w:szCs w:val="18"/>
              </w:rPr>
            </w:pPr>
            <w:r>
              <w:rPr>
                <w:rFonts w:hint="eastAsia" w:ascii="宋体" w:hAnsi="宋体" w:eastAsia="宋体" w:cs="微软雅黑"/>
                <w:color w:val="auto"/>
                <w:sz w:val="18"/>
                <w:szCs w:val="18"/>
              </w:rPr>
              <w:t>1</w:t>
            </w:r>
          </w:p>
        </w:tc>
        <w:tc>
          <w:tcPr>
            <w:tcW w:w="992" w:type="dxa"/>
            <w:noWrap w:val="0"/>
            <w:vAlign w:val="center"/>
          </w:tcPr>
          <w:p>
            <w:pPr>
              <w:pStyle w:val="13"/>
              <w:widowControl/>
              <w:spacing w:afterAutospacing="0"/>
              <w:ind w:firstLine="0" w:firstLineChars="0"/>
              <w:jc w:val="center"/>
              <w:rPr>
                <w:rFonts w:hint="eastAsia" w:cs="宋体"/>
                <w:color w:val="auto"/>
                <w:kern w:val="0"/>
                <w:sz w:val="18"/>
                <w:szCs w:val="18"/>
                <w:lang w:val="en-US" w:eastAsia="zh-CN"/>
              </w:rPr>
            </w:pPr>
            <w:r>
              <w:rPr>
                <w:rFonts w:hint="eastAsia" w:ascii="宋体" w:hAnsi="宋体" w:eastAsia="宋体" w:cs="微软雅黑"/>
                <w:color w:val="auto"/>
                <w:sz w:val="18"/>
                <w:szCs w:val="18"/>
              </w:rPr>
              <w:t>条件报送</w:t>
            </w:r>
          </w:p>
        </w:tc>
        <w:tc>
          <w:tcPr>
            <w:tcW w:w="1134" w:type="dxa"/>
            <w:noWrap w:val="0"/>
            <w:vAlign w:val="center"/>
          </w:tcPr>
          <w:p>
            <w:pPr>
              <w:pStyle w:val="13"/>
              <w:widowControl/>
              <w:spacing w:beforeAutospacing="0" w:afterAutospacing="0" w:line="280" w:lineRule="exact"/>
              <w:ind w:firstLine="0" w:firstLineChars="0"/>
              <w:rPr>
                <w:rFonts w:hint="eastAsia" w:ascii="宋体" w:hAnsi="宋体" w:cs="宋体"/>
                <w:color w:val="auto"/>
                <w:kern w:val="2"/>
                <w:sz w:val="18"/>
                <w:szCs w:val="18"/>
              </w:rPr>
            </w:pPr>
            <w:r>
              <w:rPr>
                <w:rFonts w:hint="eastAsia" w:ascii="宋体" w:hAnsi="宋体" w:eastAsia="宋体" w:cs="微软雅黑"/>
                <w:color w:val="auto"/>
                <w:sz w:val="18"/>
                <w:szCs w:val="18"/>
              </w:rPr>
              <w:t>代理人代为办理的</w:t>
            </w:r>
          </w:p>
        </w:tc>
        <w:tc>
          <w:tcPr>
            <w:tcW w:w="1134" w:type="dxa"/>
            <w:noWrap w:val="0"/>
            <w:vAlign w:val="center"/>
          </w:tcPr>
          <w:p>
            <w:pPr>
              <w:pStyle w:val="13"/>
              <w:widowControl/>
              <w:spacing w:afterAutospacing="0"/>
              <w:ind w:firstLine="0" w:firstLineChars="0"/>
              <w:rPr>
                <w:rFonts w:hint="eastAsia" w:cs="宋体"/>
                <w:color w:val="auto"/>
                <w:kern w:val="0"/>
                <w:sz w:val="18"/>
                <w:szCs w:val="18"/>
              </w:rPr>
            </w:pPr>
            <w:r>
              <w:rPr>
                <w:rFonts w:hint="eastAsia" w:ascii="宋体" w:hAnsi="宋体" w:eastAsia="宋体" w:cs="微软雅黑"/>
                <w:color w:val="auto"/>
                <w:sz w:val="18"/>
                <w:szCs w:val="18"/>
              </w:rPr>
              <w:t>查验后返还</w:t>
            </w:r>
          </w:p>
        </w:tc>
        <w:tc>
          <w:tcPr>
            <w:tcW w:w="1134" w:type="dxa"/>
            <w:noWrap w:val="0"/>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noWrap w:val="0"/>
            <w:vAlign w:val="center"/>
          </w:tcPr>
          <w:p>
            <w:pPr>
              <w:pStyle w:val="13"/>
              <w:widowControl/>
              <w:spacing w:afterAutospacing="0"/>
              <w:ind w:firstLine="0" w:firstLineChars="0"/>
              <w:jc w:val="center"/>
              <w:rPr>
                <w:rFonts w:hint="eastAsia" w:cs="宋体"/>
                <w:color w:val="auto"/>
                <w:kern w:val="0"/>
                <w:sz w:val="18"/>
                <w:szCs w:val="18"/>
              </w:rPr>
            </w:pPr>
            <w:r>
              <w:rPr>
                <w:rFonts w:hint="eastAsia" w:ascii="宋体" w:hAnsi="宋体" w:eastAsia="宋体" w:cs="微软雅黑"/>
                <w:color w:val="auto"/>
                <w:sz w:val="18"/>
                <w:szCs w:val="18"/>
              </w:rPr>
              <w:t>6</w:t>
            </w:r>
          </w:p>
        </w:tc>
        <w:tc>
          <w:tcPr>
            <w:tcW w:w="2551" w:type="dxa"/>
            <w:noWrap w:val="0"/>
            <w:vAlign w:val="center"/>
          </w:tcPr>
          <w:p>
            <w:pPr>
              <w:pStyle w:val="13"/>
              <w:widowControl/>
              <w:spacing w:beforeAutospacing="0" w:afterAutospacing="0" w:line="280" w:lineRule="exact"/>
              <w:ind w:firstLine="0" w:firstLineChars="0"/>
              <w:rPr>
                <w:rFonts w:hint="eastAsia"/>
                <w:color w:val="auto"/>
                <w:sz w:val="18"/>
                <w:szCs w:val="18"/>
              </w:rPr>
            </w:pPr>
            <w:r>
              <w:rPr>
                <w:rFonts w:hint="eastAsia" w:ascii="宋体" w:hAnsi="宋体" w:eastAsia="宋体" w:cs="微软雅黑"/>
                <w:color w:val="auto"/>
                <w:sz w:val="18"/>
                <w:szCs w:val="18"/>
              </w:rPr>
              <w:t>代理委托书</w:t>
            </w:r>
          </w:p>
        </w:tc>
        <w:tc>
          <w:tcPr>
            <w:tcW w:w="709" w:type="dxa"/>
            <w:noWrap w:val="0"/>
            <w:vAlign w:val="center"/>
          </w:tcPr>
          <w:p>
            <w:pPr>
              <w:pStyle w:val="13"/>
              <w:widowControl/>
              <w:spacing w:afterAutospacing="0"/>
              <w:ind w:firstLine="352" w:firstLineChars="0"/>
              <w:rPr>
                <w:rFonts w:hint="eastAsia" w:cs="宋体"/>
                <w:color w:val="auto"/>
                <w:kern w:val="0"/>
                <w:sz w:val="18"/>
                <w:szCs w:val="18"/>
              </w:rPr>
            </w:pPr>
            <w:r>
              <w:rPr>
                <w:rFonts w:hint="eastAsia" w:ascii="宋体" w:hAnsi="宋体" w:eastAsia="宋体" w:cs="微软雅黑"/>
                <w:color w:val="auto"/>
                <w:sz w:val="18"/>
                <w:szCs w:val="18"/>
              </w:rPr>
              <w:t>1</w:t>
            </w:r>
          </w:p>
        </w:tc>
        <w:tc>
          <w:tcPr>
            <w:tcW w:w="992" w:type="dxa"/>
            <w:noWrap w:val="0"/>
            <w:vAlign w:val="center"/>
          </w:tcPr>
          <w:p>
            <w:pPr>
              <w:pStyle w:val="13"/>
              <w:widowControl/>
              <w:spacing w:afterAutospacing="0"/>
              <w:ind w:firstLine="0" w:firstLineChars="0"/>
              <w:jc w:val="center"/>
              <w:rPr>
                <w:rFonts w:hint="eastAsia" w:cs="宋体"/>
                <w:color w:val="auto"/>
                <w:kern w:val="0"/>
                <w:sz w:val="18"/>
                <w:szCs w:val="18"/>
                <w:lang w:val="en-US" w:eastAsia="zh-CN"/>
              </w:rPr>
            </w:pPr>
            <w:r>
              <w:rPr>
                <w:rFonts w:hint="eastAsia" w:ascii="宋体" w:hAnsi="宋体" w:eastAsia="宋体" w:cs="微软雅黑"/>
                <w:color w:val="auto"/>
                <w:sz w:val="18"/>
                <w:szCs w:val="18"/>
              </w:rPr>
              <w:t>条件报送</w:t>
            </w:r>
          </w:p>
        </w:tc>
        <w:tc>
          <w:tcPr>
            <w:tcW w:w="1134" w:type="dxa"/>
            <w:noWrap w:val="0"/>
            <w:vAlign w:val="center"/>
          </w:tcPr>
          <w:p>
            <w:pPr>
              <w:pStyle w:val="13"/>
              <w:widowControl/>
              <w:spacing w:beforeAutospacing="0" w:afterAutospacing="0" w:line="280" w:lineRule="exact"/>
              <w:ind w:firstLine="0" w:firstLineChars="0"/>
              <w:rPr>
                <w:rFonts w:hint="eastAsia" w:ascii="宋体" w:hAnsi="宋体" w:cs="宋体"/>
                <w:color w:val="auto"/>
                <w:kern w:val="2"/>
                <w:sz w:val="18"/>
                <w:szCs w:val="18"/>
              </w:rPr>
            </w:pPr>
            <w:r>
              <w:rPr>
                <w:rFonts w:hint="eastAsia" w:ascii="宋体" w:hAnsi="宋体" w:eastAsia="宋体" w:cs="微软雅黑"/>
                <w:color w:val="auto"/>
                <w:sz w:val="18"/>
                <w:szCs w:val="18"/>
              </w:rPr>
              <w:t>代理人代为办理的</w:t>
            </w:r>
          </w:p>
        </w:tc>
        <w:tc>
          <w:tcPr>
            <w:tcW w:w="1134" w:type="dxa"/>
            <w:noWrap w:val="0"/>
            <w:vAlign w:val="center"/>
          </w:tcPr>
          <w:p>
            <w:pPr>
              <w:pStyle w:val="13"/>
              <w:widowControl/>
              <w:spacing w:afterAutospacing="0"/>
              <w:ind w:firstLine="0" w:firstLineChars="0"/>
              <w:rPr>
                <w:rFonts w:hint="eastAsia" w:cs="宋体"/>
                <w:color w:val="auto"/>
                <w:kern w:val="0"/>
                <w:sz w:val="18"/>
                <w:szCs w:val="18"/>
              </w:rPr>
            </w:pPr>
            <w:r>
              <w:rPr>
                <w:rFonts w:hint="eastAsia" w:ascii="宋体" w:hAnsi="宋体" w:eastAsia="宋体" w:cs="微软雅黑"/>
                <w:color w:val="auto"/>
                <w:sz w:val="18"/>
                <w:szCs w:val="18"/>
              </w:rPr>
              <w:t>查验后返还</w:t>
            </w:r>
          </w:p>
        </w:tc>
        <w:tc>
          <w:tcPr>
            <w:tcW w:w="1134" w:type="dxa"/>
            <w:noWrap w:val="0"/>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是</w:t>
            </w:r>
          </w:p>
        </w:tc>
      </w:tr>
    </w:tbl>
    <w:p>
      <w:pPr>
        <w:pStyle w:val="3"/>
        <w:ind w:firstLine="552"/>
        <w:rPr>
          <w:color w:val="auto"/>
        </w:rPr>
      </w:pPr>
      <w:r>
        <w:rPr>
          <w:rFonts w:hint="eastAsia"/>
          <w:color w:val="auto"/>
        </w:rPr>
        <w:t>六</w:t>
      </w:r>
      <w:r>
        <w:rPr>
          <w:color w:val="auto"/>
        </w:rPr>
        <w:t>、办理流程</w:t>
      </w:r>
    </w:p>
    <w:p>
      <w:pPr>
        <w:numPr>
          <w:ilvl w:val="0"/>
          <w:numId w:val="0"/>
        </w:numPr>
        <w:spacing w:line="240" w:lineRule="auto"/>
        <w:ind w:firstLine="552"/>
        <w:jc w:val="center"/>
        <w:rPr>
          <w:rFonts w:hint="eastAsia"/>
          <w:color w:val="auto"/>
        </w:rPr>
      </w:pPr>
    </w:p>
    <w:p>
      <w:pPr>
        <w:numPr>
          <w:ilvl w:val="0"/>
          <w:numId w:val="0"/>
        </w:numPr>
        <w:spacing w:line="240" w:lineRule="auto"/>
        <w:ind w:firstLine="552"/>
        <w:jc w:val="center"/>
        <w:rPr>
          <w:rFonts w:hint="eastAsia"/>
          <w:color w:val="auto"/>
        </w:rPr>
      </w:pPr>
      <w:r>
        <w:rPr>
          <w:rFonts w:hint="eastAsia"/>
          <w:color w:val="auto"/>
        </w:rPr>
        <w:object>
          <v:shape id="_x0000_i1150" o:spt="75" type="#_x0000_t75" style="height:168.35pt;width:441.85pt;" o:ole="t" filled="f" o:preferrelative="t" stroked="f" coordsize="21600,21600">
            <v:path/>
            <v:fill on="f" focussize="0,0"/>
            <v:stroke on="f"/>
            <v:imagedata r:id="rId11" o:title=""/>
            <o:lock v:ext="edit" aspectratio="t"/>
            <w10:wrap type="none"/>
            <w10:anchorlock/>
          </v:shape>
          <o:OLEObject Type="Embed" ProgID="Visio.Drawing.11" ShapeID="_x0000_i1150" DrawAspect="Content" ObjectID="_1468075725" r:id="rId10">
            <o:LockedField>false</o:LockedField>
          </o:OLEObject>
        </w:object>
      </w:r>
    </w:p>
    <w:p>
      <w:pPr>
        <w:pStyle w:val="3"/>
        <w:ind w:firstLine="552"/>
        <w:rPr>
          <w:color w:val="auto"/>
        </w:rPr>
      </w:pPr>
      <w:r>
        <w:rPr>
          <w:rFonts w:hint="eastAsia"/>
          <w:color w:val="auto"/>
        </w:rPr>
        <w:t>七、办理时限</w:t>
      </w:r>
    </w:p>
    <w:p>
      <w:pPr>
        <w:ind w:firstLine="472"/>
        <w:rPr>
          <w:color w:val="auto"/>
        </w:rPr>
      </w:pPr>
      <w:r>
        <w:rPr>
          <w:rFonts w:hint="eastAsia"/>
          <w:color w:val="auto"/>
        </w:rPr>
        <w:t>资料齐全、符合法定形式、填写内容完整的，自税务机关受理之日起15个工作日</w:t>
      </w:r>
      <w:r>
        <w:rPr>
          <w:rFonts w:hint="eastAsia"/>
          <w:color w:val="auto"/>
          <w:lang w:val="en-US" w:eastAsia="zh-CN"/>
        </w:rPr>
        <w:t>办结</w:t>
      </w:r>
      <w:r>
        <w:rPr>
          <w:rFonts w:hint="eastAsia"/>
          <w:color w:val="auto"/>
        </w:rPr>
        <w:t>。</w:t>
      </w:r>
    </w:p>
    <w:p>
      <w:pPr>
        <w:pStyle w:val="3"/>
        <w:ind w:firstLine="552"/>
        <w:rPr>
          <w:color w:val="auto"/>
        </w:rPr>
      </w:pPr>
      <w:r>
        <w:rPr>
          <w:rFonts w:hint="eastAsia"/>
          <w:color w:val="auto"/>
        </w:rPr>
        <w:t>八、表证单书</w:t>
      </w:r>
    </w:p>
    <w:p>
      <w:pPr>
        <w:ind w:firstLine="472"/>
        <w:rPr>
          <w:rFonts w:hint="eastAsia" w:ascii="宋体" w:hAnsi="宋体" w:eastAsia="宋体" w:cs="微软雅黑"/>
          <w:color w:val="auto"/>
          <w:kern w:val="0"/>
          <w:sz w:val="24"/>
          <w:szCs w:val="24"/>
          <w:lang w:val="en-US" w:eastAsia="zh-CN" w:bidi="ar-SA"/>
        </w:rPr>
      </w:pPr>
      <w:r>
        <w:rPr>
          <w:rFonts w:hint="eastAsia" w:ascii="宋体" w:hAnsi="宋体" w:eastAsia="宋体" w:cs="微软雅黑"/>
          <w:color w:val="auto"/>
          <w:kern w:val="0"/>
          <w:sz w:val="24"/>
          <w:szCs w:val="24"/>
          <w:lang w:val="en-US" w:eastAsia="zh-CN" w:bidi="ar-SA"/>
        </w:rPr>
        <w:t>1.A13005《税务行政许可申请表》(A13005《税务行政许可申请表》（填写样例）)</w:t>
      </w:r>
    </w:p>
    <w:p>
      <w:pPr>
        <w:ind w:firstLine="472"/>
        <w:rPr>
          <w:rFonts w:hint="eastAsia"/>
          <w:color w:val="auto"/>
        </w:rPr>
      </w:pPr>
      <w:r>
        <w:rPr>
          <w:rFonts w:hint="eastAsia" w:ascii="宋体" w:hAnsi="宋体" w:eastAsia="宋体" w:cs="微软雅黑"/>
          <w:color w:val="auto"/>
          <w:kern w:val="0"/>
          <w:sz w:val="24"/>
          <w:szCs w:val="24"/>
          <w:lang w:val="en-US" w:eastAsia="zh-CN" w:bidi="ar-SA"/>
        </w:rPr>
        <w:t>2.A07051《延期缴纳税款申请审批表》(A07051《延期缴纳税款申请审批表》（填写样例）)</w:t>
      </w:r>
    </w:p>
    <w:p>
      <w:pPr>
        <w:pStyle w:val="3"/>
        <w:ind w:firstLine="552"/>
        <w:rPr>
          <w:color w:val="auto"/>
        </w:rPr>
      </w:pPr>
      <w:r>
        <w:rPr>
          <w:rFonts w:hint="eastAsia"/>
          <w:color w:val="auto"/>
        </w:rPr>
        <w:t>九、注意事项</w:t>
      </w:r>
    </w:p>
    <w:p>
      <w:pPr>
        <w:pStyle w:val="13"/>
        <w:widowControl/>
        <w:spacing w:beforeAutospacing="0" w:afterAutospacing="0" w:line="578" w:lineRule="exact"/>
        <w:ind w:firstLine="472"/>
        <w:rPr>
          <w:rFonts w:ascii="宋体" w:hAnsi="宋体" w:eastAsia="宋体" w:cs="微软雅黑"/>
          <w:color w:val="auto"/>
        </w:rPr>
      </w:pPr>
      <w:r>
        <w:rPr>
          <w:rFonts w:ascii="宋体" w:hAnsi="宋体" w:eastAsia="宋体" w:cs="微软雅黑"/>
          <w:color w:val="auto"/>
        </w:rPr>
        <w:t>1.税务机关应当依法对被许可人从事税务行政许可事项的活动进行监督检查，可以依法查阅或者要求被许可人报送有关材料，被许可人应当如实提供有关情况和材料。发现被许可人不再具备法定条件时，应当责令限期改正；发现其有《中华人民共和国行政许可法》第六十九条规定情形及其他违法行为的，依法进行处理处罚。</w:t>
      </w:r>
    </w:p>
    <w:p>
      <w:pPr>
        <w:pStyle w:val="13"/>
        <w:widowControl/>
        <w:spacing w:beforeAutospacing="0" w:afterAutospacing="0" w:line="578" w:lineRule="exact"/>
        <w:ind w:firstLine="472"/>
        <w:rPr>
          <w:rFonts w:ascii="宋体" w:hAnsi="宋体" w:eastAsia="宋体" w:cs="微软雅黑"/>
          <w:color w:val="auto"/>
        </w:rPr>
      </w:pPr>
      <w:r>
        <w:rPr>
          <w:rFonts w:ascii="宋体" w:hAnsi="宋体" w:eastAsia="宋体" w:cs="微软雅黑"/>
          <w:color w:val="auto"/>
        </w:rPr>
        <w:t>2</w:t>
      </w:r>
      <w:r>
        <w:rPr>
          <w:rFonts w:hint="eastAsia" w:ascii="宋体" w:hAnsi="宋体" w:eastAsia="宋体" w:cs="微软雅黑"/>
          <w:color w:val="auto"/>
        </w:rPr>
        <w:t>.税务机关在作出行政许可决定之日起7个工作日内公开准予行政许可结果。</w:t>
      </w:r>
    </w:p>
    <w:p>
      <w:pPr>
        <w:pStyle w:val="13"/>
        <w:widowControl/>
        <w:spacing w:beforeAutospacing="0" w:afterAutospacing="0"/>
        <w:ind w:firstLine="472" w:firstLineChars="200"/>
        <w:rPr>
          <w:rFonts w:hint="eastAsia" w:ascii="宋体" w:hAnsi="宋体" w:eastAsia="宋体" w:cs="微软雅黑"/>
          <w:color w:val="auto"/>
          <w:lang w:eastAsia="zh-CN"/>
        </w:rPr>
      </w:pPr>
      <w:r>
        <w:rPr>
          <w:rFonts w:ascii="宋体" w:hAnsi="宋体" w:eastAsia="宋体" w:cs="微软雅黑"/>
          <w:color w:val="auto"/>
        </w:rPr>
        <w:t>3.对延期缴纳税款情况的资料审核时，以受理部门受理文书申请之日的当期货币资金余额情况为准，进行核查纳税人是否符合办理延期缴纳税款的条件。</w:t>
      </w:r>
    </w:p>
    <w:p>
      <w:pPr>
        <w:ind w:firstLine="472"/>
        <w:rPr>
          <w:rFonts w:ascii="宋体" w:hAnsi="宋体" w:eastAsia="宋体" w:cs="微软雅黑"/>
          <w:color w:val="auto"/>
        </w:rPr>
      </w:pPr>
      <w:r>
        <w:rPr>
          <w:rFonts w:ascii="宋体" w:hAnsi="宋体" w:eastAsia="宋体" w:cs="微软雅黑"/>
          <w:color w:val="auto"/>
        </w:rPr>
        <w:t>4.若纳税人因资料不全等原因未能受理的，以后重新提交申请的，需重新提供当期货币资金余额情况，时限以重新提交申请之日为准。</w:t>
      </w:r>
    </w:p>
    <w:p>
      <w:pPr>
        <w:ind w:firstLine="472"/>
        <w:rPr>
          <w:color w:val="auto"/>
        </w:rPr>
      </w:pPr>
      <w:r>
        <w:rPr>
          <w:rFonts w:hint="eastAsia"/>
          <w:color w:val="auto"/>
          <w:lang w:val="en-US" w:eastAsia="zh-CN"/>
        </w:rPr>
        <w:t>5.</w:t>
      </w:r>
      <w:r>
        <w:rPr>
          <w:rFonts w:hint="eastAsia"/>
          <w:color w:val="auto"/>
        </w:rPr>
        <w:t>纳税人对报送资料的真实性和合法性承担责任。</w:t>
      </w:r>
    </w:p>
    <w:p>
      <w:pPr>
        <w:jc w:val="left"/>
        <w:rPr>
          <w:rFonts w:hint="eastAsia"/>
          <w:color w:val="auto"/>
        </w:rPr>
      </w:pPr>
      <w:r>
        <w:rPr>
          <w:rFonts w:hint="eastAsia"/>
          <w:color w:val="auto"/>
          <w:lang w:val="en-US" w:eastAsia="zh-CN"/>
        </w:rPr>
        <w:t>6</w:t>
      </w:r>
      <w:r>
        <w:rPr>
          <w:rFonts w:hint="eastAsia"/>
          <w:color w:val="auto"/>
        </w:rPr>
        <w:t>.最多跑一次是在资料完整且符合法定受理条件的前提下，最多只需要到税务机关跑一次。</w:t>
      </w:r>
    </w:p>
    <w:p>
      <w:pPr>
        <w:jc w:val="left"/>
        <w:rPr>
          <w:rFonts w:hint="eastAsia"/>
          <w:color w:val="auto"/>
          <w:lang w:eastAsia="zh-CN"/>
        </w:rPr>
      </w:pPr>
      <w:r>
        <w:rPr>
          <w:rFonts w:hint="eastAsia"/>
          <w:color w:val="auto"/>
          <w:lang w:val="en-US" w:eastAsia="zh-CN"/>
        </w:rPr>
        <w:t>7.</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r>
        <w:rPr>
          <w:rFonts w:hint="eastAsia"/>
          <w:color w:val="auto"/>
          <w:lang w:eastAsia="zh-CN"/>
        </w:rPr>
        <w:t>。</w:t>
      </w:r>
    </w:p>
    <w:p>
      <w:pPr>
        <w:ind w:firstLine="472"/>
        <w:rPr>
          <w:color w:val="auto"/>
        </w:rPr>
      </w:pPr>
      <w:r>
        <w:rPr>
          <w:rFonts w:hint="eastAsia"/>
          <w:color w:val="auto"/>
          <w:lang w:val="en-US" w:eastAsia="zh-CN"/>
        </w:rPr>
        <w:t>8</w:t>
      </w:r>
      <w:r>
        <w:rPr>
          <w:color w:val="auto"/>
        </w:rPr>
        <w:t>.纳税人提交的纸质申请表须签章，各项证明资料复印件均须注明“与原件一致”，并逐页签章。</w:t>
      </w:r>
    </w:p>
    <w:p>
      <w:pPr>
        <w:ind w:firstLine="472"/>
        <w:rPr>
          <w:rFonts w:cs="微软雅黑"/>
          <w:color w:val="auto"/>
        </w:rPr>
      </w:pPr>
      <w:r>
        <w:rPr>
          <w:rFonts w:hint="eastAsia" w:cs="微软雅黑"/>
          <w:color w:val="auto"/>
          <w:lang w:val="en-US" w:eastAsia="zh-CN"/>
        </w:rPr>
        <w:t>9</w:t>
      </w:r>
      <w:r>
        <w:rPr>
          <w:rFonts w:hint="eastAsia" w:cs="微软雅黑"/>
          <w:color w:val="auto"/>
        </w:rPr>
        <w:t>.</w:t>
      </w:r>
      <w:r>
        <w:rPr>
          <w:rFonts w:cs="微软雅黑"/>
          <w:color w:val="auto"/>
        </w:rPr>
        <w:t>“不可抗力”是指人们无法预见、无法避免、无法克服的客观情况，如水灾、火灾、风灾、地震等。</w:t>
      </w:r>
    </w:p>
    <w:p>
      <w:pPr>
        <w:ind w:firstLine="472"/>
        <w:rPr>
          <w:rFonts w:cs="微软雅黑"/>
          <w:color w:val="auto"/>
        </w:rPr>
      </w:pPr>
      <w:r>
        <w:rPr>
          <w:rFonts w:hint="eastAsia" w:cs="微软雅黑"/>
          <w:color w:val="auto"/>
          <w:lang w:val="en-US" w:eastAsia="zh-CN"/>
        </w:rPr>
        <w:t>10</w:t>
      </w:r>
      <w:r>
        <w:rPr>
          <w:rFonts w:hint="eastAsia" w:cs="微软雅黑"/>
          <w:color w:val="auto"/>
        </w:rPr>
        <w:t>.</w:t>
      </w:r>
      <w:r>
        <w:rPr>
          <w:rFonts w:cs="微软雅黑"/>
          <w:color w:val="auto"/>
        </w:rPr>
        <w:t>“当期货币资金”是指纳税人申请延期缴纳税款之日的资金余额，其中不含国家法律和行政法规明确规定企业不可动用的资金；“应付职工工资”是指当期计提数。”</w:t>
      </w:r>
    </w:p>
    <w:p>
      <w:pPr>
        <w:ind w:firstLine="472"/>
        <w:rPr>
          <w:rFonts w:cs="微软雅黑"/>
          <w:color w:val="auto"/>
        </w:rPr>
      </w:pPr>
      <w:r>
        <w:rPr>
          <w:rFonts w:hint="eastAsia" w:cs="微软雅黑"/>
          <w:color w:val="auto"/>
          <w:lang w:val="en-US" w:eastAsia="zh-CN"/>
        </w:rPr>
        <w:t>11</w:t>
      </w:r>
      <w:r>
        <w:rPr>
          <w:rFonts w:hint="eastAsia" w:cs="微软雅黑"/>
          <w:color w:val="auto"/>
        </w:rPr>
        <w:t>.</w:t>
      </w:r>
      <w:r>
        <w:rPr>
          <w:rFonts w:cs="微软雅黑"/>
          <w:color w:val="auto"/>
        </w:rPr>
        <w:t>纳税人需要延期缴纳税款的，应当在缴纳税款期限届满前提出申请。税务机关作出不予行政许可决定的，从缴纳税款期限届满之日起加收滞纳金。</w:t>
      </w:r>
    </w:p>
    <w:p>
      <w:pPr>
        <w:ind w:firstLine="472"/>
        <w:rPr>
          <w:rFonts w:hint="eastAsia"/>
          <w:color w:val="auto"/>
        </w:rPr>
      </w:pPr>
      <w:r>
        <w:rPr>
          <w:rFonts w:hint="eastAsia" w:cs="微软雅黑"/>
          <w:color w:val="auto"/>
          <w:lang w:val="en-US" w:eastAsia="zh-CN"/>
        </w:rPr>
        <w:t>12</w:t>
      </w:r>
      <w:r>
        <w:rPr>
          <w:rFonts w:hint="eastAsia" w:cs="微软雅黑"/>
          <w:color w:val="auto"/>
        </w:rPr>
        <w:t>.</w:t>
      </w:r>
      <w:r>
        <w:rPr>
          <w:rFonts w:hint="eastAsia"/>
          <w:color w:val="auto"/>
        </w:rPr>
        <w:t>税务行政许可实施机关与申请人不在同一县（市、区）的，申请人可在规定的申请期限内，选择由其主管税务机关代为转报申请材料。主管税务机关在核对申请材料后向申请人出具材料接收清单，并向税务行政许可实施机关转报。代办转报一般应当在5个工作日内完成。</w:t>
      </w:r>
    </w:p>
    <w:p>
      <w:pPr>
        <w:ind w:firstLine="472"/>
        <w:rPr>
          <w:rFonts w:hint="eastAsia"/>
          <w:color w:val="auto"/>
        </w:rPr>
      </w:pPr>
      <w:r>
        <w:rPr>
          <w:rFonts w:hint="eastAsia"/>
          <w:color w:val="auto"/>
          <w:lang w:val="en-US" w:eastAsia="zh-CN"/>
        </w:rPr>
        <w:t>13.</w:t>
      </w:r>
      <w:r>
        <w:rPr>
          <w:rFonts w:hint="eastAsia"/>
          <w:color w:val="auto"/>
          <w:lang w:eastAsia="zh-CN"/>
        </w:rPr>
        <w:t>超出审批时限</w:t>
      </w:r>
      <w:r>
        <w:rPr>
          <w:rFonts w:hint="eastAsia"/>
          <w:color w:val="auto"/>
        </w:rPr>
        <w:t>无法作出决定的，经决定机构负责人批准可以延长10个工作日，并制作《税务行政许可决定延期告知书》送达申请人。</w:t>
      </w:r>
    </w:p>
    <w:p>
      <w:pPr>
        <w:ind w:firstLine="472"/>
        <w:rPr>
          <w:rFonts w:hint="eastAsia"/>
          <w:color w:val="auto"/>
          <w:lang w:eastAsia="zh-CN"/>
        </w:rPr>
      </w:pPr>
      <w:r>
        <w:rPr>
          <w:rFonts w:hint="eastAsia"/>
          <w:color w:val="auto"/>
          <w:lang w:val="en-US" w:eastAsia="zh-CN"/>
        </w:rPr>
        <w:t>14</w:t>
      </w:r>
      <w:r>
        <w:rPr>
          <w:rFonts w:hint="eastAsia"/>
          <w:color w:val="auto"/>
        </w:rPr>
        <w:t>.自受理之日起20个工作日内，可通过电话、国家税务总局河南省税务局网站（http://henan.chinatax.gov.cn）信息公开栏目查询审批状态和结果。</w:t>
      </w:r>
    </w:p>
    <w:p>
      <w:pPr>
        <w:pStyle w:val="3"/>
        <w:ind w:firstLine="552"/>
        <w:rPr>
          <w:color w:val="auto"/>
        </w:rPr>
      </w:pPr>
      <w:r>
        <w:rPr>
          <w:rFonts w:hint="eastAsia"/>
          <w:color w:val="auto"/>
        </w:rPr>
        <w:t>十、办理时间</w:t>
      </w:r>
    </w:p>
    <w:p>
      <w:pPr>
        <w:ind w:firstLine="472"/>
        <w:rPr>
          <w:rFonts w:hint="eastAsia"/>
          <w:color w:val="auto"/>
        </w:rPr>
      </w:pPr>
      <w:r>
        <w:rPr>
          <w:rFonts w:hint="eastAsia"/>
          <w:color w:val="auto"/>
        </w:rPr>
        <w:t>1.窗口接收：</w:t>
      </w:r>
    </w:p>
    <w:p>
      <w:pPr>
        <w:ind w:firstLine="472"/>
        <w:rPr>
          <w:rFonts w:hint="eastAsia"/>
          <w:color w:val="auto"/>
        </w:rPr>
      </w:pPr>
      <w:r>
        <w:rPr>
          <w:rFonts w:hint="eastAsia"/>
          <w:color w:val="auto"/>
        </w:rPr>
        <w:t>上午8:00-12:00，下午14:30-17:30（冬）15:00-18:00（夏）</w:t>
      </w:r>
    </w:p>
    <w:p>
      <w:pPr>
        <w:ind w:firstLine="472"/>
        <w:rPr>
          <w:rFonts w:hint="eastAsia"/>
          <w:color w:val="auto"/>
        </w:rPr>
      </w:pPr>
      <w:r>
        <w:rPr>
          <w:rFonts w:hint="eastAsia"/>
          <w:color w:val="auto"/>
        </w:rPr>
        <w:t>2.代办转报：各地办税服务厅办理时间，详见办税地图。</w:t>
      </w:r>
    </w:p>
    <w:p>
      <w:pPr>
        <w:ind w:firstLine="472"/>
        <w:rPr>
          <w:rFonts w:hint="eastAsia"/>
          <w:color w:val="auto"/>
        </w:rPr>
      </w:pPr>
      <w:r>
        <w:rPr>
          <w:rFonts w:hint="eastAsia"/>
          <w:color w:val="auto"/>
        </w:rPr>
        <w:fldChar w:fldCharType="begin"/>
      </w:r>
      <w:r>
        <w:rPr>
          <w:rFonts w:hint="eastAsia"/>
          <w:color w:val="auto"/>
        </w:rPr>
        <w:instrText xml:space="preserve"> HYPERLINK "https://12366.chinatax.gov.cn/bsfw/bsdt/" </w:instrText>
      </w:r>
      <w:r>
        <w:rPr>
          <w:rFonts w:hint="eastAsia"/>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十一、办理地点</w:t>
      </w:r>
    </w:p>
    <w:p>
      <w:pPr>
        <w:ind w:firstLine="472"/>
        <w:rPr>
          <w:rFonts w:hint="eastAsia"/>
          <w:color w:val="auto"/>
        </w:rPr>
      </w:pPr>
      <w:r>
        <w:rPr>
          <w:rFonts w:hint="eastAsia"/>
          <w:color w:val="auto"/>
        </w:rPr>
        <w:t>申请人可通过窗口报送、网上提交等方式提交材料。</w:t>
      </w:r>
    </w:p>
    <w:p>
      <w:pPr>
        <w:ind w:firstLine="472"/>
        <w:rPr>
          <w:rFonts w:hint="eastAsia"/>
          <w:color w:val="auto"/>
        </w:rPr>
      </w:pPr>
      <w:r>
        <w:rPr>
          <w:rFonts w:hint="eastAsia"/>
          <w:color w:val="auto"/>
        </w:rPr>
        <w:t>1.窗口接收：国家税务总局河南省税务局纳税服务处（地址：郑州市金水区丰产路111号）。</w:t>
      </w:r>
    </w:p>
    <w:p>
      <w:pPr>
        <w:ind w:firstLine="472"/>
        <w:rPr>
          <w:rFonts w:hint="eastAsia"/>
          <w:color w:val="auto"/>
        </w:rPr>
      </w:pPr>
      <w:r>
        <w:rPr>
          <w:rFonts w:hint="eastAsia"/>
          <w:color w:val="auto"/>
        </w:rPr>
        <w:t>2.代办转报：申请人可选择由其主管税务机关办税服务厅代为转报申请材料。主管税务机关在核对申请材料后向申请人出具材料接收清单，并向国家税务总局河南省税务局纳税服务处转报。</w:t>
      </w:r>
    </w:p>
    <w:p>
      <w:pPr>
        <w:ind w:firstLine="472"/>
        <w:rPr>
          <w:rFonts w:hint="eastAsia"/>
          <w:color w:val="auto"/>
        </w:rPr>
      </w:pPr>
      <w:r>
        <w:rPr>
          <w:rFonts w:hint="eastAsia"/>
          <w:color w:val="auto"/>
        </w:rPr>
        <w:t>代办专报各地办税服务厅地址，详见办税地图：</w:t>
      </w:r>
    </w:p>
    <w:p>
      <w:pPr>
        <w:ind w:firstLine="472"/>
        <w:rPr>
          <w:rFonts w:hint="eastAsia"/>
          <w:color w:val="auto"/>
        </w:rPr>
      </w:pPr>
      <w:r>
        <w:rPr>
          <w:rFonts w:hint="eastAsia"/>
          <w:color w:val="auto"/>
        </w:rPr>
        <w:t>https://12366.chinatax.gov.cn/bsfw/bsdt/</w:t>
      </w:r>
    </w:p>
    <w:p>
      <w:pPr>
        <w:ind w:firstLine="472"/>
        <w:rPr>
          <w:rFonts w:hint="eastAsia"/>
          <w:color w:val="auto"/>
        </w:rPr>
      </w:pPr>
      <w:r>
        <w:rPr>
          <w:rFonts w:hint="eastAsia"/>
          <w:color w:val="auto"/>
        </w:rPr>
        <w:t>3.网上接收：登录http://etax.henan.chinatax.gov.cn/web/，国家税务总局河南省电子税务局进行网上申请。</w:t>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lang w:eastAsia="zh-CN"/>
        </w:rPr>
        <w:t>国家税务总局河南省税务局</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left="0" w:leftChars="0" w:firstLine="0" w:firstLineChars="0"/>
        <w:rPr>
          <w:rFonts w:hint="eastAsia"/>
          <w:color w:val="auto"/>
        </w:rPr>
      </w:pPr>
      <w:r>
        <w:rPr>
          <w:rFonts w:hint="eastAsia"/>
          <w:color w:val="auto"/>
        </w:rPr>
        <w:t>1.电话咨询：12366纳税服务热线（0371-12366）。</w:t>
      </w:r>
    </w:p>
    <w:p>
      <w:pPr>
        <w:ind w:left="0" w:leftChars="0" w:firstLine="0" w:firstLineChars="0"/>
        <w:rPr>
          <w:rFonts w:hint="eastAsia"/>
          <w:color w:val="auto"/>
        </w:rPr>
      </w:pPr>
      <w:r>
        <w:rPr>
          <w:rFonts w:hint="eastAsia"/>
          <w:color w:val="auto"/>
        </w:rPr>
        <w:t>2.网上咨询：http://henan.chinatax.gov.cn，纳税咨询栏目。</w:t>
      </w:r>
    </w:p>
    <w:p>
      <w:pPr>
        <w:ind w:left="0" w:leftChars="0" w:firstLine="0" w:firstLineChars="0"/>
        <w:rPr>
          <w:rFonts w:hint="eastAsia"/>
          <w:color w:val="auto"/>
        </w:rPr>
      </w:pPr>
      <w:r>
        <w:rPr>
          <w:rFonts w:hint="eastAsia"/>
          <w:color w:val="auto"/>
        </w:rPr>
        <w:t>3.信函咨询：国家税务总局河南省税务局纳税服务处，地址：郑州市金水区丰产路111号，邮编450008。</w:t>
      </w:r>
    </w:p>
    <w:p>
      <w:pPr>
        <w:ind w:left="0" w:leftChars="0" w:firstLine="0" w:firstLineChars="0"/>
        <w:rPr>
          <w:rFonts w:hint="eastAsia"/>
          <w:color w:val="auto"/>
        </w:rPr>
      </w:pPr>
      <w:r>
        <w:rPr>
          <w:rFonts w:hint="eastAsia"/>
          <w:color w:val="auto"/>
        </w:rPr>
        <w:t>4.窗口接收：国家税务总局河南省税务局纳税服务处（0371-66767511）。</w:t>
      </w:r>
    </w:p>
    <w:p>
      <w:pPr>
        <w:ind w:left="0" w:leftChars="0" w:firstLine="0" w:firstLineChars="0"/>
        <w:rPr>
          <w:rFonts w:hint="eastAsia"/>
          <w:color w:val="auto"/>
        </w:rPr>
      </w:pPr>
      <w:r>
        <w:rPr>
          <w:rFonts w:hint="eastAsia"/>
          <w:color w:val="auto"/>
        </w:rPr>
        <w:t>5.代办转报：拨打各地办税服务厅联系电话，详见办税地图：</w:t>
      </w:r>
    </w:p>
    <w:p>
      <w:pPr>
        <w:ind w:left="0" w:leftChars="0" w:firstLine="0" w:firstLineChars="0"/>
        <w:rPr>
          <w:rFonts w:hint="eastAsia"/>
          <w:color w:val="auto"/>
        </w:rPr>
      </w:pPr>
      <w:r>
        <w:rPr>
          <w:rFonts w:hint="eastAsia"/>
          <w:color w:val="auto"/>
        </w:rPr>
        <w:t>https://12366.chinatax.gov.cn/bsfw/bsdt/</w:t>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2D46207C"/>
    <w:multiLevelType w:val="multilevel"/>
    <w:tmpl w:val="2D46207C"/>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6F5627AE"/>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2019-10-31T04:56:19Z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