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30337"/>
      <w:r>
        <w:rPr>
          <w:rFonts w:hint="eastAsia" w:ascii="黑体" w:hAnsi="黑体"/>
          <w:color w:val="auto"/>
        </w:rPr>
        <w:t>2.5.3.2增值税零税率应税服务免抵退税申报核准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增值税零税率应税服务免抵退税申报核准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ascii="宋体" w:hAnsi="宋体" w:eastAsia="宋体" w:cs="Times New Roman"/>
          <w:color w:val="auto"/>
          <w:kern w:val="2"/>
          <w:sz w:val="24"/>
          <w:szCs w:val="22"/>
          <w:lang w:val="en-US" w:eastAsia="zh-CN" w:bidi="ar-SA"/>
        </w:rPr>
        <w:t>发起方式：人工发起（纳税人）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tabs>
          <w:tab w:val="center" w:pos="4658"/>
        </w:tabs>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增值税零税率应税服务免抵退税申报核准是指实行免抵退税办法的出口企业提供增值税跨境应税服务后，向主管税务机关申请办理免抵退税申报业务，税务机关按照规定核准的管理事项。</w:t>
      </w:r>
    </w:p>
    <w:p>
      <w:pPr>
        <w:ind w:firstLine="472"/>
        <w:rPr>
          <w:rFonts w:hint="eastAsia"/>
          <w:color w:val="auto"/>
        </w:rPr>
      </w:pPr>
      <w:r>
        <w:rPr>
          <w:rFonts w:hint="eastAsia"/>
          <w:color w:val="auto"/>
        </w:rPr>
        <w:t>增值税零税率应税服务免抵退税申报核准事项包括增值税跨境运输应税行为免抵退税申报核准和增值税跨境其他应税行为免抵退税申报核准。</w:t>
      </w:r>
    </w:p>
    <w:p>
      <w:pPr>
        <w:ind w:firstLine="472"/>
        <w:rPr>
          <w:rFonts w:hint="eastAsia"/>
          <w:color w:val="auto"/>
        </w:rPr>
      </w:pPr>
      <w:r>
        <w:rPr>
          <w:rFonts w:hint="eastAsia"/>
          <w:color w:val="auto"/>
        </w:rPr>
        <w:t>增值税零税率应税服务包括：国际运输服务，港澳台运输服务，航天运输服务，向境外单位提供的完全在境外消费的研发服务、合同能源管理服务、设计服务、广播影视节目(作品)的制作和发行服务、软件服务、电路设计及测试服务、信息系统服务、业务流程管理服务、离岸服务外包业务、转让技术以及财政部和国家税务总局规定的其他服务。</w:t>
      </w:r>
    </w:p>
    <w:p>
      <w:pPr>
        <w:ind w:firstLine="472"/>
        <w:rPr>
          <w:rFonts w:hint="eastAsia"/>
          <w:color w:val="auto"/>
        </w:rPr>
      </w:pPr>
      <w:r>
        <w:rPr>
          <w:rFonts w:hint="eastAsia"/>
          <w:color w:val="auto"/>
        </w:rPr>
        <w:t>纳税人出口货物劳务、发生跨境应税行为，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《国家税务总局关于发布〈适用增值税零税率应税服务退（免）税管理办法〉的公告》（国家税务总局公告2014年第11号）第十二条</w:t>
      </w:r>
    </w:p>
    <w:p>
      <w:pPr>
        <w:ind w:firstLine="472"/>
        <w:rPr>
          <w:color w:val="auto"/>
        </w:rPr>
      </w:pPr>
      <w:r>
        <w:rPr>
          <w:rFonts w:hint="eastAsia"/>
          <w:color w:val="auto"/>
          <w:lang w:eastAsia="zh-CN"/>
        </w:rPr>
        <w:t>“</w:t>
      </w:r>
      <w:r>
        <w:rPr>
          <w:rFonts w:hint="eastAsia"/>
          <w:color w:val="auto"/>
        </w:rPr>
        <w:t>增值税零税率应税服务提供者提供增值税零税率应税服务，应在财务作销售收入次月（按季度进行增值税纳税申报的为次季度首月，下同）的增值税纳税申报期内，向主管税务机关办理增值税纳税和退（免）税相关申报。</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851"/>
        <w:gridCol w:w="2674"/>
        <w:gridCol w:w="586"/>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序号</w:t>
            </w:r>
          </w:p>
        </w:tc>
        <w:tc>
          <w:tcPr>
            <w:tcW w:w="2674" w:type="dxa"/>
            <w:shd w:val="clear" w:color="auto" w:fill="auto"/>
            <w:vAlign w:val="center"/>
          </w:tcPr>
          <w:p>
            <w:pPr>
              <w:widowControl/>
              <w:spacing w:line="280" w:lineRule="exact"/>
              <w:ind w:firstLine="0" w:firstLineChars="0"/>
              <w:jc w:val="both"/>
              <w:rPr>
                <w:rFonts w:cs="宋体"/>
                <w:b/>
                <w:color w:val="auto"/>
                <w:kern w:val="0"/>
                <w:sz w:val="18"/>
                <w:szCs w:val="18"/>
              </w:rPr>
            </w:pPr>
            <w:r>
              <w:rPr>
                <w:rFonts w:hint="eastAsia" w:cs="宋体"/>
                <w:b/>
                <w:color w:val="auto"/>
                <w:kern w:val="0"/>
                <w:sz w:val="18"/>
                <w:szCs w:val="18"/>
              </w:rPr>
              <w:t>附列资料名称</w:t>
            </w:r>
          </w:p>
        </w:tc>
        <w:tc>
          <w:tcPr>
            <w:tcW w:w="586"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份数</w:t>
            </w:r>
          </w:p>
        </w:tc>
        <w:tc>
          <w:tcPr>
            <w:tcW w:w="992"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报送类型</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报送条件</w:t>
            </w:r>
          </w:p>
        </w:tc>
        <w:tc>
          <w:tcPr>
            <w:tcW w:w="1134"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增值税零税率应税服务免抵退税正式申报电子数据</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12"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67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《免抵退税申报汇总表》</w:t>
            </w:r>
          </w:p>
        </w:tc>
        <w:tc>
          <w:tcPr>
            <w:tcW w:w="586"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12"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12"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67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《免抵退税申报汇总表附表》</w:t>
            </w:r>
          </w:p>
        </w:tc>
        <w:tc>
          <w:tcPr>
            <w:tcW w:w="586"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12"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增值税零税率应税服务所开具的发票（经税务机关认可，可只提供电子数据）</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《增值税零税率应税服务（国际运输</w:t>
            </w:r>
            <w:r>
              <w:rPr>
                <w:color w:val="auto"/>
                <w:sz w:val="18"/>
                <w:szCs w:val="18"/>
              </w:rPr>
              <w:t>/港澳台运输）免抵退税申报明细表》</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提供国际运输</w:t>
            </w:r>
            <w:r>
              <w:rPr>
                <w:rFonts w:cs="宋体"/>
                <w:color w:val="auto"/>
                <w:kern w:val="0"/>
                <w:sz w:val="18"/>
                <w:szCs w:val="18"/>
              </w:rPr>
              <w:t>/港澳台运输免抵退税申报时应报送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增值税零税率应税服务的载货、载客舱单或其他能够反映收入原始构成的单据凭证复印件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以水路运输、航空运输、公路运输方式的需要提供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期租、程租和湿租的合同或协议复印件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程租、期租、湿租服务方式需要提供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《航空国际运输收入清算账单申报明细表》</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为航空运输方式且国际运输和港澳台运输各航段由多个承运人承运的需要提供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9</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《国际客运（含香港直通车）旅客、行李包裹运输清算函件明细表》</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在申报铁路运输服务免抵退税时，属于客运的，应当提供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10</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增值税零税率应税服务的国际客运联运票据</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在申报铁路运输服务免抵退税时，属于客运的，应当提供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11</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《中国铁路总公司国际货物运输明细表》</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在申报铁路运输服务免抵退税时，属于货运的，应当提供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12</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《清算资金通知清单》</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在申报铁路运输服务免抵退税时，属于货运的，应当提供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13</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《增值税零税率应税服务免抵退税申报明细表》</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向境外单位提供研发服务、设计服务、</w:t>
            </w:r>
            <w:r>
              <w:rPr>
                <w:rFonts w:hint="eastAsia"/>
                <w:color w:val="auto"/>
                <w:sz w:val="18"/>
                <w:szCs w:val="18"/>
              </w:rPr>
              <w:t>航天运输服务、</w:t>
            </w:r>
            <w:r>
              <w:rPr>
                <w:rFonts w:hint="eastAsia" w:cs="宋体"/>
                <w:color w:val="auto"/>
                <w:kern w:val="0"/>
                <w:sz w:val="18"/>
                <w:szCs w:val="18"/>
              </w:rPr>
              <w:t>新纳入零税率范围的应税服务的提供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14</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签订的提供航天运输服务的合同复印件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提供航天运输服务</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15</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从与之签订航天运输服务合同的单位取得收入的收款凭证</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提供航天运输服务</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16</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《提供增值税零税率应税服务收讫营业款明细清单》</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向境外单位提供研发服务、设计服务、新纳入零税率范围的应税服务的提供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17</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与增值税零税率应税服务收入相对应的《技术出口合同登记证》复印件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kern w:val="20"/>
                <w:sz w:val="18"/>
                <w:szCs w:val="18"/>
              </w:rPr>
              <w:t>提供研发服务、设计服务、技术转让服务的企业提供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18</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与境外单位签订的研发、设计合同复印件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向境外单位提供研发服务、设计服务、新纳入零税率范围的应税服务的企业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19</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0"/>
                <w:sz w:val="18"/>
                <w:szCs w:val="18"/>
              </w:rPr>
              <w:t>合同已在商务部“服务外包及软件出口管理信息系统”中登记并审核通过，由该系统出具的证明文件复印件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kern w:val="20"/>
                <w:sz w:val="18"/>
                <w:szCs w:val="18"/>
              </w:rPr>
              <w:t>提供软件服务、电路设计及测试服务、信息系统服务、业务流程管理服务，以及离岸服务外包业务的企业提供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20</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0"/>
                <w:sz w:val="18"/>
                <w:szCs w:val="18"/>
              </w:rPr>
              <w:t>合同已在商务部“文化贸易管理系统”中登记并审核通过，由该系统出具的证明文件复印件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kern w:val="20"/>
                <w:sz w:val="18"/>
                <w:szCs w:val="18"/>
              </w:rPr>
              <w:t>提供广播影视节目（作品）的制作和发行服务的企业提供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21</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0"/>
                <w:sz w:val="18"/>
                <w:szCs w:val="18"/>
              </w:rPr>
              <w:t>行业主管部门出具的在有效期内的影视制作许可证明复印件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kern w:val="20"/>
                <w:sz w:val="18"/>
                <w:szCs w:val="18"/>
              </w:rPr>
              <w:t>提供电影、电视剧的制作服务的企业提</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22</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0"/>
                <w:sz w:val="18"/>
                <w:szCs w:val="18"/>
              </w:rPr>
              <w:t>行业主管部门出具的在有效期内的发行版权证明、发行许可证明复印件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kern w:val="20"/>
                <w:sz w:val="18"/>
                <w:szCs w:val="18"/>
              </w:rPr>
              <w:t>提供电影、电视剧的发行服务的企业提供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23</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0"/>
                <w:sz w:val="18"/>
                <w:szCs w:val="18"/>
              </w:rPr>
              <w:t>从与之签订提供增值税零税率应税服务合同的境外单位取得收入的收款凭证复印件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24</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kern w:val="0"/>
                <w:sz w:val="18"/>
                <w:szCs w:val="18"/>
              </w:rPr>
              <w:t>银行出具给跨国公司资金集中运营（收付）公司符合规定的收款凭证复印件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kern w:val="20"/>
                <w:sz w:val="18"/>
                <w:szCs w:val="18"/>
              </w:rPr>
              <w:t>跨国公司经外汇管理部门批准实行外汇资金集中运营管理或经中国人民银行批准实行经常项下跨境人民币集中收付管理的，其成员公司申报退（免）税时提供</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5" w:hRule="atLeast"/>
          <w:jc w:val="center"/>
        </w:trPr>
        <w:tc>
          <w:tcPr>
            <w:tcW w:w="851"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5</w:t>
            </w:r>
          </w:p>
        </w:tc>
        <w:tc>
          <w:tcPr>
            <w:tcW w:w="267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法定代表人（负责人、业主）本人有效身份证件原件</w:t>
            </w:r>
          </w:p>
        </w:tc>
        <w:tc>
          <w:tcPr>
            <w:tcW w:w="586"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纳税人自设立之日起首次申报出口退（免）税</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bl>
    <w:p>
      <w:pPr>
        <w:ind w:firstLine="471" w:firstLineChars="0"/>
        <w:rPr>
          <w:rFonts w:hint="eastAsia"/>
          <w:color w:val="auto"/>
        </w:rPr>
      </w:pPr>
    </w:p>
    <w:p>
      <w:pPr>
        <w:pStyle w:val="3"/>
        <w:ind w:firstLine="552"/>
        <w:rPr>
          <w:color w:val="auto"/>
        </w:rPr>
      </w:pPr>
      <w:r>
        <w:rPr>
          <w:rFonts w:hint="eastAsia"/>
          <w:color w:val="auto"/>
        </w:rPr>
        <w:t>六</w:t>
      </w:r>
      <w:r>
        <w:rPr>
          <w:color w:val="auto"/>
        </w:rPr>
        <w:t>、办理流程</w:t>
      </w:r>
    </w:p>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color w:val="auto"/>
        </w:rPr>
      </w:pPr>
      <w:r>
        <w:rPr>
          <w:color w:val="auto"/>
        </w:rPr>
        <w:object>
          <v:shape id="_x0000_i1176" o:spt="75" type="#_x0000_t75" style="height:168.75pt;width:356.25pt;" o:ole="t" filled="f" o:preferrelative="t" stroked="f" coordsize="21600,21600">
            <v:path/>
            <v:fill on="f" focussize="0,0"/>
            <v:stroke on="f"/>
            <v:imagedata r:id="rId11" o:title=""/>
            <o:lock v:ext="edit" aspectratio="f"/>
            <w10:wrap type="none"/>
            <w10:anchorlock/>
          </v:shape>
          <o:OLEObject Type="Embed" ProgID="Visio.Drawing.11" ShapeID="_x0000_i117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color w:val="auto"/>
        </w:rPr>
        <w:t>5个工作日、10个工作日、15个工作日、20个工作日(根据出口企业类别不同）</w:t>
      </w:r>
      <w:r>
        <w:rPr>
          <w:rFonts w:hint="eastAsia"/>
          <w:color w:val="auto"/>
          <w:lang w:eastAsia="zh-CN"/>
        </w:rPr>
        <w:t>办结</w:t>
      </w:r>
      <w:r>
        <w:rPr>
          <w:rFonts w:hint="eastAsia"/>
          <w:color w:val="auto"/>
        </w:rPr>
        <w:t>。</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1.A06177《免抵退税申报汇总表》</w:t>
      </w:r>
    </w:p>
    <w:p>
      <w:pPr>
        <w:ind w:firstLine="472"/>
        <w:rPr>
          <w:rFonts w:hint="eastAsia"/>
          <w:color w:val="auto"/>
        </w:rPr>
      </w:pPr>
      <w:r>
        <w:rPr>
          <w:rFonts w:hint="eastAsia"/>
          <w:color w:val="auto"/>
          <w:lang w:val="en-US" w:eastAsia="zh-CN"/>
        </w:rPr>
        <w:t>2.A06178</w:t>
      </w:r>
      <w:r>
        <w:rPr>
          <w:rFonts w:hint="eastAsia"/>
          <w:color w:val="auto"/>
        </w:rPr>
        <w:t>《免抵退税申报汇总表附表》</w:t>
      </w:r>
    </w:p>
    <w:p>
      <w:pPr>
        <w:ind w:firstLine="472"/>
        <w:rPr>
          <w:color w:val="auto"/>
        </w:rPr>
      </w:pPr>
      <w:r>
        <w:rPr>
          <w:rFonts w:hint="eastAsia"/>
          <w:color w:val="auto"/>
          <w:lang w:val="en-US" w:eastAsia="zh-CN"/>
        </w:rPr>
        <w:t>3.A08008</w:t>
      </w:r>
      <w:r>
        <w:rPr>
          <w:rFonts w:hint="eastAsia"/>
          <w:color w:val="auto"/>
        </w:rPr>
        <w:t>《增值税零税率应税服务（国际运输/港澳台运输）免抵退税申报明细表》</w:t>
      </w:r>
    </w:p>
    <w:p>
      <w:pPr>
        <w:pStyle w:val="3"/>
        <w:ind w:firstLine="552"/>
        <w:rPr>
          <w:color w:val="auto"/>
        </w:rPr>
      </w:pPr>
      <w:r>
        <w:rPr>
          <w:rFonts w:hint="eastAsia"/>
          <w:color w:val="auto"/>
        </w:rPr>
        <w:t>九、注意事项</w:t>
      </w:r>
    </w:p>
    <w:p>
      <w:pPr>
        <w:widowControl/>
        <w:ind w:firstLine="472"/>
        <w:jc w:val="left"/>
        <w:rPr>
          <w:color w:val="auto"/>
          <w:kern w:val="20"/>
          <w:szCs w:val="24"/>
        </w:rPr>
      </w:pPr>
      <w:r>
        <w:rPr>
          <w:rFonts w:hint="eastAsia"/>
          <w:color w:val="auto"/>
          <w:lang w:val="en-US" w:eastAsia="zh-CN"/>
        </w:rPr>
        <w:t>1.</w:t>
      </w:r>
      <w:r>
        <w:rPr>
          <w:rFonts w:hint="eastAsia"/>
          <w:color w:val="auto"/>
          <w:kern w:val="20"/>
          <w:szCs w:val="24"/>
        </w:rPr>
        <w:t>本事项限时办结。</w:t>
      </w:r>
    </w:p>
    <w:tbl>
      <w:tblPr>
        <w:tblStyle w:val="15"/>
        <w:tblW w:w="8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1701"/>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47" w:type="dxa"/>
            <w:tcBorders>
              <w:top w:val="single" w:color="auto" w:sz="12" w:space="0"/>
              <w:left w:val="single" w:color="auto" w:sz="12" w:space="0"/>
              <w:bottom w:val="single" w:color="auto" w:sz="6" w:space="0"/>
              <w:right w:val="single" w:color="auto" w:sz="6" w:space="0"/>
              <w:tl2br w:val="single" w:color="auto" w:sz="8" w:space="0"/>
            </w:tcBorders>
          </w:tcPr>
          <w:p>
            <w:pPr>
              <w:pStyle w:val="92"/>
              <w:ind w:firstLine="353"/>
              <w:jc w:val="right"/>
              <w:rPr>
                <w:rFonts w:ascii="宋体" w:hAnsi="宋体"/>
                <w:color w:val="auto"/>
                <w:kern w:val="2"/>
              </w:rPr>
            </w:pPr>
            <w:r>
              <w:rPr>
                <w:rFonts w:hint="eastAsia" w:ascii="宋体" w:hAnsi="宋体"/>
                <w:color w:val="auto"/>
                <w:kern w:val="2"/>
              </w:rPr>
              <w:t>信用状况</w:t>
            </w:r>
          </w:p>
          <w:p>
            <w:pPr>
              <w:pStyle w:val="92"/>
              <w:ind w:firstLine="353"/>
              <w:jc w:val="both"/>
              <w:rPr>
                <w:rFonts w:ascii="宋体" w:hAnsi="宋体"/>
                <w:color w:val="auto"/>
                <w:kern w:val="2"/>
              </w:rPr>
            </w:pPr>
            <w:r>
              <w:rPr>
                <w:rFonts w:hint="eastAsia" w:ascii="宋体" w:hAnsi="宋体"/>
                <w:color w:val="auto"/>
                <w:kern w:val="2"/>
              </w:rPr>
              <w:t>差异化</w:t>
            </w:r>
            <w:r>
              <w:rPr>
                <w:rFonts w:ascii="宋体" w:hAnsi="宋体"/>
                <w:color w:val="auto"/>
                <w:kern w:val="2"/>
              </w:rPr>
              <w:t>规则</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一类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二类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三类</w:t>
            </w:r>
          </w:p>
        </w:tc>
        <w:tc>
          <w:tcPr>
            <w:tcW w:w="1701" w:type="dxa"/>
            <w:tcBorders>
              <w:top w:val="single" w:color="auto" w:sz="12" w:space="0"/>
              <w:left w:val="single" w:color="auto" w:sz="6" w:space="0"/>
              <w:bottom w:val="single" w:color="auto" w:sz="6" w:space="0"/>
              <w:right w:val="single" w:color="auto" w:sz="12" w:space="0"/>
            </w:tcBorders>
            <w:vAlign w:val="center"/>
          </w:tcPr>
          <w:p>
            <w:pPr>
              <w:ind w:firstLine="353"/>
              <w:jc w:val="center"/>
              <w:rPr>
                <w:b/>
                <w:color w:val="auto"/>
                <w:kern w:val="0"/>
                <w:sz w:val="18"/>
                <w:szCs w:val="24"/>
              </w:rPr>
            </w:pPr>
            <w:r>
              <w:rPr>
                <w:rFonts w:hint="eastAsia"/>
                <w:b/>
                <w:color w:val="auto"/>
                <w:kern w:val="0"/>
                <w:sz w:val="18"/>
                <w:szCs w:val="24"/>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47" w:type="dxa"/>
            <w:tcBorders>
              <w:top w:val="single" w:color="auto" w:sz="6" w:space="0"/>
              <w:left w:val="single" w:color="auto" w:sz="12" w:space="0"/>
              <w:bottom w:val="single" w:color="auto" w:sz="12" w:space="0"/>
              <w:right w:val="single" w:color="auto" w:sz="6" w:space="0"/>
            </w:tcBorders>
            <w:vAlign w:val="center"/>
          </w:tcPr>
          <w:p>
            <w:pPr>
              <w:pStyle w:val="92"/>
              <w:ind w:firstLine="353"/>
              <w:rPr>
                <w:rFonts w:ascii="宋体" w:hAnsi="宋体"/>
                <w:color w:val="auto"/>
                <w:kern w:val="2"/>
              </w:rPr>
            </w:pPr>
            <w:r>
              <w:rPr>
                <w:rFonts w:hint="eastAsia" w:ascii="宋体" w:hAnsi="宋体"/>
                <w:color w:val="auto"/>
                <w:kern w:val="2"/>
              </w:rPr>
              <w:t>办理期限</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5个工作日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10个工作日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15个工作日</w:t>
            </w:r>
          </w:p>
        </w:tc>
        <w:tc>
          <w:tcPr>
            <w:tcW w:w="1701" w:type="dxa"/>
            <w:tcBorders>
              <w:top w:val="single" w:color="auto" w:sz="6" w:space="0"/>
              <w:left w:val="single" w:color="auto" w:sz="6" w:space="0"/>
              <w:bottom w:val="single" w:color="auto" w:sz="12" w:space="0"/>
              <w:right w:val="single" w:color="auto" w:sz="12" w:space="0"/>
            </w:tcBorders>
          </w:tcPr>
          <w:p>
            <w:pPr>
              <w:ind w:firstLine="352"/>
              <w:jc w:val="center"/>
              <w:rPr>
                <w:color w:val="auto"/>
                <w:kern w:val="0"/>
                <w:sz w:val="18"/>
                <w:szCs w:val="24"/>
              </w:rPr>
            </w:pPr>
            <w:r>
              <w:rPr>
                <w:rFonts w:hint="eastAsia"/>
                <w:color w:val="auto"/>
                <w:kern w:val="20"/>
                <w:sz w:val="18"/>
                <w:szCs w:val="24"/>
              </w:rPr>
              <w:t>20个工作日</w:t>
            </w:r>
          </w:p>
        </w:tc>
      </w:tr>
    </w:tbl>
    <w:p>
      <w:pPr>
        <w:ind w:firstLine="472"/>
        <w:jc w:val="left"/>
        <w:rPr>
          <w:rFonts w:hint="eastAsia"/>
          <w:color w:val="auto"/>
          <w:sz w:val="24"/>
          <w:szCs w:val="24"/>
        </w:rPr>
      </w:pPr>
      <w:r>
        <w:rPr>
          <w:rFonts w:hint="eastAsia"/>
          <w:color w:val="auto"/>
          <w:sz w:val="24"/>
          <w:szCs w:val="24"/>
        </w:rPr>
        <w:t>发生发函核实等国家税务总局文件中规定的特殊情形，可不受此办结时限限制。</w:t>
      </w:r>
    </w:p>
    <w:p>
      <w:pPr>
        <w:ind w:firstLine="471" w:firstLineChars="0"/>
        <w:rPr>
          <w:rFonts w:hint="eastAsia"/>
          <w:color w:val="auto"/>
        </w:rPr>
      </w:pPr>
      <w:r>
        <w:rPr>
          <w:rFonts w:hint="eastAsia"/>
          <w:color w:val="auto"/>
          <w:lang w:val="en-US" w:eastAsia="zh-CN"/>
        </w:rPr>
        <w:t>2</w:t>
      </w:r>
      <w:r>
        <w:rPr>
          <w:rFonts w:hint="eastAsia"/>
          <w:color w:val="auto"/>
        </w:rPr>
        <w:t>.文书表单可在省（自治区、直辖市和计划单列市）税务局网站“下载中心”栏目查询下载或到办税服务厅领取。</w:t>
      </w:r>
    </w:p>
    <w:p>
      <w:pPr>
        <w:ind w:firstLine="471" w:firstLineChars="0"/>
        <w:rPr>
          <w:rFonts w:hint="eastAsia"/>
          <w:color w:val="auto"/>
        </w:rPr>
      </w:pPr>
      <w:r>
        <w:rPr>
          <w:rFonts w:hint="eastAsia"/>
          <w:color w:val="auto"/>
          <w:lang w:val="en-US" w:eastAsia="zh-CN"/>
        </w:rPr>
        <w:t>3</w:t>
      </w:r>
      <w:r>
        <w:rPr>
          <w:rFonts w:hint="eastAsia"/>
          <w:color w:val="auto"/>
        </w:rPr>
        <w:t>.纳税人使用符合电子签名法规定条件的电子签名，与手写签名或者盖章具有同等法律效力。</w:t>
      </w:r>
    </w:p>
    <w:p>
      <w:pPr>
        <w:ind w:firstLine="471" w:firstLineChars="0"/>
        <w:rPr>
          <w:rFonts w:hint="eastAsia"/>
          <w:color w:val="auto"/>
        </w:rPr>
      </w:pPr>
      <w:r>
        <w:rPr>
          <w:rFonts w:hint="eastAsia"/>
          <w:color w:val="auto"/>
          <w:lang w:val="en-US" w:eastAsia="zh-CN"/>
        </w:rPr>
        <w:t>4</w:t>
      </w:r>
      <w:r>
        <w:rPr>
          <w:rFonts w:hint="eastAsia"/>
          <w:color w:val="auto"/>
        </w:rPr>
        <w:t>.纳税人提供的各项资料为复印件的，均须注明“与原件一致”并签章。</w:t>
      </w:r>
    </w:p>
    <w:p>
      <w:pPr>
        <w:ind w:firstLine="471" w:firstLineChars="0"/>
        <w:rPr>
          <w:rFonts w:hint="eastAsia"/>
          <w:color w:val="auto"/>
        </w:rPr>
      </w:pPr>
      <w:r>
        <w:rPr>
          <w:rFonts w:hint="eastAsia"/>
          <w:color w:val="auto"/>
          <w:lang w:val="en-US" w:eastAsia="zh-CN"/>
        </w:rPr>
        <w:t>5</w:t>
      </w:r>
      <w:r>
        <w:rPr>
          <w:rFonts w:hint="eastAsia"/>
          <w:color w:val="auto"/>
        </w:rPr>
        <w:t>.无纸化企业只应报送通过税控数字证书签名后的申报电子数据，相关纸质申报资料留存备查。</w:t>
      </w:r>
    </w:p>
    <w:p>
      <w:pPr>
        <w:ind w:firstLine="471" w:firstLineChars="0"/>
        <w:rPr>
          <w:rFonts w:hint="eastAsia"/>
          <w:color w:val="auto"/>
        </w:rPr>
      </w:pPr>
      <w:r>
        <w:rPr>
          <w:rFonts w:hint="eastAsia"/>
          <w:color w:val="auto"/>
          <w:lang w:val="en-US" w:eastAsia="zh-CN"/>
        </w:rPr>
        <w:t>6</w:t>
      </w:r>
      <w:r>
        <w:rPr>
          <w:rFonts w:hint="eastAsia"/>
          <w:color w:val="auto"/>
        </w:rPr>
        <w:t>.实行免抵退税办法的增值税零税率应税服务提供者如果同时出口货物劳务且未分别核算的，应一并计算免抵退税。</w:t>
      </w:r>
    </w:p>
    <w:p>
      <w:pPr>
        <w:ind w:firstLine="471" w:firstLineChars="0"/>
        <w:rPr>
          <w:rFonts w:hint="eastAsia"/>
          <w:color w:val="auto"/>
        </w:rPr>
      </w:pPr>
      <w:r>
        <w:rPr>
          <w:rFonts w:hint="eastAsia"/>
          <w:color w:val="auto"/>
          <w:lang w:val="en-US" w:eastAsia="zh-CN"/>
        </w:rPr>
        <w:t>7</w:t>
      </w:r>
      <w:r>
        <w:rPr>
          <w:rFonts w:hint="eastAsia"/>
          <w:color w:val="auto"/>
        </w:rPr>
        <w:t>.跨国公司经外汇管理部门批准实行外汇资金集中运营管理或经中国人民银行批准实行经常项下跨境人民币集中收付管理的，其成员公司在批准的有效期内，可凭银行出具给跨国公司资金集中运营（收付）公司符合下列规定的收款凭证，向主管税务机关申报退（免）税：</w:t>
      </w:r>
    </w:p>
    <w:p>
      <w:pPr>
        <w:ind w:firstLine="471" w:firstLineChars="0"/>
        <w:rPr>
          <w:rFonts w:hint="eastAsia"/>
          <w:color w:val="auto"/>
        </w:rPr>
      </w:pPr>
      <w:r>
        <w:rPr>
          <w:rFonts w:hint="eastAsia"/>
          <w:color w:val="auto"/>
        </w:rPr>
        <w:t>（1）收款凭证上的付款单位须是与成员公司签订提供增值税零税率应税服务合同的境外单位或合同约定的跨国公司的境外成员企业。</w:t>
      </w:r>
    </w:p>
    <w:p>
      <w:pPr>
        <w:ind w:firstLine="471" w:firstLineChars="0"/>
        <w:rPr>
          <w:rFonts w:hint="eastAsia"/>
          <w:color w:val="auto"/>
        </w:rPr>
      </w:pPr>
      <w:r>
        <w:rPr>
          <w:rFonts w:hint="eastAsia"/>
          <w:color w:val="auto"/>
        </w:rPr>
        <w:t>（2）收款凭证上的收款单位或附言的实际收款人须载明有成员公司的名称。</w:t>
      </w:r>
    </w:p>
    <w:p>
      <w:pPr>
        <w:ind w:firstLine="471" w:firstLineChars="0"/>
        <w:rPr>
          <w:rFonts w:hint="eastAsia"/>
          <w:color w:val="auto"/>
        </w:rPr>
      </w:pPr>
      <w:r>
        <w:rPr>
          <w:rFonts w:hint="eastAsia"/>
          <w:color w:val="auto"/>
          <w:lang w:val="en-US" w:eastAsia="zh-CN"/>
        </w:rPr>
        <w:t>8</w:t>
      </w:r>
      <w:r>
        <w:rPr>
          <w:rFonts w:hint="eastAsia"/>
          <w:color w:val="auto"/>
        </w:rPr>
        <w:t>.</w:t>
      </w:r>
      <w:r>
        <w:rPr>
          <w:rFonts w:hint="eastAsia"/>
          <w:color w:val="auto"/>
          <w:lang w:val="zh-CN"/>
        </w:rPr>
        <w:t>提供的适用增值税零税率的铁路运输</w:t>
      </w:r>
      <w:r>
        <w:rPr>
          <w:rFonts w:hint="eastAsia"/>
          <w:color w:val="auto"/>
        </w:rPr>
        <w:t>客运</w:t>
      </w:r>
      <w:r>
        <w:rPr>
          <w:rFonts w:hint="eastAsia"/>
          <w:color w:val="auto"/>
          <w:lang w:val="zh-CN"/>
        </w:rPr>
        <w:t>服务</w:t>
      </w:r>
      <w:r>
        <w:rPr>
          <w:rFonts w:hint="eastAsia"/>
          <w:color w:val="auto"/>
        </w:rPr>
        <w:t>的，以下原始凭证留存企业备查：</w:t>
      </w:r>
    </w:p>
    <w:p>
      <w:pPr>
        <w:ind w:firstLine="471" w:firstLineChars="0"/>
        <w:rPr>
          <w:rFonts w:hint="eastAsia"/>
          <w:color w:val="auto"/>
        </w:rPr>
      </w:pPr>
      <w:r>
        <w:rPr>
          <w:rFonts w:hint="eastAsia"/>
          <w:color w:val="auto"/>
        </w:rPr>
        <w:t>（1）国际客运联运票据（入境除外）；</w:t>
      </w:r>
    </w:p>
    <w:p>
      <w:pPr>
        <w:ind w:firstLine="471" w:firstLineChars="0"/>
        <w:rPr>
          <w:rFonts w:hint="eastAsia"/>
          <w:color w:val="auto"/>
        </w:rPr>
      </w:pPr>
      <w:r>
        <w:rPr>
          <w:rFonts w:hint="eastAsia"/>
          <w:color w:val="auto"/>
        </w:rPr>
        <w:t>（2）铁路合作组织清算函件；</w:t>
      </w:r>
    </w:p>
    <w:p>
      <w:pPr>
        <w:ind w:firstLine="471" w:firstLineChars="0"/>
        <w:rPr>
          <w:rFonts w:hint="eastAsia"/>
          <w:color w:val="auto"/>
        </w:rPr>
      </w:pPr>
      <w:r>
        <w:rPr>
          <w:rFonts w:hint="eastAsia"/>
          <w:color w:val="auto"/>
        </w:rPr>
        <w:t>（3）香港直通车售出直通客票月报。</w:t>
      </w:r>
    </w:p>
    <w:p>
      <w:pPr>
        <w:ind w:firstLine="471" w:firstLineChars="0"/>
        <w:rPr>
          <w:rFonts w:hint="eastAsia"/>
          <w:color w:val="auto"/>
        </w:rPr>
      </w:pPr>
      <w:r>
        <w:rPr>
          <w:rFonts w:hint="eastAsia"/>
          <w:color w:val="auto"/>
          <w:lang w:val="en-US" w:eastAsia="zh-CN"/>
        </w:rPr>
        <w:t>9</w:t>
      </w:r>
      <w:r>
        <w:rPr>
          <w:rFonts w:hint="eastAsia"/>
          <w:color w:val="auto"/>
        </w:rPr>
        <w:t>.</w:t>
      </w:r>
      <w:r>
        <w:rPr>
          <w:rFonts w:hint="eastAsia"/>
          <w:color w:val="auto"/>
          <w:lang w:val="zh-CN"/>
        </w:rPr>
        <w:t>提供的适用增值税零税率的铁路运输</w:t>
      </w:r>
      <w:r>
        <w:rPr>
          <w:rFonts w:hint="eastAsia"/>
          <w:color w:val="auto"/>
        </w:rPr>
        <w:t>货运</w:t>
      </w:r>
      <w:r>
        <w:rPr>
          <w:rFonts w:hint="eastAsia"/>
          <w:color w:val="auto"/>
          <w:lang w:val="zh-CN"/>
        </w:rPr>
        <w:t>服务</w:t>
      </w:r>
      <w:r>
        <w:rPr>
          <w:rFonts w:hint="eastAsia"/>
          <w:color w:val="auto"/>
        </w:rPr>
        <w:t>的，以下原始凭证留存企业备查：</w:t>
      </w:r>
    </w:p>
    <w:p>
      <w:pPr>
        <w:ind w:firstLine="471" w:firstLineChars="0"/>
        <w:rPr>
          <w:rFonts w:hint="eastAsia"/>
          <w:color w:val="auto"/>
        </w:rPr>
      </w:pPr>
      <w:r>
        <w:rPr>
          <w:rFonts w:hint="eastAsia"/>
          <w:color w:val="auto"/>
        </w:rPr>
        <w:t>（1）运输收入会计报表；</w:t>
      </w:r>
    </w:p>
    <w:p>
      <w:pPr>
        <w:ind w:firstLine="471" w:firstLineChars="0"/>
        <w:rPr>
          <w:rFonts w:hint="eastAsia"/>
          <w:color w:val="auto"/>
        </w:rPr>
      </w:pPr>
      <w:r>
        <w:rPr>
          <w:rFonts w:hint="eastAsia"/>
          <w:color w:val="auto"/>
        </w:rPr>
        <w:t>（2）货运联运运单；</w:t>
      </w:r>
    </w:p>
    <w:p>
      <w:pPr>
        <w:ind w:firstLine="471" w:firstLineChars="0"/>
        <w:rPr>
          <w:rFonts w:hint="eastAsia"/>
          <w:color w:val="auto"/>
        </w:rPr>
      </w:pPr>
      <w:r>
        <w:rPr>
          <w:rFonts w:hint="eastAsia"/>
          <w:color w:val="auto"/>
        </w:rPr>
        <w:t>（3）“发站”或“到站（局）”名称包含“境”字的货票。</w:t>
      </w:r>
    </w:p>
    <w:p>
      <w:pPr>
        <w:ind w:firstLine="471" w:firstLineChars="0"/>
        <w:rPr>
          <w:rFonts w:hint="eastAsia"/>
          <w:color w:val="auto"/>
        </w:rPr>
      </w:pPr>
      <w:r>
        <w:rPr>
          <w:rFonts w:hint="eastAsia"/>
          <w:color w:val="auto"/>
          <w:lang w:val="en-US" w:eastAsia="zh-CN"/>
        </w:rPr>
        <w:t>10</w:t>
      </w:r>
      <w:r>
        <w:rPr>
          <w:rFonts w:hint="eastAsia"/>
          <w:color w:val="auto"/>
        </w:rPr>
        <w:t>.外贸企业直接将服务或自行研发的无形资产出口，视同生产企业连同其出口货物统一实行免抵退税办法。</w:t>
      </w:r>
    </w:p>
    <w:p>
      <w:pPr>
        <w:ind w:firstLine="471" w:firstLineChars="0"/>
        <w:rPr>
          <w:rFonts w:hint="eastAsia"/>
          <w:color w:val="auto"/>
        </w:rPr>
      </w:pPr>
      <w:r>
        <w:rPr>
          <w:rFonts w:hint="eastAsia"/>
          <w:color w:val="auto"/>
        </w:rPr>
        <w:t>1</w:t>
      </w:r>
      <w:r>
        <w:rPr>
          <w:rFonts w:hint="eastAsia"/>
          <w:color w:val="auto"/>
          <w:lang w:val="en-US" w:eastAsia="zh-CN"/>
        </w:rPr>
        <w:t>1</w:t>
      </w:r>
      <w:r>
        <w:rPr>
          <w:rFonts w:hint="eastAsia"/>
          <w:color w:val="auto"/>
        </w:rPr>
        <w:t>.申请办理留抵退税的纳税人，发生跨境应税行为适用免抵退税办法的，应当按期申报免抵退税。当期可申报免抵退税的出口销售额为零的，应办理免抵退税零申报。</w:t>
      </w:r>
    </w:p>
    <w:p>
      <w:pPr>
        <w:ind w:firstLine="471" w:firstLineChars="0"/>
        <w:rPr>
          <w:rFonts w:hint="eastAsia"/>
          <w:color w:val="auto"/>
        </w:rPr>
      </w:pPr>
      <w:r>
        <w:rPr>
          <w:rFonts w:hint="eastAsia"/>
          <w:color w:val="auto"/>
        </w:rPr>
        <w:t>1</w:t>
      </w:r>
      <w:r>
        <w:rPr>
          <w:rFonts w:hint="eastAsia"/>
          <w:color w:val="auto"/>
          <w:lang w:val="en-US" w:eastAsia="zh-CN"/>
        </w:rPr>
        <w:t>2</w:t>
      </w:r>
      <w:r>
        <w:rPr>
          <w:rFonts w:hint="eastAsia"/>
          <w:color w:val="auto"/>
        </w:rPr>
        <w:t>.纳税人既申报免抵退税又申请办理留抵退税的，应先办理免抵退税，办理免抵退税后，仍符合留抵退税条件的，再办理留抵退税。</w:t>
      </w:r>
    </w:p>
    <w:p>
      <w:pPr>
        <w:ind w:firstLine="472"/>
        <w:rPr>
          <w:color w:val="auto"/>
        </w:rPr>
      </w:pPr>
      <w:r>
        <w:rPr>
          <w:rFonts w:hint="eastAsia"/>
          <w:color w:val="auto"/>
        </w:rPr>
        <w:t>1</w:t>
      </w:r>
      <w:r>
        <w:rPr>
          <w:rFonts w:hint="eastAsia"/>
          <w:color w:val="auto"/>
          <w:lang w:val="en-US" w:eastAsia="zh-CN"/>
        </w:rPr>
        <w:t>3</w:t>
      </w:r>
      <w:r>
        <w:rPr>
          <w:rFonts w:hint="eastAsia"/>
          <w:color w:val="auto"/>
        </w:rPr>
        <w:t>.纳税人对报送材料的真实性和合法性承担责任。</w:t>
      </w:r>
    </w:p>
    <w:p>
      <w:pPr>
        <w:ind w:firstLine="472"/>
        <w:jc w:val="left"/>
        <w:rPr>
          <w:rFonts w:hint="eastAsia"/>
          <w:color w:val="auto"/>
        </w:rPr>
      </w:pPr>
      <w:r>
        <w:rPr>
          <w:rFonts w:hint="eastAsia"/>
          <w:color w:val="auto"/>
          <w:lang w:val="en-US" w:eastAsia="zh-CN"/>
        </w:rPr>
        <w:t>14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15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E201D02"/>
    <w:multiLevelType w:val="multilevel"/>
    <w:tmpl w:val="6E201D0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78267AD"/>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2019-10-31T05:12:07Z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