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cs="黑体"/>
          <w:color w:val="auto"/>
        </w:rPr>
      </w:pPr>
      <w:bookmarkStart w:id="1" w:name="_GoBack"/>
      <w:bookmarkEnd w:id="1"/>
      <w:bookmarkStart w:id="0" w:name="_Toc5023"/>
      <w:r>
        <w:rPr>
          <w:rFonts w:ascii="黑体" w:hAnsi="黑体" w:cs="黑体"/>
          <w:color w:val="auto"/>
        </w:rPr>
        <w:t>1.1.</w:t>
      </w:r>
      <w:r>
        <w:rPr>
          <w:rFonts w:hint="eastAsia" w:ascii="黑体" w:hAnsi="黑体" w:cs="黑体"/>
          <w:color w:val="auto"/>
        </w:rPr>
        <w:t>3</w:t>
      </w:r>
      <w:r>
        <w:rPr>
          <w:rFonts w:ascii="黑体" w:hAnsi="黑体" w:cs="黑体"/>
          <w:color w:val="auto"/>
        </w:rPr>
        <w:t>.</w:t>
      </w:r>
      <w:r>
        <w:rPr>
          <w:rFonts w:hint="eastAsia" w:ascii="黑体" w:hAnsi="黑体" w:cs="黑体"/>
          <w:color w:val="auto"/>
        </w:rPr>
        <w:t>2财务会计制度及核算软件备案报告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 w:ascii="黑体" w:hAnsi="黑体" w:cs="黑体"/>
          <w:color w:val="auto"/>
        </w:rPr>
        <w:t>财务会计制度及核算软件备案报告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全省通办：是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numPr>
          <w:ilvl w:val="0"/>
          <w:numId w:val="3"/>
        </w:numPr>
        <w:ind w:left="0" w:firstLine="420"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 w:eastAsia="黑体" w:asciiTheme="majorHAnsi" w:hAnsiTheme="majorHAnsi" w:cstheme="majorBidi"/>
          <w:bCs/>
          <w:color w:val="auto"/>
          <w:sz w:val="28"/>
          <w:szCs w:val="32"/>
          <w:lang w:eastAsia="zh-CN"/>
        </w:rPr>
        <w:t>办理条件</w:t>
      </w:r>
    </w:p>
    <w:p>
      <w:pPr>
        <w:ind w:firstLine="472"/>
        <w:rPr>
          <w:rFonts w:hint="eastAsia" w:ascii="黑体" w:hAnsi="黑体" w:cs="黑体"/>
          <w:color w:val="auto"/>
        </w:rPr>
      </w:pPr>
      <w:r>
        <w:rPr>
          <w:rFonts w:hint="eastAsia" w:ascii="黑体" w:hAnsi="黑体" w:cs="黑体"/>
          <w:color w:val="auto"/>
        </w:rPr>
        <w:t>从事生产、经营的纳税人应当自领取税务登记证件之日起15日内，将其财务、会计制度或者财务、会计处理办法等信息报送税务机关备案。</w:t>
      </w:r>
    </w:p>
    <w:p>
      <w:pPr>
        <w:ind w:firstLine="472"/>
        <w:rPr>
          <w:rFonts w:hint="eastAsia" w:ascii="黑体" w:hAnsi="黑体" w:cs="黑体"/>
          <w:color w:val="auto"/>
        </w:rPr>
      </w:pPr>
      <w:r>
        <w:rPr>
          <w:rFonts w:hint="eastAsia" w:ascii="黑体" w:hAnsi="黑体" w:cs="黑体"/>
          <w:color w:val="auto"/>
        </w:rPr>
        <w:t>纳税人使用计算机记账的，应当在使用前将会计电算化系统的会计核算软件、使用说明书及有关资料报送主管税务机关备案。</w:t>
      </w:r>
    </w:p>
    <w:p>
      <w:pPr>
        <w:ind w:firstLine="472"/>
        <w:rPr>
          <w:color w:val="auto"/>
        </w:rPr>
      </w:pPr>
      <w:r>
        <w:rPr>
          <w:rFonts w:hint="eastAsia" w:ascii="黑体" w:hAnsi="黑体" w:cs="黑体"/>
          <w:color w:val="auto"/>
        </w:rPr>
        <w:t>非境内注册居民企业应当按照中国有关法律、法规和国务院财政、税务主管部门的规定，编制财务、会计报表，并在领取税务登记证件之日起15日内将企业的财务、会计制度或者财务会计、处理办法及有关资料报送主管税务机关备案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《中华人民共和国税收征收管理法》第十九条</w:t>
      </w:r>
      <w:r>
        <w:rPr>
          <w:rFonts w:hint="eastAsia"/>
          <w:color w:val="auto"/>
          <w:lang w:eastAsia="zh-CN"/>
        </w:rPr>
        <w:t>、</w:t>
      </w:r>
      <w:r>
        <w:rPr>
          <w:rFonts w:hint="eastAsia"/>
          <w:color w:val="auto"/>
        </w:rPr>
        <w:t>第二十条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第十九条纳税人、扣缴义务人按照有关法律、行政法规和国务院财政、税务主管部门的规定设置帐簿，根据合法、有效凭证记帐，进行核算。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第二十条从事生产、经营的纳税人的财务、会计制度或者财务、会计处理办法和会计核算软件，应当报送税务机关备案。纳税人、扣缴义务人的财务、会计制度或者财务、会计处理办法与国务院或者国务院财政、税务主管部门有关税收的规定抵触的，依照国务院或者国务院财政、税务主管部门有关税收的规定计算应纳税款、代扣代缴和代收代缴税款。</w:t>
      </w:r>
      <w:r>
        <w:rPr>
          <w:rFonts w:hint="eastAsia"/>
          <w:color w:val="auto"/>
          <w:lang w:eastAsia="zh-CN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《财务会计制度及核算软件备案报告书》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352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纳税人财务、会计制度或纳税人财务、会计核算办法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352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352" w:firstLineChars="20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财务会计核算软件使用说明书复印件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使用计算机记账的纳税人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352" w:firstLineChars="20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ind w:left="472" w:firstLine="0" w:firstLineChars="0"/>
        <w:rPr>
          <w:color w:val="auto"/>
        </w:rPr>
      </w:pPr>
      <w:r>
        <w:rPr>
          <w:color w:val="auto"/>
        </w:rPr>
        <w:pict>
          <v:shape id="_x0000_s1030" o:spid="_x0000_s1030" o:spt="75" type="#_x0000_t75" style="position:absolute;left:0pt;margin-left:8.6pt;margin-top:16.6pt;height:104.45pt;width:439.3pt;mso-wrap-distance-bottom:0pt;mso-wrap-distance-left:9pt;mso-wrap-distance-right:9pt;mso-wrap-distance-top:0pt;z-index:25167257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square"/>
          </v:shape>
          <o:OLEObject Type="Embed" ProgID="Visio.Drawing.11" ShapeID="_x0000_s1030" DrawAspect="Content" ObjectID="_1468075725" r:id="rId10">
            <o:LockedField>false</o:LockedField>
          </o:OLEObject>
        </w:pi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</w:t>
      </w:r>
      <w:r>
        <w:rPr>
          <w:rFonts w:hint="eastAsia" w:ascii="宋体" w:hAnsi="宋体" w:eastAsia="宋体"/>
          <w:color w:val="auto"/>
        </w:rPr>
        <w:t>A01038</w:t>
      </w:r>
      <w:r>
        <w:rPr>
          <w:rFonts w:hint="eastAsia"/>
          <w:color w:val="auto"/>
        </w:rPr>
        <w:t>《财务会计制度及核算软件备案报告书》(A01038《财务会计制度及核算软件备案报告书》（填写样例）)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1.纳税人对报送材料的真实性和合法性承担责任。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2.文书表单可在省（自治区、直辖市和计划单列市）税务局网站“下载中心”栏目查询下载或到办税服务厅领取。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3.税务机关提供“最多跑一次”服务。纳税人在资料完整且符合法定受理条件的前提下，最多只需要到税务机关跑一次。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4.纳税人使用符合电子签名法规定条件的电子签名，与手写签名或者盖章具有同等法律效力。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5.纳税人提供的各项资料为复印件的，均须注明“与原件一致”并签章。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6.纳税人采用新办纳税人“套餐式”服务的，可在“套餐式”服务内一并办理财务会计制度及核算软件备案报告业务。</w:t>
      </w:r>
    </w:p>
    <w:p>
      <w:pPr>
        <w:ind w:firstLine="472"/>
        <w:rPr>
          <w:color w:val="auto"/>
          <w:szCs w:val="22"/>
        </w:rPr>
      </w:pPr>
      <w:r>
        <w:rPr>
          <w:rFonts w:hint="eastAsia"/>
          <w:color w:val="auto"/>
        </w:rPr>
        <w:t>7.从事生产、经营的纳税人应当自领取税务登记证件起15日内，将其财务、会计制度或者财务、会计处理办法等信息报送税务机关备案。未到税务机关进行财务会计制度备案，</w:t>
      </w:r>
      <w:r>
        <w:rPr>
          <w:color w:val="auto"/>
          <w:szCs w:val="22"/>
        </w:rPr>
        <w:t>由税务机关责令限期改正，可以处二千元以下的罚款;情节严重的，处二千元以上一万元以下的罚款</w:t>
      </w:r>
      <w:r>
        <w:rPr>
          <w:rFonts w:hint="eastAsia"/>
          <w:color w:val="auto"/>
          <w:szCs w:val="22"/>
        </w:rPr>
        <w:t>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8.境外注册中资控股居民企业应当按照中国有关法律、法规和国务院财政、税务主管部门的规定，编制财务、会计报表，并在领取税务登记证件之日起15日内将企业的财务、会计制度或者财务会计、处理办法及有关资料报送主管税务机关备案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9.纳税人未准确填报适用的财务会计制度的，将影响财务会计报告报送等事项的办理。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10.纳税人使用计算机记账的，还应在使用前将会计电算化系统的会计核算软件、使用说明书及有关资料报送主管税务机关备案</w:t>
      </w:r>
      <w:r>
        <w:rPr>
          <w:color w:val="auto"/>
        </w:rPr>
        <w:t>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11</w:t>
      </w:r>
      <w:r>
        <w:rPr>
          <w:rFonts w:hint="eastAsia"/>
          <w:color w:val="auto"/>
        </w:rPr>
        <w:t>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34770F"/>
    <w:multiLevelType w:val="singleLevel"/>
    <w:tmpl w:val="F334770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4543563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2019-10-31T03:31:13Z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