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default" w:ascii="黑体" w:hAnsi="黑体"/>
          <w:color w:val="auto"/>
        </w:rPr>
      </w:pPr>
      <w:bookmarkStart w:id="1" w:name="_GoBack"/>
      <w:bookmarkEnd w:id="1"/>
      <w:bookmarkStart w:id="0" w:name="_Toc21625"/>
      <w:r>
        <w:rPr>
          <w:rFonts w:hint="default" w:ascii="黑体" w:hAnsi="黑体"/>
          <w:color w:val="auto"/>
        </w:rPr>
        <w:t>3.2.4.4.1</w:t>
      </w:r>
      <w:r>
        <w:rPr>
          <w:rFonts w:hint="eastAsia" w:ascii="黑体" w:hAnsi="黑体"/>
          <w:color w:val="auto"/>
        </w:rPr>
        <w:t>3特别</w:t>
      </w:r>
      <w:r>
        <w:rPr>
          <w:rFonts w:hint="default" w:ascii="黑体" w:hAnsi="黑体"/>
          <w:color w:val="auto"/>
        </w:rPr>
        <w:t>纳税调整</w:t>
      </w:r>
      <w:r>
        <w:rPr>
          <w:rFonts w:hint="eastAsia" w:ascii="黑体" w:hAnsi="黑体"/>
          <w:color w:val="auto"/>
        </w:rPr>
        <w:t>相关资料延期提供</w:t>
      </w:r>
      <w:bookmarkEnd w:id="0"/>
    </w:p>
    <w:p>
      <w:pPr>
        <w:pStyle w:val="3"/>
        <w:ind w:firstLine="552"/>
        <w:rPr>
          <w:color w:val="auto"/>
        </w:rPr>
      </w:pPr>
      <w:r>
        <w:rPr>
          <w:color w:val="auto"/>
        </w:rPr>
        <w:t>一、事项名称</w:t>
      </w:r>
    </w:p>
    <w:p>
      <w:pPr>
        <w:ind w:firstLine="472"/>
        <w:contextualSpacing/>
        <w:rPr>
          <w:rFonts w:hint="eastAsia" w:ascii="宋体" w:hAnsi="宋体" w:eastAsia="宋体" w:cs="Times New Roman"/>
          <w:color w:val="auto"/>
          <w:sz w:val="24"/>
          <w:szCs w:val="22"/>
        </w:rPr>
      </w:pPr>
      <w:r>
        <w:rPr>
          <w:rFonts w:hint="eastAsia" w:ascii="宋体" w:hAnsi="宋体" w:eastAsia="宋体" w:cs="Times New Roman"/>
          <w:color w:val="auto"/>
          <w:sz w:val="24"/>
          <w:szCs w:val="22"/>
        </w:rPr>
        <w:t>特别纳税调整相关资料延期提供</w:t>
      </w:r>
    </w:p>
    <w:p>
      <w:pPr>
        <w:pStyle w:val="3"/>
        <w:ind w:firstLine="552"/>
        <w:rPr>
          <w:color w:val="auto"/>
        </w:rPr>
      </w:pPr>
      <w:r>
        <w:rPr>
          <w:color w:val="auto"/>
        </w:rPr>
        <w:t>二、事项类别</w:t>
      </w:r>
    </w:p>
    <w:p>
      <w:pPr>
        <w:pStyle w:val="47"/>
        <w:numPr>
          <w:ilvl w:val="0"/>
          <w:numId w:val="3"/>
        </w:numPr>
        <w:ind w:left="0" w:firstLine="472"/>
        <w:rPr>
          <w:color w:val="auto"/>
        </w:rPr>
      </w:pPr>
      <w:r>
        <w:rPr>
          <w:rFonts w:hint="eastAsia"/>
          <w:color w:val="auto"/>
        </w:rPr>
        <w:t>发起方式：人工发起（纳税人）</w:t>
      </w:r>
    </w:p>
    <w:p>
      <w:pPr>
        <w:pStyle w:val="47"/>
        <w:numPr>
          <w:ilvl w:val="0"/>
          <w:numId w:val="3"/>
        </w:numPr>
        <w:ind w:left="0" w:firstLine="472"/>
        <w:rPr>
          <w:color w:val="auto"/>
        </w:rPr>
      </w:pPr>
      <w:r>
        <w:rPr>
          <w:rFonts w:hint="eastAsia"/>
          <w:color w:val="auto"/>
        </w:rPr>
        <w:t>办结方式：限时办结</w:t>
      </w:r>
    </w:p>
    <w:p>
      <w:pPr>
        <w:pStyle w:val="47"/>
        <w:numPr>
          <w:ilvl w:val="0"/>
          <w:numId w:val="3"/>
        </w:numPr>
        <w:ind w:left="0" w:firstLine="472"/>
        <w:rPr>
          <w:color w:val="auto"/>
        </w:rPr>
      </w:pPr>
      <w:r>
        <w:rPr>
          <w:rFonts w:hint="eastAsia"/>
          <w:color w:val="auto"/>
        </w:rPr>
        <w:t>全省通办：否</w:t>
      </w:r>
    </w:p>
    <w:p>
      <w:pPr>
        <w:pStyle w:val="47"/>
        <w:numPr>
          <w:ilvl w:val="0"/>
          <w:numId w:val="3"/>
        </w:numPr>
        <w:ind w:left="0" w:firstLine="472"/>
        <w:rPr>
          <w:color w:val="auto"/>
        </w:rPr>
      </w:pPr>
      <w:r>
        <w:rPr>
          <w:rFonts w:hint="eastAsia"/>
          <w:color w:val="auto"/>
        </w:rPr>
        <w:t>网上办理：否</w:t>
      </w:r>
    </w:p>
    <w:p>
      <w:pPr>
        <w:pStyle w:val="47"/>
        <w:numPr>
          <w:ilvl w:val="0"/>
          <w:numId w:val="3"/>
        </w:numPr>
        <w:ind w:left="0" w:firstLine="472"/>
        <w:rPr>
          <w:color w:val="auto"/>
        </w:rPr>
      </w:pPr>
      <w:r>
        <w:rPr>
          <w:rFonts w:hint="eastAsia"/>
          <w:color w:val="auto"/>
        </w:rPr>
        <w:t>适用层级：省、市、县(市、区)级</w:t>
      </w:r>
    </w:p>
    <w:p>
      <w:pPr>
        <w:pStyle w:val="47"/>
        <w:numPr>
          <w:ilvl w:val="0"/>
          <w:numId w:val="4"/>
        </w:numPr>
        <w:ind w:firstLineChars="0"/>
        <w:rPr>
          <w:color w:val="auto"/>
        </w:rPr>
      </w:pPr>
      <w:r>
        <w:rPr>
          <w:rFonts w:hint="eastAsia"/>
          <w:color w:val="auto"/>
        </w:rPr>
        <w:t>最多跑一次：是</w:t>
      </w:r>
    </w:p>
    <w:p>
      <w:pPr>
        <w:pStyle w:val="3"/>
        <w:ind w:firstLine="552"/>
        <w:rPr>
          <w:rFonts w:hint="eastAsia" w:eastAsia="黑体"/>
          <w:color w:val="auto"/>
          <w:lang w:eastAsia="zh-CN"/>
        </w:rPr>
      </w:pPr>
      <w:r>
        <w:rPr>
          <w:color w:val="auto"/>
        </w:rPr>
        <w:t>三、</w:t>
      </w:r>
      <w:r>
        <w:rPr>
          <w:rFonts w:hint="eastAsia"/>
          <w:color w:val="auto"/>
          <w:lang w:eastAsia="zh-CN"/>
        </w:rPr>
        <w:t>办理条件</w:t>
      </w:r>
    </w:p>
    <w:p>
      <w:pPr>
        <w:ind w:left="0" w:leftChars="0" w:firstLine="472" w:firstLineChars="200"/>
        <w:rPr>
          <w:rFonts w:ascii="等线" w:hAnsi="等线" w:eastAsia="黑体" w:cs="黑体"/>
          <w:color w:val="auto"/>
          <w:kern w:val="44"/>
          <w:sz w:val="28"/>
          <w:szCs w:val="44"/>
        </w:rPr>
      </w:pPr>
      <w:r>
        <w:rPr>
          <w:bCs/>
          <w:color w:val="auto"/>
        </w:rPr>
        <w:t>特别纳税调整延期管理，是指税务机关在实施转让定价调查时要求企业及其关联</w:t>
      </w:r>
      <w:r>
        <w:rPr>
          <w:color w:val="auto"/>
        </w:rPr>
        <w:t>方，以及与关联业务调查有关的其他企业（可比企业）提供相关资料时，企业因特殊情况不能按期提供的，应向税务机关提交书面延期申请，经批准，可以延期提供，但最长不得超过30日。税务机关应自收到企业延期申请之日起15日内函复，逾期未函复的，视同税务机关已同意企业的延期申请。</w:t>
      </w:r>
    </w:p>
    <w:p>
      <w:pPr>
        <w:pStyle w:val="3"/>
        <w:ind w:firstLine="552"/>
        <w:rPr>
          <w:color w:val="auto"/>
        </w:rPr>
      </w:pPr>
      <w:r>
        <w:rPr>
          <w:rFonts w:hint="eastAsia"/>
          <w:color w:val="auto"/>
        </w:rPr>
        <w:t>四、设定依据</w:t>
      </w:r>
    </w:p>
    <w:p>
      <w:pPr>
        <w:ind w:firstLine="472"/>
        <w:rPr>
          <w:rFonts w:hint="eastAsia"/>
          <w:bCs/>
          <w:color w:val="auto"/>
          <w:lang w:val="en-US" w:eastAsia="zh-CN"/>
        </w:rPr>
      </w:pPr>
      <w:r>
        <w:rPr>
          <w:rFonts w:hint="eastAsia"/>
          <w:bCs/>
          <w:color w:val="auto"/>
          <w:lang w:val="en-US" w:eastAsia="zh-CN"/>
        </w:rPr>
        <w:t>1.《中华人民共和国税收征收管理法》第二十七条　</w:t>
      </w:r>
    </w:p>
    <w:p>
      <w:pPr>
        <w:ind w:firstLine="472"/>
        <w:rPr>
          <w:rFonts w:hint="eastAsia"/>
          <w:bCs/>
          <w:color w:val="auto"/>
          <w:lang w:val="en-US" w:eastAsia="zh-CN"/>
        </w:rPr>
      </w:pPr>
      <w:r>
        <w:rPr>
          <w:rFonts w:hint="eastAsia"/>
          <w:bCs/>
          <w:color w:val="auto"/>
          <w:lang w:val="en-US" w:eastAsia="zh-CN"/>
        </w:rPr>
        <w:t>“纳税人、扣缴义务人不能按期办理纳税申报或者报送代扣代缴、代收代缴税款报告表的，经税务机关核准，可以延期申报。</w:t>
      </w:r>
    </w:p>
    <w:p>
      <w:pPr>
        <w:ind w:firstLine="472"/>
        <w:rPr>
          <w:rFonts w:hint="eastAsia"/>
          <w:bCs/>
          <w:color w:val="auto"/>
          <w:lang w:val="en-US" w:eastAsia="zh-CN"/>
        </w:rPr>
      </w:pPr>
      <w:r>
        <w:rPr>
          <w:rFonts w:hint="eastAsia"/>
          <w:bCs/>
          <w:color w:val="auto"/>
          <w:lang w:val="en-US" w:eastAsia="zh-CN"/>
        </w:rPr>
        <w:t>经核准延期办理前款规定的申报、报送事项的，应当在纳税期内按照上期实际缴纳的税额或者税务机关核定的税额预缴税款，并在核准的延期内办理税款结算。”</w:t>
      </w:r>
    </w:p>
    <w:p>
      <w:pPr>
        <w:ind w:firstLine="472"/>
        <w:rPr>
          <w:rFonts w:hint="eastAsia"/>
          <w:bCs/>
          <w:color w:val="auto"/>
          <w:lang w:val="en-US" w:eastAsia="zh-CN"/>
        </w:rPr>
      </w:pPr>
      <w:r>
        <w:rPr>
          <w:rFonts w:hint="eastAsia"/>
          <w:bCs/>
          <w:color w:val="auto"/>
          <w:lang w:val="en-US" w:eastAsia="zh-CN"/>
        </w:rPr>
        <w:t>2.</w:t>
      </w:r>
      <w:r>
        <w:rPr>
          <w:rFonts w:hint="eastAsia"/>
          <w:bCs/>
          <w:color w:val="auto"/>
        </w:rPr>
        <w:t>《中华人民共和国税收征收管理法实施细则》（中华人民共和国国务院令第362号）第三十七条</w:t>
      </w:r>
    </w:p>
    <w:p>
      <w:pPr>
        <w:ind w:firstLine="472"/>
        <w:rPr>
          <w:rFonts w:hint="eastAsia"/>
          <w:bCs/>
          <w:color w:val="auto"/>
          <w:lang w:val="en-US" w:eastAsia="zh-CN"/>
        </w:rPr>
      </w:pPr>
      <w:r>
        <w:rPr>
          <w:rFonts w:hint="eastAsia"/>
          <w:bCs/>
          <w:color w:val="auto"/>
          <w:lang w:val="en-US" w:eastAsia="zh-CN"/>
        </w:rPr>
        <w:t>“</w:t>
      </w:r>
      <w:r>
        <w:rPr>
          <w:rFonts w:hint="eastAsia"/>
          <w:bCs/>
          <w:color w:val="auto"/>
        </w:rPr>
        <w:t>纳税人、扣缴义务人按照规定的期限办理纳税申报或者报送代扣代缴、代收代缴税款报告表确有困难，需要延期的，应当在规定的期限内向税务机关提出书面延期申请，经税务机关核准，在核准的期限内办理。</w:t>
      </w:r>
      <w:r>
        <w:rPr>
          <w:rFonts w:hint="eastAsia"/>
          <w:bCs/>
          <w:color w:val="auto"/>
          <w:lang w:val="en-US" w:eastAsia="zh-CN"/>
        </w:rPr>
        <w:t>”</w:t>
      </w:r>
    </w:p>
    <w:p>
      <w:pPr>
        <w:ind w:firstLine="472"/>
        <w:rPr>
          <w:rFonts w:hint="eastAsia" w:eastAsia="宋体"/>
          <w:bCs/>
          <w:color w:val="auto"/>
          <w:lang w:eastAsia="zh-CN"/>
        </w:rPr>
      </w:pPr>
      <w:r>
        <w:rPr>
          <w:rFonts w:hint="eastAsia"/>
          <w:bCs/>
          <w:color w:val="auto"/>
          <w:lang w:val="en-US" w:eastAsia="zh-CN"/>
        </w:rPr>
        <w:t>3.</w:t>
      </w:r>
      <w:r>
        <w:rPr>
          <w:rFonts w:hint="eastAsia"/>
          <w:bCs/>
          <w:color w:val="auto"/>
        </w:rPr>
        <w:t>《一般反避税管理办法（试行）》(国家税务总局令2014年第32号)第十一条、第十二条</w:t>
      </w:r>
    </w:p>
    <w:p>
      <w:pPr>
        <w:ind w:firstLine="472"/>
        <w:rPr>
          <w:rFonts w:hint="eastAsia"/>
          <w:bCs/>
          <w:color w:val="auto"/>
          <w:lang w:eastAsia="zh-CN"/>
        </w:rPr>
      </w:pPr>
      <w:r>
        <w:rPr>
          <w:rFonts w:hint="eastAsia"/>
          <w:bCs/>
          <w:color w:val="auto"/>
          <w:lang w:eastAsia="zh-CN"/>
        </w:rPr>
        <w:t>“</w:t>
      </w:r>
      <w:r>
        <w:rPr>
          <w:rFonts w:hint="eastAsia"/>
          <w:bCs/>
          <w:color w:val="auto"/>
        </w:rPr>
        <w:t>第十一条被调查企业认为其安排不属于本办法所称避税安排的，应当自收到《税务检查通知书》之日起60日内提供下列资料：</w:t>
      </w:r>
      <w:r>
        <w:rPr>
          <w:rFonts w:hint="eastAsia"/>
          <w:bCs/>
          <w:color w:val="auto"/>
        </w:rPr>
        <w:br w:type="textWrapping"/>
      </w:r>
      <w:r>
        <w:rPr>
          <w:rFonts w:hint="eastAsia"/>
          <w:bCs/>
          <w:color w:val="auto"/>
        </w:rPr>
        <w:t>　　（一）安排的背景资料；</w:t>
      </w:r>
      <w:r>
        <w:rPr>
          <w:rFonts w:hint="eastAsia"/>
          <w:bCs/>
          <w:color w:val="auto"/>
        </w:rPr>
        <w:br w:type="textWrapping"/>
      </w:r>
      <w:r>
        <w:rPr>
          <w:rFonts w:hint="eastAsia"/>
          <w:bCs/>
          <w:color w:val="auto"/>
        </w:rPr>
        <w:t>　　（二）安排的商业目的等说明文件；</w:t>
      </w:r>
      <w:r>
        <w:rPr>
          <w:rFonts w:hint="eastAsia"/>
          <w:bCs/>
          <w:color w:val="auto"/>
        </w:rPr>
        <w:br w:type="textWrapping"/>
      </w:r>
      <w:r>
        <w:rPr>
          <w:rFonts w:hint="eastAsia"/>
          <w:bCs/>
          <w:color w:val="auto"/>
        </w:rPr>
        <w:t>　　（三）安排的内部决策和管理资料，如董事会决议、备忘录、电子邮件等；</w:t>
      </w:r>
      <w:r>
        <w:rPr>
          <w:rFonts w:hint="eastAsia"/>
          <w:bCs/>
          <w:color w:val="auto"/>
        </w:rPr>
        <w:br w:type="textWrapping"/>
      </w:r>
      <w:r>
        <w:rPr>
          <w:rFonts w:hint="eastAsia"/>
          <w:bCs/>
          <w:color w:val="auto"/>
        </w:rPr>
        <w:t>　　（四）安排涉及的详细交易资料，如合同、补充协议、收付款凭证等；</w:t>
      </w:r>
      <w:r>
        <w:rPr>
          <w:rFonts w:hint="eastAsia"/>
          <w:bCs/>
          <w:color w:val="auto"/>
        </w:rPr>
        <w:br w:type="textWrapping"/>
      </w:r>
      <w:r>
        <w:rPr>
          <w:rFonts w:hint="eastAsia"/>
          <w:bCs/>
          <w:color w:val="auto"/>
        </w:rPr>
        <w:t>　　（五）与其他交易方的沟通信息；</w:t>
      </w:r>
      <w:r>
        <w:rPr>
          <w:rFonts w:hint="eastAsia"/>
          <w:bCs/>
          <w:color w:val="auto"/>
        </w:rPr>
        <w:br w:type="textWrapping"/>
      </w:r>
      <w:r>
        <w:rPr>
          <w:rFonts w:hint="eastAsia"/>
          <w:bCs/>
          <w:color w:val="auto"/>
        </w:rPr>
        <w:t>　　（六）可以证明其安排不属于避税安排的其他资料；</w:t>
      </w:r>
      <w:r>
        <w:rPr>
          <w:rFonts w:hint="eastAsia"/>
          <w:bCs/>
          <w:color w:val="auto"/>
        </w:rPr>
        <w:br w:type="textWrapping"/>
      </w:r>
      <w:r>
        <w:rPr>
          <w:rFonts w:hint="eastAsia"/>
          <w:bCs/>
          <w:color w:val="auto"/>
        </w:rPr>
        <w:t>　　（七）税务机关认为有必要提供的其他资料。</w:t>
      </w:r>
      <w:r>
        <w:rPr>
          <w:rFonts w:hint="eastAsia"/>
          <w:bCs/>
          <w:color w:val="auto"/>
        </w:rPr>
        <w:br w:type="textWrapping"/>
      </w:r>
      <w:r>
        <w:rPr>
          <w:rFonts w:hint="eastAsia"/>
          <w:bCs/>
          <w:color w:val="auto"/>
        </w:rPr>
        <w:t>　　企业因特殊情况不能按期提供的，可以向主管税务机关提交书面延期申请，经批准可以延期提供，但是最长不得超过30日。主管税务机关应当自收到企业延期申请之日起15日内书面回复。逾期未回复的，视同税务机关同意企业的延期申请。</w:t>
      </w:r>
      <w:r>
        <w:rPr>
          <w:rFonts w:hint="eastAsia"/>
          <w:bCs/>
          <w:color w:val="auto"/>
        </w:rPr>
        <w:br w:type="textWrapping"/>
      </w:r>
      <w:r>
        <w:rPr>
          <w:rFonts w:hint="eastAsia"/>
          <w:bCs/>
          <w:color w:val="auto"/>
        </w:rPr>
        <w:t>　　第十二条企业拒绝提供资料的，主管税务机关可以按照税收征管法第三十五条的规定进行核定。</w:t>
      </w:r>
      <w:r>
        <w:rPr>
          <w:rFonts w:hint="eastAsia"/>
          <w:bCs/>
          <w:color w:val="auto"/>
          <w:lang w:eastAsia="zh-CN"/>
        </w:rPr>
        <w:t>”</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439"/>
        <w:gridCol w:w="611"/>
        <w:gridCol w:w="1074"/>
        <w:gridCol w:w="1094"/>
        <w:gridCol w:w="1302"/>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43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61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107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09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302"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13"/>
              <w:widowControl/>
              <w:spacing w:beforeAutospacing="0" w:afterAutospacing="0" w:line="280" w:lineRule="exact"/>
              <w:ind w:firstLine="0" w:firstLineChars="0"/>
              <w:jc w:val="center"/>
              <w:rPr>
                <w:rFonts w:cs="宋体"/>
                <w:color w:val="auto"/>
                <w:kern w:val="0"/>
                <w:sz w:val="18"/>
                <w:szCs w:val="18"/>
              </w:rPr>
            </w:pPr>
            <w:r>
              <w:rPr>
                <w:rFonts w:ascii="宋体" w:hAnsi="宋体" w:eastAsia="宋体" w:cs="微软雅黑"/>
                <w:color w:val="auto"/>
                <w:sz w:val="18"/>
                <w:szCs w:val="18"/>
              </w:rPr>
              <w:t>1</w:t>
            </w:r>
          </w:p>
        </w:tc>
        <w:tc>
          <w:tcPr>
            <w:tcW w:w="2439" w:type="dxa"/>
            <w:shd w:val="clear" w:color="auto" w:fill="auto"/>
            <w:vAlign w:val="center"/>
          </w:tcPr>
          <w:p>
            <w:pPr>
              <w:pStyle w:val="13"/>
              <w:widowControl/>
              <w:spacing w:beforeAutospacing="0" w:afterAutospacing="0" w:line="280" w:lineRule="exact"/>
              <w:ind w:firstLine="0" w:firstLineChars="0"/>
              <w:rPr>
                <w:rFonts w:cs="宋体"/>
                <w:color w:val="auto"/>
                <w:kern w:val="0"/>
                <w:sz w:val="18"/>
                <w:szCs w:val="18"/>
              </w:rPr>
            </w:pPr>
            <w:r>
              <w:rPr>
                <w:rFonts w:hint="eastAsia" w:eastAsia="宋体" w:cs="宋体"/>
                <w:color w:val="auto"/>
                <w:sz w:val="18"/>
                <w:szCs w:val="18"/>
              </w:rPr>
              <w:t>转让定价调查延期报送相关资料的申请</w:t>
            </w:r>
          </w:p>
        </w:tc>
        <w:tc>
          <w:tcPr>
            <w:tcW w:w="611" w:type="dxa"/>
            <w:shd w:val="clear" w:color="auto" w:fill="auto"/>
            <w:vAlign w:val="center"/>
          </w:tcPr>
          <w:p>
            <w:pPr>
              <w:pStyle w:val="13"/>
              <w:widowControl/>
              <w:spacing w:beforeAutospacing="0" w:afterAutospacing="0" w:line="280" w:lineRule="exact"/>
              <w:ind w:firstLine="352" w:firstLineChars="0"/>
              <w:rPr>
                <w:rFonts w:cs="宋体"/>
                <w:color w:val="auto"/>
                <w:kern w:val="0"/>
                <w:sz w:val="18"/>
                <w:szCs w:val="18"/>
              </w:rPr>
            </w:pPr>
            <w:r>
              <w:rPr>
                <w:rStyle w:val="17"/>
                <w:rFonts w:hint="eastAsia" w:ascii="宋体" w:hAnsi="宋体" w:eastAsia="宋体" w:cs="微软雅黑"/>
                <w:color w:val="auto"/>
                <w:sz w:val="18"/>
                <w:szCs w:val="18"/>
              </w:rPr>
              <w:t>1</w:t>
            </w:r>
          </w:p>
        </w:tc>
        <w:tc>
          <w:tcPr>
            <w:tcW w:w="1074" w:type="dxa"/>
            <w:shd w:val="clear" w:color="auto" w:fill="auto"/>
            <w:vAlign w:val="center"/>
          </w:tcPr>
          <w:p>
            <w:pPr>
              <w:pStyle w:val="13"/>
              <w:widowControl/>
              <w:spacing w:beforeAutospacing="0" w:afterAutospacing="0" w:line="280" w:lineRule="exact"/>
              <w:ind w:firstLine="0" w:firstLineChars="0"/>
              <w:jc w:val="center"/>
              <w:rPr>
                <w:rFonts w:cs="宋体"/>
                <w:color w:val="auto"/>
                <w:kern w:val="0"/>
                <w:sz w:val="18"/>
                <w:szCs w:val="18"/>
              </w:rPr>
            </w:pPr>
            <w:r>
              <w:rPr>
                <w:rFonts w:hint="eastAsia" w:ascii="宋体" w:hAnsi="宋体" w:eastAsia="宋体" w:cs="微软雅黑"/>
                <w:color w:val="auto"/>
                <w:sz w:val="18"/>
                <w:szCs w:val="18"/>
              </w:rPr>
              <w:t>必报</w:t>
            </w:r>
          </w:p>
        </w:tc>
        <w:tc>
          <w:tcPr>
            <w:tcW w:w="1094" w:type="dxa"/>
            <w:shd w:val="clear" w:color="auto" w:fill="auto"/>
            <w:vAlign w:val="center"/>
          </w:tcPr>
          <w:p>
            <w:pPr>
              <w:pStyle w:val="13"/>
              <w:widowControl/>
              <w:spacing w:beforeAutospacing="0" w:afterAutospacing="0" w:line="280" w:lineRule="exact"/>
              <w:ind w:firstLine="352" w:firstLineChars="0"/>
              <w:rPr>
                <w:rFonts w:cs="宋体"/>
                <w:color w:val="auto"/>
                <w:kern w:val="0"/>
                <w:sz w:val="18"/>
                <w:szCs w:val="18"/>
              </w:rPr>
            </w:pPr>
          </w:p>
        </w:tc>
        <w:tc>
          <w:tcPr>
            <w:tcW w:w="1302" w:type="dxa"/>
            <w:vAlign w:val="center"/>
          </w:tcPr>
          <w:p>
            <w:pPr>
              <w:widowControl/>
              <w:spacing w:line="280" w:lineRule="exact"/>
              <w:ind w:firstLine="0" w:firstLineChars="0"/>
              <w:jc w:val="both"/>
              <w:rPr>
                <w:rFonts w:hint="eastAsia" w:eastAsia="宋体" w:cs="宋体"/>
                <w:color w:val="auto"/>
                <w:kern w:val="0"/>
                <w:sz w:val="18"/>
                <w:szCs w:val="18"/>
                <w:lang w:eastAsia="zh-CN"/>
              </w:rPr>
            </w:pPr>
            <w:r>
              <w:rPr>
                <w:rFonts w:hint="eastAsia" w:cs="宋体"/>
                <w:color w:val="auto"/>
                <w:kern w:val="0"/>
                <w:sz w:val="18"/>
                <w:szCs w:val="18"/>
                <w:lang w:eastAsia="zh-CN"/>
              </w:rPr>
              <w:t>税务机关留存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bl>
    <w:p>
      <w:pPr>
        <w:pStyle w:val="3"/>
        <w:pageBreakBefore w:val="0"/>
        <w:widowControl w:val="0"/>
        <w:numPr>
          <w:ilvl w:val="0"/>
          <w:numId w:val="5"/>
        </w:numPr>
        <w:kinsoku/>
        <w:wordWrap/>
        <w:overflowPunct/>
        <w:topLinePunct w:val="0"/>
        <w:autoSpaceDE/>
        <w:autoSpaceDN/>
        <w:bidi w:val="0"/>
        <w:adjustRightInd/>
        <w:snapToGrid/>
        <w:spacing w:line="240" w:lineRule="auto"/>
        <w:ind w:firstLine="552"/>
        <w:textAlignment w:val="auto"/>
        <w:rPr>
          <w:color w:val="auto"/>
        </w:rPr>
      </w:pPr>
      <w:r>
        <w:rPr>
          <w:color w:val="auto"/>
        </w:rPr>
        <w:t>办理流程</w:t>
      </w:r>
    </w:p>
    <w:p>
      <w:pPr>
        <w:pageBreakBefore w:val="0"/>
        <w:widowControl w:val="0"/>
        <w:kinsoku/>
        <w:wordWrap/>
        <w:overflowPunct/>
        <w:topLinePunct w:val="0"/>
        <w:autoSpaceDE/>
        <w:autoSpaceDN/>
        <w:bidi w:val="0"/>
        <w:adjustRightInd/>
        <w:snapToGrid/>
        <w:spacing w:line="240" w:lineRule="auto"/>
        <w:ind w:left="0" w:leftChars="0" w:firstLine="0" w:firstLineChars="0"/>
        <w:textAlignment w:val="auto"/>
        <w:rPr>
          <w:color w:val="auto"/>
        </w:rPr>
      </w:pPr>
      <w:r>
        <w:rPr>
          <w:color w:val="auto"/>
        </w:rPr>
        <w:drawing>
          <wp:inline distT="0" distB="0" distL="114300" distR="114300">
            <wp:extent cx="5621655" cy="1525905"/>
            <wp:effectExtent l="0" t="0" r="17145" b="17145"/>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pic:cNvPicPr>
                  </pic:nvPicPr>
                  <pic:blipFill>
                    <a:blip r:embed="rId10"/>
                    <a:stretch>
                      <a:fillRect/>
                    </a:stretch>
                  </pic:blipFill>
                  <pic:spPr>
                    <a:xfrm>
                      <a:off x="0" y="0"/>
                      <a:ext cx="5621655" cy="1525905"/>
                    </a:xfrm>
                    <a:prstGeom prst="rect">
                      <a:avLst/>
                    </a:prstGeom>
                    <a:noFill/>
                    <a:ln>
                      <a:noFill/>
                    </a:ln>
                  </pic:spPr>
                </pic:pic>
              </a:graphicData>
            </a:graphic>
          </wp:inline>
        </w:drawing>
      </w:r>
    </w:p>
    <w:p>
      <w:pPr>
        <w:pageBreakBefore w:val="0"/>
        <w:widowControl w:val="0"/>
        <w:kinsoku/>
        <w:wordWrap/>
        <w:overflowPunct/>
        <w:topLinePunct w:val="0"/>
        <w:autoSpaceDE/>
        <w:autoSpaceDN/>
        <w:bidi w:val="0"/>
        <w:adjustRightInd/>
        <w:snapToGrid/>
        <w:spacing w:line="240" w:lineRule="auto"/>
        <w:ind w:left="472" w:firstLine="0" w:firstLineChars="0"/>
        <w:textAlignment w:val="auto"/>
        <w:rPr>
          <w:color w:val="auto"/>
        </w:rPr>
      </w:pPr>
    </w:p>
    <w:p>
      <w:pPr>
        <w:pStyle w:val="3"/>
        <w:ind w:left="0" w:leftChars="0" w:firstLine="552" w:firstLineChars="200"/>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资料齐全、符合法定形式的，税务机关受理后1</w:t>
      </w:r>
      <w:r>
        <w:rPr>
          <w:color w:val="auto"/>
        </w:rPr>
        <w:t>5日</w:t>
      </w:r>
      <w:r>
        <w:rPr>
          <w:rFonts w:hint="eastAsia"/>
          <w:color w:val="auto"/>
          <w:lang w:val="en-US" w:eastAsia="zh-CN"/>
        </w:rPr>
        <w:t>内</w:t>
      </w:r>
      <w:r>
        <w:rPr>
          <w:rFonts w:hint="eastAsia"/>
          <w:color w:val="auto"/>
        </w:rPr>
        <w:t>办结。</w:t>
      </w:r>
    </w:p>
    <w:p>
      <w:pPr>
        <w:pStyle w:val="3"/>
        <w:ind w:firstLine="552"/>
        <w:rPr>
          <w:color w:val="auto"/>
        </w:rPr>
      </w:pPr>
      <w:r>
        <w:rPr>
          <w:rFonts w:hint="eastAsia"/>
          <w:color w:val="auto"/>
        </w:rPr>
        <w:t>八、表证单书</w:t>
      </w:r>
    </w:p>
    <w:p>
      <w:pPr>
        <w:rPr>
          <w:rFonts w:hint="eastAsia" w:eastAsia="宋体"/>
          <w:color w:val="auto"/>
          <w:lang w:eastAsia="zh-CN"/>
        </w:rPr>
      </w:pPr>
      <w:r>
        <w:rPr>
          <w:rFonts w:hint="eastAsia"/>
          <w:color w:val="auto"/>
          <w:lang w:eastAsia="zh-CN"/>
        </w:rPr>
        <w:t>无。</w:t>
      </w:r>
    </w:p>
    <w:p>
      <w:pPr>
        <w:pStyle w:val="3"/>
        <w:ind w:firstLine="552"/>
        <w:rPr>
          <w:color w:val="auto"/>
        </w:rPr>
      </w:pPr>
      <w:r>
        <w:rPr>
          <w:rFonts w:hint="eastAsia"/>
          <w:color w:val="auto"/>
        </w:rPr>
        <w:t>九、注意事项</w:t>
      </w:r>
    </w:p>
    <w:p>
      <w:pPr>
        <w:rPr>
          <w:rFonts w:hint="eastAsia"/>
          <w:color w:val="auto"/>
        </w:rPr>
      </w:pPr>
      <w:r>
        <w:rPr>
          <w:rFonts w:hint="eastAsia"/>
          <w:color w:val="auto"/>
          <w:lang w:val="en-US" w:eastAsia="zh-CN"/>
        </w:rPr>
        <w:t>1.</w:t>
      </w:r>
      <w:r>
        <w:rPr>
          <w:rFonts w:hint="eastAsia"/>
          <w:color w:val="auto"/>
        </w:rPr>
        <w:t>纳税人对报送资料的真实性和合法性承担责任。</w:t>
      </w:r>
    </w:p>
    <w:p>
      <w:pPr>
        <w:rPr>
          <w:rFonts w:hint="eastAsia"/>
          <w:color w:val="auto"/>
        </w:rPr>
      </w:pPr>
      <w:r>
        <w:rPr>
          <w:rFonts w:hint="eastAsia"/>
          <w:color w:val="auto"/>
          <w:lang w:val="en-US" w:eastAsia="zh-CN"/>
        </w:rPr>
        <w:t>2</w:t>
      </w:r>
      <w:r>
        <w:rPr>
          <w:rFonts w:hint="eastAsia"/>
          <w:color w:val="auto"/>
        </w:rPr>
        <w:t>.最多跑一次是在资料完整且符合法定受理条件的前提下，最多只需要到税务机关跑一次。</w:t>
      </w:r>
    </w:p>
    <w:p>
      <w:pPr>
        <w:ind w:firstLine="472"/>
        <w:contextualSpacing/>
        <w:rPr>
          <w:rFonts w:hint="eastAsia" w:ascii="宋体" w:hAnsi="宋体" w:eastAsia="宋体" w:cs="Times New Roman"/>
          <w:color w:val="auto"/>
          <w:sz w:val="24"/>
          <w:szCs w:val="22"/>
          <w:lang w:val="en-US" w:eastAsia="zh-CN"/>
        </w:rPr>
      </w:pPr>
      <w:r>
        <w:rPr>
          <w:rFonts w:hint="eastAsia" w:ascii="宋体" w:hAnsi="宋体" w:eastAsia="宋体" w:cs="Times New Roman"/>
          <w:color w:val="auto"/>
          <w:sz w:val="24"/>
          <w:szCs w:val="22"/>
          <w:lang w:val="en-US" w:eastAsia="zh-CN"/>
        </w:rPr>
        <w:t>3.</w:t>
      </w:r>
      <w:r>
        <w:rPr>
          <w:rFonts w:hint="eastAsia" w:ascii="宋体" w:hAnsi="宋体" w:eastAsia="宋体" w:cs="Times New Roman"/>
          <w:color w:val="auto"/>
          <w:sz w:val="24"/>
          <w:szCs w:val="22"/>
        </w:rPr>
        <w:t>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r>
        <w:rPr>
          <w:rFonts w:hint="eastAsia"/>
          <w:color w:val="auto"/>
          <w:lang w:eastAsia="zh-CN"/>
        </w:rPr>
        <w:t>。</w:t>
      </w:r>
    </w:p>
    <w:p>
      <w:pPr>
        <w:pStyle w:val="3"/>
        <w:ind w:firstLine="552"/>
        <w:rPr>
          <w:color w:val="auto"/>
        </w:rPr>
      </w:pPr>
      <w:r>
        <w:rPr>
          <w:rFonts w:hint="eastAsia"/>
          <w:color w:val="auto"/>
        </w:rPr>
        <w:t>十、办理时间</w:t>
      </w:r>
    </w:p>
    <w:p>
      <w:pPr>
        <w:ind w:firstLine="472"/>
        <w:rPr>
          <w:color w:val="auto"/>
        </w:rPr>
      </w:pPr>
      <w:r>
        <w:rPr>
          <w:rFonts w:hint="eastAsia"/>
          <w:color w:val="auto"/>
          <w:lang w:val="en-US" w:eastAsia="zh-CN"/>
        </w:rPr>
        <w:t>主管税务机关</w:t>
      </w:r>
      <w:r>
        <w:rPr>
          <w:rFonts w:hint="eastAsia"/>
          <w:color w:val="auto"/>
        </w:rPr>
        <w:t>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rFonts w:hint="eastAsia"/>
          <w:color w:val="auto"/>
        </w:rPr>
      </w:pPr>
      <w:r>
        <w:rPr>
          <w:rFonts w:hint="eastAsia"/>
          <w:color w:val="auto"/>
        </w:rPr>
        <w:t>主管</w:t>
      </w:r>
      <w:r>
        <w:rPr>
          <w:rFonts w:hint="eastAsia"/>
          <w:color w:val="auto"/>
          <w:lang w:val="en-US" w:eastAsia="zh-CN"/>
        </w:rPr>
        <w:t>县</w:t>
      </w:r>
      <w:r>
        <w:rPr>
          <w:rFonts w:hint="eastAsia"/>
          <w:color w:val="auto"/>
        </w:rPr>
        <w:t>（市、区）</w:t>
      </w:r>
      <w:r>
        <w:rPr>
          <w:rFonts w:hint="eastAsia"/>
          <w:color w:val="auto"/>
          <w:lang w:val="en-US" w:eastAsia="zh-CN"/>
        </w:rPr>
        <w:t>税务机关</w:t>
      </w:r>
      <w:r>
        <w:rPr>
          <w:rFonts w:hint="eastAsia"/>
          <w:color w:val="auto"/>
        </w:rPr>
        <w:t>国际税收管理部门，</w:t>
      </w:r>
    </w:p>
    <w:p>
      <w:pPr>
        <w:ind w:firstLine="472"/>
        <w:rPr>
          <w:color w:val="auto"/>
        </w:rPr>
      </w:pPr>
      <w:r>
        <w:rPr>
          <w:rFonts w:hint="eastAsia"/>
          <w:color w:val="auto"/>
        </w:rPr>
        <w:t>主管税务机关详见办税地图：</w:t>
      </w:r>
    </w:p>
    <w:p>
      <w:pPr>
        <w:ind w:firstLine="472"/>
        <w:rPr>
          <w:rFonts w:hint="eastAsia"/>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rFonts w:hint="eastAsia"/>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热线，或者拨打主管税务机关</w:t>
      </w:r>
      <w:r>
        <w:rPr>
          <w:rFonts w:hint="eastAsia"/>
          <w:color w:val="auto"/>
          <w:lang w:val="en-US" w:eastAsia="zh-CN"/>
        </w:rPr>
        <w:t>对外公开电话</w:t>
      </w: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341EB4A2"/>
    <w:multiLevelType w:val="singleLevel"/>
    <w:tmpl w:val="341EB4A2"/>
    <w:lvl w:ilvl="0" w:tentative="0">
      <w:start w:val="6"/>
      <w:numFmt w:val="chineseCounting"/>
      <w:suff w:val="nothing"/>
      <w:lvlText w:val="%1、"/>
      <w:lvlJc w:val="left"/>
      <w:rPr>
        <w:rFonts w:hint="eastAsia"/>
      </w:rPr>
    </w:lvl>
  </w:abstractNum>
  <w:abstractNum w:abstractNumId="2">
    <w:nsid w:val="58113C29"/>
    <w:multiLevelType w:val="multilevel"/>
    <w:tmpl w:val="58113C29"/>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3">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3"/>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127703C"/>
    <w:rsid w:val="625E5C17"/>
    <w:rsid w:val="62B70711"/>
    <w:rsid w:val="637642DB"/>
    <w:rsid w:val="64030575"/>
    <w:rsid w:val="64805E15"/>
    <w:rsid w:val="663441E6"/>
    <w:rsid w:val="67AB76AD"/>
    <w:rsid w:val="680A0C49"/>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1.e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74</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2019-10-31T05:14:39Z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