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7361"/>
      <w:r>
        <w:rPr>
          <w:rFonts w:hint="eastAsia" w:ascii="黑体" w:hAnsi="黑体"/>
          <w:color w:val="auto"/>
        </w:rPr>
        <w:t>4.3.1.1复议申请管理</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复议申请管理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w:t>
      </w:r>
      <w:r>
        <w:rPr>
          <w:rFonts w:hint="eastAsia"/>
          <w:color w:val="auto"/>
          <w:szCs w:val="24"/>
        </w:rPr>
        <w:t>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pStyle w:val="93"/>
        <w:ind w:left="0" w:leftChars="0" w:firstLine="472" w:firstLineChars="200"/>
        <w:rPr>
          <w:color w:val="auto"/>
          <w:sz w:val="24"/>
          <w:szCs w:val="24"/>
        </w:rPr>
      </w:pPr>
      <w:r>
        <w:rPr>
          <w:rFonts w:hint="eastAsia"/>
          <w:color w:val="auto"/>
          <w:sz w:val="24"/>
          <w:szCs w:val="24"/>
        </w:rPr>
        <w:t>复议申请管理，是指税务行政相对人认为税务机关的行政行为侵犯其合法权益，依法向税务行政复议机关提出行政复议申请，税务行政复议机关对行政复议申请进行依法审查并做出相应处理的过程。复议申请管理主要包括：复议申请处理、准予撤回复议申请。</w:t>
      </w:r>
    </w:p>
    <w:p>
      <w:pPr>
        <w:pStyle w:val="3"/>
        <w:ind w:firstLine="552"/>
        <w:rPr>
          <w:color w:val="auto"/>
        </w:rPr>
      </w:pPr>
      <w:r>
        <w:rPr>
          <w:rFonts w:hint="eastAsia"/>
          <w:color w:val="auto"/>
        </w:rPr>
        <w:t>四、设定依据</w:t>
      </w:r>
    </w:p>
    <w:p>
      <w:pPr>
        <w:ind w:firstLine="472"/>
        <w:rPr>
          <w:color w:val="auto"/>
        </w:rPr>
      </w:pPr>
      <w:r>
        <w:rPr>
          <w:color w:val="auto"/>
        </w:rPr>
        <w:t>1.《中华人民共和国行政复议法》全文</w:t>
      </w:r>
    </w:p>
    <w:p>
      <w:pPr>
        <w:ind w:firstLine="472"/>
        <w:rPr>
          <w:color w:val="auto"/>
        </w:rPr>
      </w:pPr>
      <w:r>
        <w:rPr>
          <w:color w:val="auto"/>
        </w:rPr>
        <w:t>2.《中华人民共和国税收征收管理法》第八十八条</w:t>
      </w:r>
    </w:p>
    <w:p>
      <w:pPr>
        <w:ind w:firstLine="472"/>
        <w:rPr>
          <w:color w:val="auto"/>
        </w:rPr>
      </w:pPr>
      <w:r>
        <w:rPr>
          <w:rFonts w:hint="eastAsia"/>
          <w:color w:val="auto"/>
        </w:rPr>
        <w:t>“纳税人、扣缴义务人、纳税担保人同税务机关在纳税上发生争议时，必须先依照税务机关的纳税决定缴纳或者解缴税款及滞纳金或者提供相应的担保，然后可以依法申请行政复议；对行政复议决定不服的，可以依法向人民法院起诉。</w:t>
      </w:r>
    </w:p>
    <w:p>
      <w:pPr>
        <w:ind w:firstLine="472"/>
        <w:rPr>
          <w:color w:val="auto"/>
        </w:rPr>
      </w:pPr>
      <w:r>
        <w:rPr>
          <w:rFonts w:hint="eastAsia"/>
          <w:color w:val="auto"/>
        </w:rPr>
        <w:t>当事人对税务机关的处罚决定、强制执行措施或者税收保全措施不服的，可以依法申请行政复议，也可以依法向人民法院起诉。</w:t>
      </w:r>
    </w:p>
    <w:p>
      <w:pPr>
        <w:ind w:firstLine="472"/>
        <w:rPr>
          <w:color w:val="auto"/>
        </w:rPr>
      </w:pPr>
      <w:r>
        <w:rPr>
          <w:rFonts w:hint="eastAsia"/>
          <w:color w:val="auto"/>
        </w:rPr>
        <w:t>当事人对税务机关的处罚决定逾期不申请行政复议也不向人民法院起诉、又不履行的，作出处罚决定的税务机关可以采取本法第四十条规定的强制执行措施，或者申请人民法院强制执行。”</w:t>
      </w:r>
    </w:p>
    <w:p>
      <w:pPr>
        <w:ind w:firstLine="472"/>
        <w:rPr>
          <w:color w:val="auto"/>
        </w:rPr>
      </w:pPr>
      <w:r>
        <w:rPr>
          <w:color w:val="auto"/>
        </w:rPr>
        <w:t>3.《中华人民共和国行政复议法实施条例》（中华人民共和国国务院令第499号）全文</w:t>
      </w:r>
    </w:p>
    <w:p>
      <w:pPr>
        <w:ind w:firstLine="472"/>
        <w:rPr>
          <w:color w:val="auto"/>
        </w:rPr>
      </w:pPr>
      <w:r>
        <w:rPr>
          <w:color w:val="auto"/>
        </w:rPr>
        <w:t>4.《国务院关于修改〈中华人民共和国发票管理办法〉的决定》（中华人民共和国国务院令第587号）第四十二条</w:t>
      </w:r>
    </w:p>
    <w:p>
      <w:pPr>
        <w:ind w:firstLine="472"/>
        <w:rPr>
          <w:color w:val="auto"/>
        </w:rPr>
      </w:pPr>
      <w:r>
        <w:rPr>
          <w:rFonts w:hint="eastAsia"/>
          <w:color w:val="auto"/>
        </w:rPr>
        <w:t>“当事人对税务机关的处罚决定不服的，可以依法申请行政复议或者向人民法院提起行政诉讼。”</w:t>
      </w:r>
    </w:p>
    <w:p>
      <w:pPr>
        <w:ind w:firstLine="472"/>
        <w:rPr>
          <w:color w:val="auto"/>
        </w:rPr>
      </w:pPr>
      <w:r>
        <w:rPr>
          <w:color w:val="auto"/>
        </w:rPr>
        <w:t>5.《税务行政复议规则》（国家税务总局令第21号）全文</w:t>
      </w:r>
    </w:p>
    <w:p>
      <w:pPr>
        <w:ind w:firstLine="472"/>
        <w:rPr>
          <w:color w:val="auto"/>
        </w:rPr>
      </w:pPr>
      <w:r>
        <w:rPr>
          <w:color w:val="auto"/>
        </w:rPr>
        <w:t>6.《国家税务总局关于修改〈税务行政复议规则〉的决定》（国家税务总局令第39号）全文</w:t>
      </w:r>
    </w:p>
    <w:p>
      <w:pPr>
        <w:ind w:firstLine="472"/>
        <w:rPr>
          <w:color w:val="auto"/>
        </w:rPr>
      </w:pPr>
      <w:r>
        <w:rPr>
          <w:color w:val="auto"/>
        </w:rPr>
        <w:t>7.</w:t>
      </w:r>
      <w:r>
        <w:rPr>
          <w:rFonts w:hint="eastAsia"/>
          <w:color w:val="auto"/>
        </w:rPr>
        <w:t>《国家税务总局关于修改部分税务部门规章的决定》（国家税务总局令第</w:t>
      </w:r>
      <w:r>
        <w:rPr>
          <w:color w:val="auto"/>
        </w:rPr>
        <w:t>44号）</w:t>
      </w:r>
      <w:r>
        <w:rPr>
          <w:rFonts w:hint="eastAsia"/>
          <w:color w:val="auto"/>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before="100" w:beforeAutospacing="1" w:after="100" w:afterAutospacing="1" w:line="280" w:lineRule="exact"/>
              <w:ind w:firstLine="0" w:firstLineChars="0"/>
              <w:jc w:val="left"/>
              <w:rPr>
                <w:rFonts w:cs="宋体"/>
                <w:color w:val="auto"/>
                <w:kern w:val="0"/>
                <w:sz w:val="18"/>
                <w:szCs w:val="18"/>
              </w:rPr>
            </w:pPr>
            <w:r>
              <w:rPr>
                <w:rFonts w:hint="eastAsia"/>
                <w:color w:val="auto"/>
                <w:kern w:val="0"/>
                <w:sz w:val="18"/>
                <w:szCs w:val="18"/>
              </w:rPr>
              <w:t>《行政复议申请书》</w:t>
            </w:r>
          </w:p>
        </w:tc>
        <w:tc>
          <w:tcPr>
            <w:tcW w:w="709" w:type="dxa"/>
            <w:shd w:val="clear" w:color="auto" w:fill="auto"/>
            <w:vAlign w:val="center"/>
          </w:tcPr>
          <w:p>
            <w:pPr>
              <w:widowControl/>
              <w:spacing w:before="100" w:beforeAutospacing="1" w:after="100" w:afterAutospacing="1" w:line="280" w:lineRule="exact"/>
              <w:ind w:left="0" w:leftChars="0" w:firstLine="0" w:firstLineChars="0"/>
              <w:jc w:val="center"/>
              <w:rPr>
                <w:rFonts w:cs="宋体"/>
                <w:color w:val="auto"/>
                <w:kern w:val="0"/>
                <w:sz w:val="18"/>
                <w:szCs w:val="18"/>
              </w:rPr>
            </w:pPr>
            <w:r>
              <w:rPr>
                <w:rFonts w:hint="eastAsia" w:cs="微软雅黑"/>
                <w:b/>
                <w:color w:val="auto"/>
                <w:kern w:val="0"/>
                <w:sz w:val="18"/>
                <w:szCs w:val="18"/>
              </w:rPr>
              <w:t>1</w:t>
            </w:r>
          </w:p>
        </w:tc>
        <w:tc>
          <w:tcPr>
            <w:tcW w:w="992" w:type="dxa"/>
            <w:shd w:val="clear" w:color="auto" w:fill="auto"/>
            <w:vAlign w:val="center"/>
          </w:tcPr>
          <w:p>
            <w:pPr>
              <w:widowControl/>
              <w:spacing w:before="100" w:beforeAutospacing="1" w:after="100" w:afterAutospacing="1" w:line="280" w:lineRule="exact"/>
              <w:ind w:left="0" w:leftChars="0" w:firstLine="0" w:firstLineChars="0"/>
              <w:jc w:val="center"/>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widowControl/>
              <w:spacing w:before="100" w:beforeAutospacing="1" w:after="100" w:afterAutospacing="1" w:line="280" w:lineRule="exact"/>
              <w:ind w:left="0" w:leftChars="0" w:firstLine="0" w:firstLineChars="0"/>
              <w:jc w:val="left"/>
              <w:rPr>
                <w:rFonts w:cs="宋体"/>
                <w:color w:val="auto"/>
                <w:kern w:val="0"/>
                <w:sz w:val="18"/>
                <w:szCs w:val="18"/>
              </w:rPr>
            </w:pPr>
            <w:r>
              <w:rPr>
                <w:rFonts w:hint="eastAsia" w:cs="微软雅黑"/>
                <w:color w:val="auto"/>
                <w:kern w:val="0"/>
                <w:sz w:val="18"/>
                <w:szCs w:val="18"/>
              </w:rPr>
              <w:t>申请人采取书面方式提交复议申请的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《口头申请行政复议登记表》</w:t>
            </w:r>
          </w:p>
        </w:tc>
        <w:tc>
          <w:tcPr>
            <w:tcW w:w="709" w:type="dxa"/>
            <w:shd w:val="clear" w:color="auto" w:fill="auto"/>
            <w:vAlign w:val="center"/>
          </w:tcPr>
          <w:p>
            <w:pPr>
              <w:widowControl/>
              <w:spacing w:before="100" w:beforeAutospacing="1" w:after="100" w:afterAutospacing="1" w:line="280" w:lineRule="exact"/>
              <w:ind w:left="0" w:leftChars="0" w:firstLine="0" w:firstLineChars="0"/>
              <w:jc w:val="center"/>
              <w:rPr>
                <w:rFonts w:cs="宋体"/>
                <w:color w:val="auto"/>
                <w:kern w:val="0"/>
                <w:sz w:val="18"/>
                <w:szCs w:val="18"/>
              </w:rPr>
            </w:pPr>
            <w:r>
              <w:rPr>
                <w:rFonts w:hint="eastAsia" w:cs="微软雅黑"/>
                <w:b/>
                <w:color w:val="auto"/>
                <w:kern w:val="0"/>
                <w:sz w:val="18"/>
                <w:szCs w:val="18"/>
              </w:rPr>
              <w:t>1</w:t>
            </w:r>
          </w:p>
        </w:tc>
        <w:tc>
          <w:tcPr>
            <w:tcW w:w="992" w:type="dxa"/>
            <w:shd w:val="clear" w:color="auto" w:fill="auto"/>
            <w:vAlign w:val="center"/>
          </w:tcPr>
          <w:p>
            <w:pPr>
              <w:widowControl/>
              <w:spacing w:before="100" w:beforeAutospacing="1" w:after="100" w:afterAutospacing="1" w:line="280" w:lineRule="exact"/>
              <w:ind w:left="0" w:leftChars="0" w:firstLine="0" w:firstLineChars="0"/>
              <w:jc w:val="center"/>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widowControl/>
              <w:spacing w:before="100" w:beforeAutospacing="1" w:after="100" w:afterAutospacing="1" w:line="280" w:lineRule="exact"/>
              <w:ind w:left="0" w:leftChars="0" w:firstLine="0" w:firstLineChars="0"/>
              <w:jc w:val="left"/>
              <w:rPr>
                <w:rFonts w:cs="宋体"/>
                <w:color w:val="auto"/>
                <w:kern w:val="0"/>
                <w:sz w:val="18"/>
                <w:szCs w:val="18"/>
              </w:rPr>
            </w:pPr>
            <w:r>
              <w:rPr>
                <w:rFonts w:hint="eastAsia" w:cs="微软雅黑"/>
                <w:color w:val="auto"/>
                <w:kern w:val="0"/>
                <w:sz w:val="18"/>
                <w:szCs w:val="18"/>
              </w:rPr>
              <w:t>申请人口头申请行政复议的，应当场制作行政复议申请笔录，交申请人核对或者向申请人宣读，并由申请人确认。</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before="100" w:beforeAutospacing="1" w:after="100" w:afterAutospacing="1" w:line="280" w:lineRule="exact"/>
              <w:ind w:firstLine="0" w:firstLineChars="0"/>
              <w:jc w:val="left"/>
              <w:rPr>
                <w:rFonts w:cs="宋体"/>
                <w:color w:val="auto"/>
                <w:kern w:val="0"/>
                <w:sz w:val="18"/>
                <w:szCs w:val="18"/>
              </w:rPr>
            </w:pPr>
            <w:r>
              <w:rPr>
                <w:rFonts w:hint="eastAsia"/>
                <w:color w:val="auto"/>
                <w:kern w:val="0"/>
                <w:sz w:val="18"/>
                <w:szCs w:val="18"/>
              </w:rPr>
              <w:t>授权委托书</w:t>
            </w:r>
          </w:p>
        </w:tc>
        <w:tc>
          <w:tcPr>
            <w:tcW w:w="709" w:type="dxa"/>
            <w:shd w:val="clear" w:color="auto" w:fill="auto"/>
            <w:vAlign w:val="center"/>
          </w:tcPr>
          <w:p>
            <w:pPr>
              <w:widowControl/>
              <w:spacing w:before="100" w:beforeAutospacing="1" w:after="100" w:afterAutospacing="1" w:line="280" w:lineRule="exact"/>
              <w:ind w:left="0" w:leftChars="0" w:firstLine="0" w:firstLineChars="0"/>
              <w:jc w:val="center"/>
              <w:rPr>
                <w:rFonts w:cs="宋体"/>
                <w:color w:val="auto"/>
                <w:kern w:val="0"/>
                <w:sz w:val="18"/>
                <w:szCs w:val="18"/>
              </w:rPr>
            </w:pPr>
            <w:r>
              <w:rPr>
                <w:rFonts w:hint="eastAsia" w:cs="微软雅黑"/>
                <w:b/>
                <w:color w:val="auto"/>
                <w:kern w:val="0"/>
                <w:sz w:val="18"/>
                <w:szCs w:val="18"/>
              </w:rPr>
              <w:t>1</w:t>
            </w:r>
          </w:p>
        </w:tc>
        <w:tc>
          <w:tcPr>
            <w:tcW w:w="992" w:type="dxa"/>
            <w:shd w:val="clear" w:color="auto" w:fill="auto"/>
            <w:vAlign w:val="center"/>
          </w:tcPr>
          <w:p>
            <w:pPr>
              <w:widowControl/>
              <w:spacing w:before="100" w:beforeAutospacing="1" w:after="100" w:afterAutospacing="1" w:line="280" w:lineRule="exact"/>
              <w:ind w:left="0" w:leftChars="0" w:firstLine="0" w:firstLineChars="0"/>
              <w:jc w:val="center"/>
              <w:rPr>
                <w:rFonts w:cs="宋体"/>
                <w:color w:val="auto"/>
                <w:kern w:val="0"/>
                <w:sz w:val="18"/>
                <w:szCs w:val="18"/>
              </w:rPr>
            </w:pPr>
            <w:r>
              <w:rPr>
                <w:rFonts w:hint="eastAsia"/>
                <w:color w:val="auto"/>
                <w:kern w:val="0"/>
                <w:sz w:val="18"/>
                <w:szCs w:val="18"/>
              </w:rPr>
              <w:t>条件报送</w:t>
            </w:r>
          </w:p>
        </w:tc>
        <w:tc>
          <w:tcPr>
            <w:tcW w:w="1134" w:type="dxa"/>
            <w:shd w:val="clear" w:color="auto" w:fill="auto"/>
            <w:vAlign w:val="center"/>
          </w:tcPr>
          <w:p>
            <w:pPr>
              <w:widowControl/>
              <w:spacing w:before="100" w:beforeAutospacing="1" w:after="100" w:afterAutospacing="1" w:line="280" w:lineRule="exact"/>
              <w:ind w:left="0" w:leftChars="0" w:firstLine="0" w:firstLineChars="0"/>
              <w:jc w:val="left"/>
              <w:rPr>
                <w:rFonts w:cs="宋体"/>
                <w:color w:val="auto"/>
                <w:kern w:val="0"/>
                <w:sz w:val="18"/>
                <w:szCs w:val="18"/>
              </w:rPr>
            </w:pPr>
            <w:r>
              <w:rPr>
                <w:rFonts w:hint="eastAsia" w:cs="微软雅黑"/>
                <w:color w:val="auto"/>
                <w:kern w:val="0"/>
                <w:sz w:val="18"/>
                <w:szCs w:val="18"/>
              </w:rPr>
              <w:t>申请人委托代理人参加行政复议的，应提交申请人签名或盖章的《授权委托书》 </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left"/>
              <w:textAlignment w:val="auto"/>
              <w:rPr>
                <w:rFonts w:cs="宋体"/>
                <w:color w:val="auto"/>
                <w:kern w:val="0"/>
                <w:sz w:val="18"/>
                <w:szCs w:val="18"/>
              </w:rPr>
            </w:pPr>
            <w:r>
              <w:rPr>
                <w:rFonts w:hint="eastAsia"/>
                <w:color w:val="auto"/>
                <w:kern w:val="0"/>
                <w:sz w:val="18"/>
                <w:szCs w:val="18"/>
              </w:rPr>
              <w:t>复议申请对应具体行政行为的决定性文书复印件</w:t>
            </w:r>
          </w:p>
        </w:tc>
        <w:tc>
          <w:tcPr>
            <w:tcW w:w="709"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jc w:val="center"/>
              <w:textAlignment w:val="auto"/>
              <w:rPr>
                <w:rFonts w:cs="宋体"/>
                <w:color w:val="auto"/>
                <w:kern w:val="0"/>
                <w:sz w:val="18"/>
                <w:szCs w:val="18"/>
              </w:rPr>
            </w:pPr>
            <w:r>
              <w:rPr>
                <w:rFonts w:hint="eastAsia" w:cs="微软雅黑"/>
                <w:color w:val="auto"/>
                <w:kern w:val="0"/>
                <w:sz w:val="18"/>
                <w:szCs w:val="18"/>
              </w:rPr>
              <w:t>1</w:t>
            </w:r>
          </w:p>
        </w:tc>
        <w:tc>
          <w:tcPr>
            <w:tcW w:w="992"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r>
              <w:rPr>
                <w:rFonts w:hint="eastAsia" w:cs="微软雅黑"/>
                <w:color w:val="auto"/>
                <w:kern w:val="0"/>
                <w:sz w:val="18"/>
                <w:szCs w:val="18"/>
              </w:rPr>
              <w:t>必报</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p>
        </w:tc>
        <w:tc>
          <w:tcPr>
            <w:tcW w:w="1134" w:type="dxa"/>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left"/>
              <w:textAlignment w:val="auto"/>
              <w:rPr>
                <w:rFonts w:cs="宋体"/>
                <w:color w:val="auto"/>
                <w:kern w:val="0"/>
                <w:sz w:val="18"/>
                <w:szCs w:val="18"/>
              </w:rPr>
            </w:pPr>
            <w:r>
              <w:rPr>
                <w:rFonts w:hint="eastAsia"/>
                <w:color w:val="auto"/>
                <w:kern w:val="0"/>
                <w:sz w:val="18"/>
                <w:szCs w:val="18"/>
              </w:rPr>
              <w:t>已缴税款、滞纳金或提供相应担保的凭证复印件</w:t>
            </w:r>
          </w:p>
        </w:tc>
        <w:tc>
          <w:tcPr>
            <w:tcW w:w="709"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jc w:val="center"/>
              <w:textAlignment w:val="auto"/>
              <w:rPr>
                <w:rFonts w:cs="宋体"/>
                <w:color w:val="auto"/>
                <w:kern w:val="0"/>
                <w:sz w:val="18"/>
                <w:szCs w:val="18"/>
              </w:rPr>
            </w:pPr>
            <w:r>
              <w:rPr>
                <w:rFonts w:hint="eastAsia" w:cs="微软雅黑"/>
                <w:color w:val="auto"/>
                <w:kern w:val="0"/>
                <w:sz w:val="18"/>
                <w:szCs w:val="18"/>
              </w:rPr>
              <w:t>1</w:t>
            </w:r>
          </w:p>
        </w:tc>
        <w:tc>
          <w:tcPr>
            <w:tcW w:w="992"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textAlignment w:val="auto"/>
              <w:rPr>
                <w:rFonts w:cs="宋体"/>
                <w:color w:val="auto"/>
                <w:kern w:val="0"/>
                <w:sz w:val="18"/>
                <w:szCs w:val="18"/>
              </w:rPr>
            </w:pPr>
            <w:r>
              <w:rPr>
                <w:rFonts w:hint="eastAsia"/>
                <w:color w:val="auto"/>
                <w:kern w:val="0"/>
                <w:sz w:val="18"/>
                <w:szCs w:val="18"/>
              </w:rPr>
              <w:t>申请人申请与征税行为有关的行政复议的</w:t>
            </w:r>
          </w:p>
        </w:tc>
        <w:tc>
          <w:tcPr>
            <w:tcW w:w="1134" w:type="dxa"/>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left"/>
              <w:textAlignment w:val="auto"/>
              <w:rPr>
                <w:rFonts w:cs="宋体"/>
                <w:color w:val="auto"/>
                <w:kern w:val="0"/>
                <w:sz w:val="18"/>
                <w:szCs w:val="18"/>
              </w:rPr>
            </w:pPr>
            <w:r>
              <w:rPr>
                <w:rFonts w:hint="eastAsia"/>
                <w:color w:val="auto"/>
                <w:kern w:val="0"/>
                <w:sz w:val="18"/>
                <w:szCs w:val="18"/>
              </w:rPr>
              <w:t>申请人认为税务机关作出的具体行政行为不当的依据</w:t>
            </w:r>
          </w:p>
        </w:tc>
        <w:tc>
          <w:tcPr>
            <w:tcW w:w="709"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jc w:val="center"/>
              <w:textAlignment w:val="auto"/>
              <w:rPr>
                <w:rFonts w:cs="宋体"/>
                <w:color w:val="auto"/>
                <w:kern w:val="0"/>
                <w:sz w:val="18"/>
                <w:szCs w:val="18"/>
              </w:rPr>
            </w:pPr>
            <w:r>
              <w:rPr>
                <w:rFonts w:hint="eastAsia" w:cs="微软雅黑"/>
                <w:color w:val="auto"/>
                <w:kern w:val="0"/>
                <w:sz w:val="18"/>
                <w:szCs w:val="18"/>
              </w:rPr>
              <w:t>1</w:t>
            </w:r>
          </w:p>
        </w:tc>
        <w:tc>
          <w:tcPr>
            <w:tcW w:w="992"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textAlignment w:val="auto"/>
              <w:rPr>
                <w:rFonts w:cs="宋体"/>
                <w:color w:val="auto"/>
                <w:kern w:val="0"/>
                <w:sz w:val="18"/>
                <w:szCs w:val="18"/>
              </w:rPr>
            </w:pPr>
            <w:r>
              <w:rPr>
                <w:rFonts w:hint="eastAsia" w:cs="微软雅黑"/>
                <w:color w:val="auto"/>
                <w:kern w:val="0"/>
                <w:sz w:val="18"/>
                <w:szCs w:val="18"/>
              </w:rPr>
              <w:t>有依据证明被申请人作出的具体行政行为不当的</w:t>
            </w:r>
          </w:p>
        </w:tc>
        <w:tc>
          <w:tcPr>
            <w:tcW w:w="1134" w:type="dxa"/>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7</w:t>
            </w:r>
          </w:p>
        </w:tc>
        <w:tc>
          <w:tcPr>
            <w:tcW w:w="2551"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left"/>
              <w:textAlignment w:val="auto"/>
              <w:rPr>
                <w:rFonts w:cs="宋体"/>
                <w:color w:val="auto"/>
                <w:kern w:val="0"/>
                <w:sz w:val="18"/>
                <w:szCs w:val="18"/>
              </w:rPr>
            </w:pPr>
            <w:r>
              <w:rPr>
                <w:rFonts w:hint="eastAsia"/>
                <w:color w:val="auto"/>
                <w:kern w:val="0"/>
                <w:sz w:val="18"/>
                <w:szCs w:val="18"/>
              </w:rPr>
              <w:t>要求被申请人履行法定职责而被申请人未履行的证明材料</w:t>
            </w:r>
          </w:p>
        </w:tc>
        <w:tc>
          <w:tcPr>
            <w:tcW w:w="709"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jc w:val="center"/>
              <w:textAlignment w:val="auto"/>
              <w:rPr>
                <w:rFonts w:cs="宋体"/>
                <w:color w:val="auto"/>
                <w:kern w:val="0"/>
                <w:sz w:val="18"/>
                <w:szCs w:val="18"/>
              </w:rPr>
            </w:pPr>
            <w:r>
              <w:rPr>
                <w:rFonts w:hint="eastAsia" w:cs="微软雅黑"/>
                <w:color w:val="auto"/>
                <w:kern w:val="0"/>
                <w:sz w:val="18"/>
                <w:szCs w:val="18"/>
              </w:rPr>
              <w:t>1</w:t>
            </w:r>
          </w:p>
        </w:tc>
        <w:tc>
          <w:tcPr>
            <w:tcW w:w="992"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textAlignment w:val="auto"/>
              <w:rPr>
                <w:rFonts w:cs="宋体"/>
                <w:color w:val="auto"/>
                <w:kern w:val="0"/>
                <w:sz w:val="18"/>
                <w:szCs w:val="18"/>
              </w:rPr>
            </w:pPr>
            <w:r>
              <w:rPr>
                <w:rFonts w:hint="eastAsia" w:cs="微软雅黑"/>
                <w:color w:val="auto"/>
                <w:kern w:val="0"/>
                <w:sz w:val="18"/>
                <w:szCs w:val="18"/>
              </w:rPr>
              <w:t>申请人认为被申请人不履行法定职责的</w:t>
            </w:r>
          </w:p>
        </w:tc>
        <w:tc>
          <w:tcPr>
            <w:tcW w:w="1134" w:type="dxa"/>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8</w:t>
            </w:r>
          </w:p>
        </w:tc>
        <w:tc>
          <w:tcPr>
            <w:tcW w:w="2551"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left"/>
              <w:textAlignment w:val="auto"/>
              <w:rPr>
                <w:rFonts w:cs="宋体"/>
                <w:color w:val="auto"/>
                <w:kern w:val="0"/>
                <w:sz w:val="18"/>
                <w:szCs w:val="18"/>
              </w:rPr>
            </w:pPr>
            <w:r>
              <w:rPr>
                <w:rFonts w:hint="eastAsia"/>
                <w:color w:val="auto"/>
                <w:kern w:val="0"/>
                <w:sz w:val="18"/>
                <w:szCs w:val="18"/>
              </w:rPr>
              <w:t>行政赔偿请求及受具体行政行为侵害而造成损害的证明材料</w:t>
            </w:r>
          </w:p>
        </w:tc>
        <w:tc>
          <w:tcPr>
            <w:tcW w:w="709"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jc w:val="center"/>
              <w:textAlignment w:val="auto"/>
              <w:rPr>
                <w:rFonts w:cs="宋体"/>
                <w:color w:val="auto"/>
                <w:kern w:val="0"/>
                <w:sz w:val="18"/>
                <w:szCs w:val="18"/>
              </w:rPr>
            </w:pPr>
            <w:r>
              <w:rPr>
                <w:rFonts w:hint="eastAsia" w:cs="微软雅黑"/>
                <w:color w:val="auto"/>
                <w:kern w:val="0"/>
                <w:sz w:val="18"/>
                <w:szCs w:val="18"/>
              </w:rPr>
              <w:t>1</w:t>
            </w:r>
          </w:p>
        </w:tc>
        <w:tc>
          <w:tcPr>
            <w:tcW w:w="992"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textAlignment w:val="auto"/>
              <w:rPr>
                <w:rFonts w:cs="宋体"/>
                <w:color w:val="auto"/>
                <w:kern w:val="0"/>
                <w:sz w:val="18"/>
                <w:szCs w:val="18"/>
              </w:rPr>
            </w:pPr>
            <w:r>
              <w:rPr>
                <w:rFonts w:hint="eastAsia" w:cs="微软雅黑"/>
                <w:color w:val="auto"/>
                <w:kern w:val="0"/>
                <w:sz w:val="18"/>
                <w:szCs w:val="18"/>
              </w:rPr>
              <w:t>申请行政复议时一并提出行政赔偿请求的</w:t>
            </w:r>
          </w:p>
        </w:tc>
        <w:tc>
          <w:tcPr>
            <w:tcW w:w="1134" w:type="dxa"/>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9</w:t>
            </w:r>
          </w:p>
        </w:tc>
        <w:tc>
          <w:tcPr>
            <w:tcW w:w="2551"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left"/>
              <w:textAlignment w:val="auto"/>
              <w:rPr>
                <w:rFonts w:cs="宋体"/>
                <w:color w:val="auto"/>
                <w:kern w:val="0"/>
                <w:sz w:val="18"/>
                <w:szCs w:val="18"/>
              </w:rPr>
            </w:pPr>
            <w:r>
              <w:rPr>
                <w:rFonts w:hint="eastAsia" w:cs="Arial"/>
                <w:color w:val="auto"/>
                <w:sz w:val="18"/>
                <w:szCs w:val="18"/>
              </w:rPr>
              <w:t>《撤回复议申请书》</w:t>
            </w:r>
          </w:p>
        </w:tc>
        <w:tc>
          <w:tcPr>
            <w:tcW w:w="709"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jc w:val="center"/>
              <w:textAlignment w:val="auto"/>
              <w:rPr>
                <w:rFonts w:cs="宋体"/>
                <w:color w:val="auto"/>
                <w:kern w:val="0"/>
                <w:sz w:val="18"/>
                <w:szCs w:val="18"/>
              </w:rPr>
            </w:pPr>
            <w:r>
              <w:rPr>
                <w:rFonts w:hint="eastAsia" w:cs="微软雅黑"/>
                <w:color w:val="auto"/>
                <w:kern w:val="0"/>
                <w:sz w:val="18"/>
                <w:szCs w:val="18"/>
              </w:rPr>
              <w:t>1</w:t>
            </w:r>
          </w:p>
        </w:tc>
        <w:tc>
          <w:tcPr>
            <w:tcW w:w="992"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firstLine="0" w:firstLineChars="0"/>
              <w:jc w:val="center"/>
              <w:textAlignment w:val="auto"/>
              <w:rPr>
                <w:rFonts w:cs="宋体"/>
                <w:color w:val="auto"/>
                <w:kern w:val="0"/>
                <w:sz w:val="18"/>
                <w:szCs w:val="18"/>
              </w:rPr>
            </w:pPr>
            <w:r>
              <w:rPr>
                <w:rFonts w:hint="eastAsia" w:cs="微软雅黑"/>
                <w:color w:val="auto"/>
                <w:kern w:val="0"/>
                <w:sz w:val="18"/>
                <w:szCs w:val="18"/>
              </w:rPr>
              <w:t>条件报送</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before="100" w:beforeAutospacing="1" w:after="100" w:afterAutospacing="1" w:line="280" w:lineRule="exact"/>
              <w:ind w:left="0" w:leftChars="0" w:firstLine="0" w:firstLineChars="0"/>
              <w:textAlignment w:val="auto"/>
              <w:rPr>
                <w:rFonts w:cs="宋体"/>
                <w:color w:val="auto"/>
                <w:kern w:val="0"/>
                <w:sz w:val="18"/>
                <w:szCs w:val="18"/>
              </w:rPr>
            </w:pPr>
            <w:r>
              <w:rPr>
                <w:rFonts w:hint="eastAsia" w:cs="微软雅黑"/>
                <w:color w:val="auto"/>
                <w:kern w:val="0"/>
                <w:sz w:val="18"/>
                <w:szCs w:val="18"/>
              </w:rPr>
              <w:t>申请撤回时一并报送</w:t>
            </w:r>
          </w:p>
        </w:tc>
        <w:tc>
          <w:tcPr>
            <w:tcW w:w="1134" w:type="dxa"/>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pageBreakBefore w:val="0"/>
              <w:widowControl/>
              <w:kinsoku/>
              <w:wordWrap/>
              <w:overflowPunct/>
              <w:topLinePunct w:val="0"/>
              <w:autoSpaceDE/>
              <w:autoSpaceDN/>
              <w:bidi w:val="0"/>
              <w:adjustRightInd/>
              <w:snapToGrid/>
              <w:spacing w:line="280" w:lineRule="exact"/>
              <w:ind w:firstLine="0" w:firstLineChars="0"/>
              <w:jc w:val="center"/>
              <w:textAlignment w:val="auto"/>
              <w:rPr>
                <w:rFonts w:cs="宋体"/>
                <w:color w:val="auto"/>
                <w:kern w:val="0"/>
                <w:sz w:val="18"/>
                <w:szCs w:val="18"/>
              </w:rPr>
            </w:pPr>
          </w:p>
        </w:tc>
      </w:tr>
    </w:tbl>
    <w:p>
      <w:pPr>
        <w:pStyle w:val="3"/>
        <w:pageBreakBefore w:val="0"/>
        <w:kinsoku/>
        <w:wordWrap/>
        <w:overflowPunct/>
        <w:topLinePunct w:val="0"/>
        <w:autoSpaceDE/>
        <w:autoSpaceDN/>
        <w:bidi w:val="0"/>
        <w:adjustRightInd/>
        <w:snapToGrid/>
        <w:ind w:firstLine="0" w:firstLineChars="0"/>
        <w:textAlignment w:val="auto"/>
        <w:rPr>
          <w:color w:val="auto"/>
        </w:rPr>
      </w:pPr>
      <w:r>
        <w:rPr>
          <w:rFonts w:hint="eastAsia"/>
          <w:color w:val="auto"/>
        </w:rPr>
        <w:t>六</w:t>
      </w:r>
      <w:r>
        <w:rPr>
          <w:color w:val="auto"/>
        </w:rPr>
        <w:t>、办理流程</w:t>
      </w:r>
    </w:p>
    <w:p>
      <w:pPr>
        <w:spacing w:line="240" w:lineRule="auto"/>
        <w:ind w:left="471" w:firstLine="0" w:firstLineChars="0"/>
        <w:rPr>
          <w:color w:val="auto"/>
        </w:rPr>
      </w:pPr>
      <w:r>
        <w:rPr>
          <w:rFonts w:ascii="楷体" w:hAnsi="楷体" w:eastAsia="楷体"/>
          <w:color w:val="auto"/>
          <w:sz w:val="28"/>
          <w:szCs w:val="28"/>
        </w:rPr>
        <w:object>
          <v:shape id="_x0000_i1193" o:spt="75" type="#_x0000_t75" style="height:210.35pt;width:408.2pt;" o:ole="t" filled="f" o:preferrelative="t" stroked="f" coordsize="21600,21600">
            <v:path/>
            <v:fill on="f" focussize="0,0"/>
            <v:stroke on="f" joinstyle="miter"/>
            <v:imagedata r:id="rId11" o:title=""/>
            <o:lock v:ext="edit" aspectratio="t"/>
            <w10:wrap type="none"/>
            <w10:anchorlock/>
          </v:shape>
          <o:OLEObject Type="Embed" ProgID="Visio.Drawing.11" ShapeID="_x0000_i119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szCs w:val="24"/>
        </w:rPr>
        <w:t>限时办结</w:t>
      </w:r>
      <w:r>
        <w:rPr>
          <w:rFonts w:hint="eastAsia"/>
          <w:color w:val="auto"/>
        </w:rPr>
        <w:t>。</w:t>
      </w:r>
    </w:p>
    <w:p>
      <w:pPr>
        <w:pStyle w:val="3"/>
        <w:ind w:firstLine="552"/>
        <w:rPr>
          <w:color w:val="auto"/>
        </w:rPr>
      </w:pPr>
      <w:r>
        <w:rPr>
          <w:rFonts w:hint="eastAsia"/>
          <w:color w:val="auto"/>
        </w:rPr>
        <w:t>八、表证单书</w:t>
      </w:r>
    </w:p>
    <w:p>
      <w:pPr>
        <w:ind w:firstLine="472"/>
        <w:rPr>
          <w:color w:val="auto"/>
        </w:rPr>
      </w:pPr>
      <w:r>
        <w:rPr>
          <w:rFonts w:hint="eastAsia"/>
          <w:color w:val="auto"/>
        </w:rPr>
        <w:t>1.A12009《行政复议申请书》</w:t>
      </w:r>
    </w:p>
    <w:p>
      <w:pPr>
        <w:ind w:firstLine="472"/>
        <w:rPr>
          <w:color w:val="auto"/>
        </w:rPr>
      </w:pPr>
      <w:r>
        <w:rPr>
          <w:rFonts w:hint="eastAsia"/>
          <w:color w:val="auto"/>
        </w:rPr>
        <w:t>2.A12010《口头申请行政复议登记表》</w:t>
      </w:r>
    </w:p>
    <w:p>
      <w:pPr>
        <w:pStyle w:val="3"/>
        <w:ind w:firstLine="552"/>
        <w:rPr>
          <w:color w:val="auto"/>
        </w:rPr>
      </w:pPr>
      <w:r>
        <w:rPr>
          <w:rFonts w:hint="eastAsia"/>
          <w:color w:val="auto"/>
        </w:rPr>
        <w:t>九、注意事项</w:t>
      </w:r>
    </w:p>
    <w:p>
      <w:pPr>
        <w:ind w:firstLine="472"/>
        <w:rPr>
          <w:rFonts w:hint="eastAsia" w:eastAsia="宋体"/>
          <w:color w:val="auto"/>
          <w:lang w:eastAsia="zh-CN"/>
        </w:rPr>
      </w:pPr>
      <w:r>
        <w:rPr>
          <w:rFonts w:hint="eastAsia"/>
          <w:color w:val="auto"/>
        </w:rPr>
        <w:t>1.有下列情形之一的，行政复议机关应当决定驳回行政复议申请：</w:t>
      </w:r>
    </w:p>
    <w:p>
      <w:pPr>
        <w:ind w:firstLine="472"/>
        <w:rPr>
          <w:color w:val="auto"/>
        </w:rPr>
      </w:pPr>
      <w:r>
        <w:rPr>
          <w:rFonts w:hint="eastAsia"/>
          <w:color w:val="auto"/>
        </w:rPr>
        <w:t>①申请人认为税务机关不履行法定职责申请行政复议，行政复议机关受理以后发现该税务机关没有相应法定职责或者在受理以前已经履行法定职责的。</w:t>
      </w:r>
    </w:p>
    <w:p>
      <w:pPr>
        <w:ind w:firstLine="472"/>
        <w:rPr>
          <w:color w:val="auto"/>
        </w:rPr>
      </w:pPr>
      <w:r>
        <w:rPr>
          <w:rFonts w:hint="eastAsia"/>
          <w:color w:val="auto"/>
        </w:rPr>
        <w:t>②受理行政复议申请后，发现该行政复议申请不符合行政复议法及其实施条例和《税务行政复议规则》规定的受理条件的。上级税务机关认为行政复议机关驳回行政复议申请的理由不成立的，应当责令限期恢复受理。行政复议机关审理行政复议申请期限的计算应当扣除因驳回期间的时间。</w:t>
      </w:r>
    </w:p>
    <w:p>
      <w:pPr>
        <w:ind w:firstLine="472"/>
        <w:rPr>
          <w:color w:val="auto"/>
        </w:rPr>
      </w:pPr>
      <w:r>
        <w:rPr>
          <w:rFonts w:hint="eastAsia"/>
          <w:color w:val="auto"/>
        </w:rPr>
        <w:t>纳税人、扣缴义务人、纳税担保人同税务机关在纳税上发生争议时，必须先依照税务机关的纳税决定缴纳或者解缴税款及滞纳金或者提供相应的担保，然后可以依法申请行政复议；对行政复议决定不服的，可以依法向人民法院起诉。</w:t>
      </w:r>
    </w:p>
    <w:p>
      <w:pPr>
        <w:ind w:firstLine="472"/>
        <w:rPr>
          <w:color w:val="auto"/>
        </w:rPr>
      </w:pPr>
      <w:r>
        <w:rPr>
          <w:rFonts w:hint="eastAsia"/>
          <w:color w:val="auto"/>
        </w:rPr>
        <w:t>当事人对税务机关的处罚决定、强制执行措施或者税收保全措施不服的，可以依法申请行政复议，也可以依法向人民法院起诉。</w:t>
      </w:r>
    </w:p>
    <w:p>
      <w:pPr>
        <w:ind w:firstLine="472"/>
        <w:rPr>
          <w:color w:val="auto"/>
        </w:rPr>
      </w:pPr>
      <w:r>
        <w:rPr>
          <w:rFonts w:hint="eastAsia"/>
          <w:color w:val="auto"/>
        </w:rPr>
        <w:t>当事人对税务机关的处罚决定逾期不申请行政复议也不向人民法院起诉、又不履行的，作出处罚决定的税务机关可以采取《中华人民共和国税收征收管理法》第四十条规定的强制执行措施，或者申请人民法院强制执行。</w:t>
      </w:r>
    </w:p>
    <w:p>
      <w:pPr>
        <w:ind w:firstLine="472"/>
        <w:rPr>
          <w:color w:val="auto"/>
        </w:rPr>
      </w:pPr>
      <w:r>
        <w:rPr>
          <w:rFonts w:hint="eastAsia"/>
          <w:color w:val="auto"/>
        </w:rPr>
        <w:t>本事项在60日内办结。情况复杂，不能在规定期限内作出行政复议决定的，经行政复议机关的负责人批准，可以适当延长，并告知申请人和被申请人；但是延长期限最多不超过30日。撤回复议申请应于复议期间届满前办结。</w:t>
      </w:r>
    </w:p>
    <w:p>
      <w:pPr>
        <w:ind w:firstLine="472"/>
        <w:rPr>
          <w:color w:val="auto"/>
        </w:rPr>
      </w:pPr>
      <w:r>
        <w:rPr>
          <w:rFonts w:hint="eastAsia"/>
          <w:color w:val="auto"/>
        </w:rPr>
        <w:t>2.纳税人对报送资料的真实性和合法性承担责任。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主管税务机关法制管理部门</w:t>
      </w:r>
    </w:p>
    <w:p>
      <w:pPr>
        <w:ind w:firstLine="472"/>
        <w:rPr>
          <w:rFonts w:hint="eastAsia"/>
          <w:color w:val="auto"/>
        </w:rPr>
      </w:pPr>
      <w:r>
        <w:rPr>
          <w:rFonts w:hint="eastAsia"/>
          <w:color w:val="auto"/>
          <w:lang w:val="en-US" w:eastAsia="zh-CN"/>
        </w:rPr>
        <w:t>主管税务机关地址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w:t>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573A"/>
    <w:multiLevelType w:val="multilevel"/>
    <w:tmpl w:val="04DE573A"/>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2B80F82"/>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2019-10-31T05:15:47Z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