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黑体" w:hAnsi="黑体" w:cs="黑体"/>
          <w:color w:val="auto"/>
        </w:rPr>
      </w:pPr>
      <w:bookmarkStart w:id="1" w:name="_GoBack"/>
      <w:bookmarkEnd w:id="1"/>
      <w:bookmarkStart w:id="0" w:name="_Toc20948"/>
      <w:r>
        <w:rPr>
          <w:rFonts w:hint="eastAsia" w:ascii="黑体" w:hAnsi="黑体" w:cs="黑体"/>
          <w:color w:val="auto"/>
        </w:rPr>
        <w:t>1.3.3.6企业所得税汇总纳税总分机构信息报告</w:t>
      </w:r>
      <w:bookmarkEnd w:id="0"/>
    </w:p>
    <w:p>
      <w:pPr>
        <w:pStyle w:val="3"/>
        <w:ind w:firstLine="552"/>
        <w:rPr>
          <w:color w:val="auto"/>
        </w:rPr>
      </w:pPr>
      <w:r>
        <w:rPr>
          <w:color w:val="auto"/>
        </w:rPr>
        <w:t>一、事项名称</w:t>
      </w:r>
    </w:p>
    <w:p>
      <w:pPr>
        <w:ind w:firstLine="472"/>
        <w:rPr>
          <w:color w:val="auto"/>
        </w:rPr>
      </w:pPr>
      <w:r>
        <w:rPr>
          <w:rFonts w:hint="eastAsia"/>
          <w:color w:val="auto"/>
        </w:rPr>
        <w:t>企业所得税汇总纳税总分机构信息报告</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全省通办：否</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lang w:val="en-US" w:eastAsia="zh-CN"/>
        </w:rPr>
        <w:t>办理条件</w:t>
      </w:r>
    </w:p>
    <w:p>
      <w:pPr>
        <w:ind w:firstLine="472"/>
        <w:rPr>
          <w:rFonts w:hint="eastAsia"/>
          <w:color w:val="auto"/>
        </w:rPr>
      </w:pPr>
      <w:r>
        <w:rPr>
          <w:rFonts w:hint="eastAsia"/>
          <w:color w:val="auto"/>
        </w:rPr>
        <w:t>1．居民企业所得税汇总纳税总分机构信息报告</w:t>
      </w:r>
    </w:p>
    <w:p>
      <w:pPr>
        <w:ind w:firstLine="472"/>
        <w:rPr>
          <w:rFonts w:hint="eastAsia"/>
          <w:color w:val="auto"/>
        </w:rPr>
      </w:pPr>
      <w:r>
        <w:rPr>
          <w:rFonts w:hint="eastAsia"/>
          <w:color w:val="auto"/>
        </w:rPr>
        <w:t>总机构应依照税收法律、法规、规章及其他有关规定，在规定的纳税期限内，填报《企业所得税汇总纳税总分机构信息备案表》，将其所有二级及以下分支机构（包括不就地分摊缴纳企业所得税的二级分支机构）信息报其所在地主管税务机关备案，内容包括分支机构名称、层级、地址、邮编、纳税人识别号及企业所得税主管税务机关名称、地址和邮编。</w:t>
      </w:r>
    </w:p>
    <w:p>
      <w:pPr>
        <w:ind w:firstLine="472"/>
        <w:rPr>
          <w:rFonts w:hint="eastAsia"/>
          <w:color w:val="auto"/>
        </w:rPr>
      </w:pPr>
      <w:r>
        <w:rPr>
          <w:rFonts w:hint="eastAsia"/>
          <w:color w:val="auto"/>
        </w:rPr>
        <w:t>分支机构（包括不就地分摊缴纳企业所得税的二级分支机构）应依照税收法律、法规、规章及其他有关规定，在规定的纳税期限内，填报《企业所得税汇总纳税总分机构信息备案表》，将其总机构、上级分支机构和下属分支机构信息报其所在地主管税务机关备案，内容包括总机构、上级机构和下属分支机构名称、层级、地址、邮编、纳税人识别号及企业所得税主管税务机关名称、地址和邮编。</w:t>
      </w:r>
    </w:p>
    <w:p>
      <w:pPr>
        <w:ind w:firstLine="472"/>
        <w:rPr>
          <w:rFonts w:hint="eastAsia"/>
          <w:color w:val="auto"/>
        </w:rPr>
      </w:pPr>
      <w:r>
        <w:rPr>
          <w:rFonts w:hint="eastAsia"/>
          <w:color w:val="auto"/>
        </w:rPr>
        <w:t>上述备案信息发生变化的，除另有规定外，应在内容变化后30日内报总机构和分支机构所在地主管税务机关备案，并办理变更税务登记。</w:t>
      </w:r>
    </w:p>
    <w:p>
      <w:pPr>
        <w:ind w:firstLine="472"/>
        <w:rPr>
          <w:rFonts w:hint="eastAsia"/>
          <w:color w:val="auto"/>
        </w:rPr>
      </w:pPr>
      <w:r>
        <w:rPr>
          <w:rFonts w:hint="eastAsia"/>
          <w:color w:val="auto"/>
        </w:rPr>
        <w:t>分支机构注销税务登记后15日内，总机构应当将分支机构注销情况报所在地主管税务机关备案，并办理变更税务登记。</w:t>
      </w:r>
    </w:p>
    <w:p>
      <w:pPr>
        <w:ind w:firstLine="472"/>
        <w:rPr>
          <w:rFonts w:hint="eastAsia"/>
          <w:color w:val="auto"/>
        </w:rPr>
      </w:pPr>
      <w:r>
        <w:rPr>
          <w:rFonts w:hint="eastAsia"/>
          <w:color w:val="auto"/>
        </w:rPr>
        <w:t>2.非居民企业所得税汇总纳税信息清册记录</w:t>
      </w:r>
    </w:p>
    <w:p>
      <w:pPr>
        <w:ind w:firstLine="472"/>
        <w:rPr>
          <w:rFonts w:hint="eastAsia"/>
          <w:color w:val="auto"/>
        </w:rPr>
      </w:pPr>
      <w:r>
        <w:rPr>
          <w:rFonts w:hint="eastAsia"/>
          <w:color w:val="auto"/>
        </w:rPr>
        <w:t>（1）汇总纳税的非居民企业应在汇总纳税的年度中持续符合下列所有条件：</w:t>
      </w:r>
    </w:p>
    <w:p>
      <w:pPr>
        <w:ind w:firstLine="472"/>
        <w:rPr>
          <w:rFonts w:hint="eastAsia"/>
          <w:color w:val="auto"/>
        </w:rPr>
      </w:pPr>
      <w:r>
        <w:rPr>
          <w:rFonts w:hint="eastAsia"/>
          <w:color w:val="auto"/>
        </w:rPr>
        <w:t>a.汇总纳税的各机构、场所已在所在地主管税务机关办理税务登记，并取得纳税人识别号；</w:t>
      </w:r>
    </w:p>
    <w:p>
      <w:pPr>
        <w:ind w:firstLine="472"/>
        <w:rPr>
          <w:rFonts w:hint="eastAsia"/>
          <w:color w:val="auto"/>
        </w:rPr>
      </w:pPr>
      <w:r>
        <w:rPr>
          <w:rFonts w:hint="eastAsia"/>
          <w:color w:val="auto"/>
        </w:rPr>
        <w:t>b.主要机构、场所符合企业所得税法实施条例第一百二十六条规定，汇总纳税的各机构、场所不得采用核定方式计算缴纳企业所得税；</w:t>
      </w:r>
    </w:p>
    <w:p>
      <w:pPr>
        <w:ind w:firstLine="472"/>
        <w:rPr>
          <w:rFonts w:hint="eastAsia"/>
          <w:color w:val="auto"/>
        </w:rPr>
      </w:pPr>
      <w:r>
        <w:rPr>
          <w:rFonts w:hint="eastAsia"/>
          <w:color w:val="auto"/>
        </w:rPr>
        <w:t>c.汇总纳税的各机构、场所能够按照本公告规定准确计算本机构、场所的税款分摊额，并按要求向所在地主管税务机关办理纳税申报。</w:t>
      </w:r>
    </w:p>
    <w:p>
      <w:pPr>
        <w:ind w:firstLine="472"/>
        <w:rPr>
          <w:rFonts w:hint="eastAsia"/>
          <w:color w:val="auto"/>
        </w:rPr>
      </w:pPr>
      <w:r>
        <w:rPr>
          <w:rFonts w:hint="eastAsia"/>
          <w:color w:val="auto"/>
        </w:rPr>
        <w:t>（2）汇总纳税的各机构、场所实行“统一计算、分级管理、就地预缴、汇总清算、财政调库”的企业所得税征收管理办法。除本公告另有规定外，相关税款计算、税款分摊、缴库或退库地点、缴库或退库比例、征管流程等事项，比照《财政部国家税务总局中国人民银行关于印发〈跨省市总分机构企业所得税分配及预算管理办法〉的通知》（财预〔2012〕40号）、《财政部国家税务总局中国人民银行关于〈跨省市总分机构企业所得税分配及预算管理办法〉的补充通知》（财预〔2012〕453号）、《国家税务总局关于印发&lt;跨地区经营汇总纳税企业所得税征收管理办法&gt;的公告》（国家税务总局公告2012年第57号）等适用于居民企业汇总缴纳企业所得税的规定执行。</w:t>
      </w:r>
    </w:p>
    <w:p>
      <w:pPr>
        <w:ind w:firstLine="472"/>
        <w:rPr>
          <w:rFonts w:hint="eastAsia"/>
          <w:color w:val="auto"/>
        </w:rPr>
      </w:pPr>
      <w:r>
        <w:rPr>
          <w:rFonts w:hint="eastAsia"/>
          <w:color w:val="auto"/>
        </w:rPr>
        <w:t>（3）除国家税务总局2019年12号公告第五条规定外，主要机构、场所比照居民企业总机构就地分摊缴纳企业所得税；被汇总机构、场所比照居民企业分支机构就地分摊缴纳企业所得税。</w:t>
      </w:r>
    </w:p>
    <w:p>
      <w:pPr>
        <w:ind w:firstLine="472"/>
        <w:rPr>
          <w:rFonts w:hint="eastAsia"/>
          <w:color w:val="auto"/>
        </w:rPr>
      </w:pPr>
      <w:r>
        <w:rPr>
          <w:rFonts w:hint="eastAsia"/>
          <w:color w:val="auto"/>
        </w:rPr>
        <w:t>（4）符合国家税务总局2019年12号公告第二条规定的机构、场所不具有主体生产经营职能，不从纳入汇总缴纳企业所得税的其他机构、场所之外取得营业收入，仅具有内部辅助管理或服务职能的，可以纳入汇总计算缴纳企业所得税的范围，但不就地分摊缴纳企业所得税。</w:t>
      </w:r>
    </w:p>
    <w:p>
      <w:pPr>
        <w:ind w:firstLine="472"/>
        <w:rPr>
          <w:rFonts w:hint="eastAsia"/>
          <w:color w:val="auto"/>
        </w:rPr>
      </w:pPr>
      <w:r>
        <w:rPr>
          <w:rFonts w:hint="eastAsia"/>
          <w:color w:val="auto"/>
        </w:rPr>
        <w:t>（5）汇总纳税的各机构、场所应在首次办理汇总缴纳企业所得税申报时，向所在地主管税务机关报送以下信息资料：</w:t>
      </w:r>
    </w:p>
    <w:p>
      <w:pPr>
        <w:ind w:firstLine="472"/>
        <w:rPr>
          <w:rFonts w:hint="eastAsia"/>
          <w:color w:val="auto"/>
        </w:rPr>
      </w:pPr>
      <w:r>
        <w:rPr>
          <w:rFonts w:hint="eastAsia"/>
          <w:color w:val="auto"/>
        </w:rPr>
        <w:t>a.主要机构、场所名称及纳税人识别号；</w:t>
      </w:r>
    </w:p>
    <w:p>
      <w:pPr>
        <w:ind w:firstLine="472"/>
        <w:rPr>
          <w:rFonts w:hint="eastAsia"/>
          <w:color w:val="auto"/>
        </w:rPr>
      </w:pPr>
      <w:r>
        <w:rPr>
          <w:rFonts w:hint="eastAsia"/>
          <w:color w:val="auto"/>
        </w:rPr>
        <w:t>b.全部被汇总机构、场所名称及纳税人识别号；</w:t>
      </w:r>
    </w:p>
    <w:p>
      <w:pPr>
        <w:ind w:firstLine="472"/>
        <w:rPr>
          <w:rFonts w:hint="eastAsia"/>
          <w:color w:val="auto"/>
        </w:rPr>
      </w:pPr>
      <w:r>
        <w:rPr>
          <w:rFonts w:hint="eastAsia"/>
          <w:color w:val="auto"/>
        </w:rPr>
        <w:t>c.符合汇总缴纳企业所得税条件的财务会计核算制度安排。</w:t>
      </w:r>
    </w:p>
    <w:p>
      <w:pPr>
        <w:ind w:firstLine="472"/>
        <w:rPr>
          <w:color w:val="auto"/>
        </w:rPr>
      </w:pPr>
      <w:r>
        <w:rPr>
          <w:rFonts w:hint="eastAsia"/>
          <w:color w:val="auto"/>
        </w:rPr>
        <w:t>已按上款规定报送的信息资料发生变更的，汇总纳税的各机构、场所应在发生变更后首次办理汇总缴纳企业所得税申报时，向所在地主管税务机关报告变化情况。</w:t>
      </w:r>
    </w:p>
    <w:p>
      <w:pPr>
        <w:pStyle w:val="3"/>
        <w:ind w:firstLine="552"/>
        <w:rPr>
          <w:color w:val="auto"/>
        </w:rPr>
      </w:pPr>
      <w:r>
        <w:rPr>
          <w:rFonts w:hint="eastAsia"/>
          <w:color w:val="auto"/>
        </w:rPr>
        <w:t>四、设定依据</w:t>
      </w:r>
    </w:p>
    <w:p>
      <w:pPr>
        <w:ind w:firstLine="472"/>
        <w:rPr>
          <w:color w:val="auto"/>
        </w:rPr>
      </w:pPr>
      <w:r>
        <w:rPr>
          <w:rFonts w:hint="eastAsia"/>
          <w:color w:val="auto"/>
        </w:rPr>
        <w:t>1.《跨地区经营汇总纳税企业所得税征收管理办法》（国家税务总局公告2012年第57号公布，国家税务总局公告2015年第6号修改）</w:t>
      </w:r>
      <w:r>
        <w:rPr>
          <w:color w:val="auto"/>
        </w:rPr>
        <w:t> </w:t>
      </w:r>
      <w:r>
        <w:rPr>
          <w:rFonts w:hint="eastAsia"/>
          <w:color w:val="auto"/>
        </w:rPr>
        <w:t>第二十二条</w:t>
      </w:r>
    </w:p>
    <w:p>
      <w:pPr>
        <w:ind w:firstLine="472"/>
        <w:rPr>
          <w:color w:val="auto"/>
        </w:rPr>
      </w:pPr>
      <w:r>
        <w:rPr>
          <w:rFonts w:hint="eastAsia"/>
          <w:color w:val="auto"/>
        </w:rPr>
        <w:t>“总机构应将其所有二级及以下分支机构（包括本办法第五条规定的分支机构）信息报其所在地主管税务机关备案，内容包括分支机构名称、层级、地址、邮编、纳税人识别号及企业所得税主管税务机关名称、地址和邮编。</w:t>
      </w:r>
      <w:r>
        <w:rPr>
          <w:rFonts w:hint="eastAsia"/>
          <w:color w:val="auto"/>
        </w:rPr>
        <w:br w:type="textWrapping"/>
      </w:r>
      <w:r>
        <w:rPr>
          <w:rFonts w:hint="eastAsia"/>
          <w:color w:val="auto"/>
        </w:rPr>
        <w:t>　　分支机构（包括本办法第五条规定的分支机构）应将其总机构、上级分支机构和下属分支机构信息报其所在地主管税务机关备案，内容包括总机构、上级机构和下属分支机构名称、层级、地址、邮编、纳税人识别号及企业所得税主管税务机关名称、地址和邮编。</w:t>
      </w:r>
      <w:r>
        <w:rPr>
          <w:rFonts w:hint="eastAsia"/>
          <w:color w:val="auto"/>
        </w:rPr>
        <w:br w:type="textWrapping"/>
      </w:r>
      <w:r>
        <w:rPr>
          <w:rFonts w:hint="eastAsia"/>
          <w:color w:val="auto"/>
        </w:rPr>
        <w:t>　　上述备案信息发生变化的，除另有规定外，应在内容变化后30日内报总机构和分支机构所在地主管税务机关备案，并办理变更税务登记。</w:t>
      </w:r>
      <w:r>
        <w:rPr>
          <w:rFonts w:hint="eastAsia"/>
          <w:color w:val="auto"/>
        </w:rPr>
        <w:br w:type="textWrapping"/>
      </w:r>
      <w:r>
        <w:rPr>
          <w:rFonts w:hint="eastAsia"/>
          <w:color w:val="auto"/>
        </w:rPr>
        <w:t>　　分支机构注销税务登记后15日内，总机构应将分支机构注销情况报所在地主管税务机关备案，并办理变更税务登记。”</w:t>
      </w:r>
    </w:p>
    <w:p>
      <w:pPr>
        <w:numPr>
          <w:ilvl w:val="0"/>
          <w:numId w:val="4"/>
        </w:numPr>
        <w:ind w:firstLine="472"/>
        <w:rPr>
          <w:color w:val="auto"/>
        </w:rPr>
      </w:pPr>
      <w:r>
        <w:rPr>
          <w:rFonts w:hint="eastAsia"/>
          <w:color w:val="auto"/>
        </w:rPr>
        <w:t>《国家税务总局关于3项企业所得税事项取消审批后加强后续管理的公告》（国家税务总局公告2015年第6号）第二条</w:t>
      </w:r>
    </w:p>
    <w:p>
      <w:pPr>
        <w:ind w:firstLine="472"/>
        <w:rPr>
          <w:color w:val="auto"/>
        </w:rPr>
      </w:pPr>
      <w:r>
        <w:rPr>
          <w:rFonts w:hint="eastAsia"/>
          <w:color w:val="auto"/>
        </w:rPr>
        <w:t>“取消“收入全额归属中央的企业下属二级及二级以下分支机构名单的备案审核”的后续管理</w:t>
      </w:r>
      <w:r>
        <w:rPr>
          <w:rFonts w:hint="eastAsia"/>
          <w:color w:val="auto"/>
        </w:rPr>
        <w:br w:type="textWrapping"/>
      </w:r>
      <w:r>
        <w:rPr>
          <w:rFonts w:hint="eastAsia"/>
          <w:color w:val="auto"/>
        </w:rPr>
        <w:t>　　收入全额归属中央的企业（本条简称中央企业）所属二级及二级以下分支机构名单发生变化的，按照以下规定分别向其主管税务机关报送相关资料：</w:t>
      </w:r>
      <w:r>
        <w:rPr>
          <w:rFonts w:hint="eastAsia"/>
          <w:color w:val="auto"/>
        </w:rPr>
        <w:br w:type="textWrapping"/>
      </w:r>
      <w:r>
        <w:rPr>
          <w:rFonts w:hint="eastAsia"/>
          <w:color w:val="auto"/>
        </w:rPr>
        <w:t>　　（一）中央企业所属二级分支机构名单发生变化的，中央企业总机构应将调整后情况及分支机构变化情况报送主管税务机关。</w:t>
      </w:r>
      <w:r>
        <w:rPr>
          <w:rFonts w:hint="eastAsia"/>
          <w:color w:val="auto"/>
        </w:rPr>
        <w:br w:type="textWrapping"/>
      </w:r>
      <w:r>
        <w:rPr>
          <w:rFonts w:hint="eastAsia"/>
          <w:color w:val="auto"/>
        </w:rPr>
        <w:t>　　（二）中央企业新增二级及以下分支机构的，二级分支机构应将营业执照和总机构出具的其为二级或二级以下分支机构证明文件，在报送企业所得税预缴申报表时，附送其主管税务机关。</w:t>
      </w:r>
      <w:r>
        <w:rPr>
          <w:rFonts w:hint="eastAsia"/>
          <w:color w:val="auto"/>
        </w:rPr>
        <w:br w:type="textWrapping"/>
      </w:r>
      <w:r>
        <w:rPr>
          <w:rFonts w:hint="eastAsia"/>
          <w:color w:val="auto"/>
        </w:rPr>
        <w:t>　　新增的三级及以下分支机构，应将营业执照和总机构出具的其为三级或三级以下分支机构证明文件，报送其主管税务机关。”</w:t>
      </w:r>
    </w:p>
    <w:p>
      <w:pPr>
        <w:numPr>
          <w:ilvl w:val="0"/>
          <w:numId w:val="4"/>
        </w:numPr>
        <w:ind w:firstLine="472"/>
        <w:rPr>
          <w:color w:val="auto"/>
        </w:rPr>
      </w:pPr>
      <w:r>
        <w:rPr>
          <w:rFonts w:hint="eastAsia"/>
          <w:color w:val="auto"/>
        </w:rPr>
        <w:t>《国家税务总局　财政部　中国人民银行关于非居民企业机构场所汇总缴纳企业所得税有关问题的公告》（国家税务总局公告2019年第12号）第六条</w:t>
      </w:r>
    </w:p>
    <w:p>
      <w:pPr>
        <w:ind w:firstLine="472"/>
        <w:rPr>
          <w:color w:val="auto"/>
        </w:rPr>
      </w:pPr>
      <w:r>
        <w:rPr>
          <w:rFonts w:hint="eastAsia"/>
          <w:color w:val="auto"/>
        </w:rPr>
        <w:t>“汇总纳税的各机构、场所应在首次办理汇总缴纳企业所得税申报时，向所在地主管税务机关报送以下信息资料：</w:t>
      </w:r>
      <w:r>
        <w:rPr>
          <w:rFonts w:hint="eastAsia"/>
          <w:color w:val="auto"/>
        </w:rPr>
        <w:br w:type="textWrapping"/>
      </w:r>
      <w:r>
        <w:rPr>
          <w:rFonts w:hint="eastAsia"/>
          <w:color w:val="auto"/>
        </w:rPr>
        <w:t>　　（一）主要机构、场所名称及纳税人识别号；</w:t>
      </w:r>
      <w:r>
        <w:rPr>
          <w:rFonts w:hint="eastAsia"/>
          <w:color w:val="auto"/>
        </w:rPr>
        <w:br w:type="textWrapping"/>
      </w:r>
      <w:r>
        <w:rPr>
          <w:rFonts w:hint="eastAsia"/>
          <w:color w:val="auto"/>
        </w:rPr>
        <w:t>　　（二）全部被汇总机构、场所名称及纳税人识别号；</w:t>
      </w:r>
      <w:r>
        <w:rPr>
          <w:rFonts w:hint="eastAsia"/>
          <w:color w:val="auto"/>
        </w:rPr>
        <w:br w:type="textWrapping"/>
      </w:r>
      <w:r>
        <w:rPr>
          <w:rFonts w:hint="eastAsia"/>
          <w:color w:val="auto"/>
        </w:rPr>
        <w:t>　　（三）符合汇总缴纳企业所得税条件的财务会计核算制度安排。</w:t>
      </w:r>
      <w:r>
        <w:rPr>
          <w:rFonts w:hint="eastAsia"/>
          <w:color w:val="auto"/>
        </w:rPr>
        <w:br w:type="textWrapping"/>
      </w:r>
      <w:r>
        <w:rPr>
          <w:rFonts w:hint="eastAsia"/>
          <w:color w:val="auto"/>
        </w:rPr>
        <w:t>　　已按上款规定报送的信息资料发生变更的，汇总纳税的各机构、场所应在发生变更后首次办理汇总缴纳企业所得税申报时，向所在地主管税务机关报告变化情况。”</w:t>
      </w:r>
    </w:p>
    <w:p>
      <w:pPr>
        <w:pStyle w:val="3"/>
        <w:numPr>
          <w:ilvl w:val="0"/>
          <w:numId w:val="5"/>
        </w:numPr>
        <w:ind w:firstLine="552"/>
        <w:rPr>
          <w:rFonts w:hint="eastAsia"/>
          <w:color w:val="auto"/>
        </w:rPr>
      </w:pPr>
      <w:r>
        <w:rPr>
          <w:rFonts w:hint="eastAsia"/>
          <w:color w:val="auto"/>
        </w:rPr>
        <w:t>办理材料</w:t>
      </w:r>
    </w:p>
    <w:p>
      <w:pPr>
        <w:ind w:firstLine="472"/>
        <w:rPr>
          <w:rFonts w:hint="eastAsia"/>
          <w:color w:val="auto"/>
        </w:rPr>
      </w:pPr>
      <w:r>
        <w:rPr>
          <w:rFonts w:hint="eastAsia"/>
          <w:color w:val="auto"/>
        </w:rPr>
        <w:t>1.居民企业所得税汇总纳税总分机构信息报告</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beforeAutospacing="0" w:after="100" w:afterAutospacing="0" w:line="280" w:lineRule="exact"/>
              <w:ind w:firstLine="352" w:firstLineChars="0"/>
              <w:rPr>
                <w:rFonts w:cs="宋体"/>
                <w:color w:val="auto"/>
                <w:sz w:val="18"/>
                <w:szCs w:val="18"/>
              </w:rPr>
            </w:pPr>
            <w:r>
              <w:rPr>
                <w:rFonts w:ascii="宋体" w:hAnsi="宋体" w:eastAsia="宋体" w:cs="微软雅黑"/>
                <w:color w:val="auto"/>
                <w:sz w:val="18"/>
                <w:szCs w:val="18"/>
              </w:rPr>
              <w:t>1</w:t>
            </w:r>
          </w:p>
        </w:tc>
        <w:tc>
          <w:tcPr>
            <w:tcW w:w="2551" w:type="dxa"/>
            <w:shd w:val="clear" w:color="auto" w:fill="auto"/>
            <w:vAlign w:val="center"/>
          </w:tcPr>
          <w:p>
            <w:pPr>
              <w:pStyle w:val="13"/>
              <w:widowControl/>
              <w:spacing w:before="100" w:beforeAutospacing="0" w:after="100" w:afterAutospacing="0" w:line="280" w:lineRule="exact"/>
              <w:ind w:firstLine="0" w:firstLineChars="0"/>
              <w:rPr>
                <w:rFonts w:cs="宋体"/>
                <w:color w:val="auto"/>
                <w:sz w:val="18"/>
                <w:szCs w:val="18"/>
              </w:rPr>
            </w:pPr>
            <w:r>
              <w:rPr>
                <w:rFonts w:hint="eastAsia" w:ascii="宋体" w:hAnsi="宋体" w:eastAsia="宋体"/>
                <w:color w:val="auto"/>
                <w:sz w:val="18"/>
                <w:szCs w:val="18"/>
              </w:rPr>
              <w:t>《企业所得税汇总纳税总分机构信息备案表》</w:t>
            </w:r>
          </w:p>
        </w:tc>
        <w:tc>
          <w:tcPr>
            <w:tcW w:w="709" w:type="dxa"/>
            <w:shd w:val="clear" w:color="auto" w:fill="auto"/>
            <w:vAlign w:val="center"/>
          </w:tcPr>
          <w:p>
            <w:pPr>
              <w:pStyle w:val="13"/>
              <w:widowControl/>
              <w:spacing w:before="100" w:beforeAutospacing="0" w:after="100" w:afterAutospacing="0" w:line="280" w:lineRule="exact"/>
              <w:ind w:firstLine="352" w:firstLineChars="0"/>
              <w:rPr>
                <w:rFonts w:cs="宋体"/>
                <w:color w:val="auto"/>
                <w:sz w:val="18"/>
                <w:szCs w:val="18"/>
              </w:rPr>
            </w:pPr>
            <w:r>
              <w:rPr>
                <w:rStyle w:val="17"/>
                <w:rFonts w:hint="eastAsia" w:ascii="宋体" w:hAnsi="宋体" w:eastAsia="宋体" w:cs="微软雅黑"/>
                <w:b w:val="0"/>
                <w:bCs/>
                <w:color w:val="auto"/>
                <w:sz w:val="18"/>
                <w:szCs w:val="18"/>
              </w:rPr>
              <w:t>2</w:t>
            </w:r>
          </w:p>
        </w:tc>
        <w:tc>
          <w:tcPr>
            <w:tcW w:w="992" w:type="dxa"/>
            <w:shd w:val="clear" w:color="auto" w:fill="auto"/>
            <w:vAlign w:val="center"/>
          </w:tcPr>
          <w:p>
            <w:pPr>
              <w:pStyle w:val="13"/>
              <w:widowControl/>
              <w:spacing w:before="100" w:beforeAutospacing="0" w:after="100" w:afterAutospacing="0" w:line="280" w:lineRule="exact"/>
              <w:ind w:firstLine="0" w:firstLineChars="0"/>
              <w:jc w:val="center"/>
              <w:rPr>
                <w:rFonts w:cs="宋体"/>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beforeAutospacing="0" w:after="100" w:afterAutospacing="0" w:line="280" w:lineRule="exact"/>
              <w:ind w:firstLine="352" w:firstLineChars="0"/>
              <w:rPr>
                <w:rFonts w:cs="宋体"/>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ind w:firstLine="352" w:firstLineChars="0"/>
              <w:rPr>
                <w:rFonts w:cs="宋体"/>
                <w:color w:val="auto"/>
                <w:sz w:val="18"/>
                <w:szCs w:val="18"/>
              </w:rPr>
            </w:pPr>
            <w:r>
              <w:rPr>
                <w:rFonts w:ascii="宋体" w:hAnsi="宋体" w:eastAsia="宋体" w:cs="微软雅黑"/>
                <w:color w:val="auto"/>
                <w:sz w:val="18"/>
                <w:szCs w:val="18"/>
              </w:rPr>
              <w:t>2</w:t>
            </w:r>
          </w:p>
        </w:tc>
        <w:tc>
          <w:tcPr>
            <w:tcW w:w="2551" w:type="dxa"/>
            <w:shd w:val="clear" w:color="auto" w:fill="auto"/>
            <w:vAlign w:val="center"/>
          </w:tcPr>
          <w:p>
            <w:pPr>
              <w:pStyle w:val="13"/>
              <w:widowControl/>
              <w:spacing w:before="100" w:beforeAutospacing="0" w:after="100" w:afterAutospacing="0" w:line="280" w:lineRule="exact"/>
              <w:ind w:firstLine="0" w:firstLineChars="0"/>
              <w:rPr>
                <w:rFonts w:cs="宋体"/>
                <w:color w:val="auto"/>
                <w:sz w:val="18"/>
                <w:szCs w:val="18"/>
              </w:rPr>
            </w:pPr>
            <w:r>
              <w:rPr>
                <w:rFonts w:hint="eastAsia" w:ascii="宋体" w:hAnsi="宋体" w:eastAsia="宋体"/>
                <w:color w:val="auto"/>
                <w:sz w:val="18"/>
                <w:szCs w:val="18"/>
              </w:rPr>
              <w:t>营业执照和总机构出具的其为二级或二级以下分支机构证明文件</w:t>
            </w:r>
          </w:p>
        </w:tc>
        <w:tc>
          <w:tcPr>
            <w:tcW w:w="709" w:type="dxa"/>
            <w:shd w:val="clear" w:color="auto" w:fill="auto"/>
            <w:vAlign w:val="center"/>
          </w:tcPr>
          <w:p>
            <w:pPr>
              <w:pStyle w:val="13"/>
              <w:widowControl/>
              <w:spacing w:before="100" w:beforeAutospacing="0" w:after="100" w:afterAutospacing="0" w:line="280" w:lineRule="exact"/>
              <w:ind w:firstLine="352" w:firstLineChars="0"/>
              <w:rPr>
                <w:rFonts w:cs="宋体"/>
                <w:color w:val="auto"/>
                <w:sz w:val="18"/>
                <w:szCs w:val="18"/>
              </w:rPr>
            </w:pPr>
            <w:r>
              <w:rPr>
                <w:rStyle w:val="17"/>
                <w:rFonts w:ascii="宋体" w:hAnsi="宋体" w:eastAsia="宋体" w:cs="微软雅黑"/>
                <w:b w:val="0"/>
                <w:bCs/>
                <w:color w:val="auto"/>
                <w:sz w:val="18"/>
                <w:szCs w:val="18"/>
              </w:rPr>
              <w:t>1</w:t>
            </w:r>
          </w:p>
        </w:tc>
        <w:tc>
          <w:tcPr>
            <w:tcW w:w="992" w:type="dxa"/>
            <w:shd w:val="clear" w:color="auto" w:fill="auto"/>
            <w:vAlign w:val="center"/>
          </w:tcPr>
          <w:p>
            <w:pPr>
              <w:pStyle w:val="13"/>
              <w:widowControl/>
              <w:spacing w:before="100" w:beforeAutospacing="0" w:after="100" w:afterAutospacing="0" w:line="280" w:lineRule="exact"/>
              <w:ind w:firstLine="0" w:firstLineChars="0"/>
              <w:jc w:val="center"/>
              <w:rPr>
                <w:rFonts w:cs="宋体"/>
                <w:color w:val="auto"/>
                <w:sz w:val="18"/>
                <w:szCs w:val="18"/>
              </w:rPr>
            </w:pPr>
            <w:r>
              <w:rPr>
                <w:rFonts w:hint="eastAsia" w:ascii="宋体" w:hAnsi="宋体" w:eastAsia="宋体" w:cs="微软雅黑"/>
                <w:color w:val="auto"/>
                <w:sz w:val="18"/>
                <w:szCs w:val="18"/>
              </w:rPr>
              <w:t>条件</w:t>
            </w:r>
            <w:r>
              <w:rPr>
                <w:rFonts w:ascii="宋体" w:hAnsi="宋体" w:eastAsia="宋体" w:cs="微软雅黑"/>
                <w:color w:val="auto"/>
                <w:sz w:val="18"/>
                <w:szCs w:val="18"/>
              </w:rPr>
              <w:t>报送</w:t>
            </w:r>
          </w:p>
        </w:tc>
        <w:tc>
          <w:tcPr>
            <w:tcW w:w="1134" w:type="dxa"/>
            <w:shd w:val="clear" w:color="auto" w:fill="auto"/>
            <w:vAlign w:val="center"/>
          </w:tcPr>
          <w:p>
            <w:pPr>
              <w:pStyle w:val="13"/>
              <w:widowControl/>
              <w:spacing w:before="100" w:beforeAutospacing="0" w:after="100" w:afterAutospacing="0" w:line="280" w:lineRule="exact"/>
              <w:ind w:firstLine="352" w:firstLineChars="0"/>
              <w:rPr>
                <w:rFonts w:cs="宋体"/>
                <w:color w:val="auto"/>
                <w:sz w:val="18"/>
                <w:szCs w:val="18"/>
              </w:rPr>
            </w:pPr>
            <w:r>
              <w:rPr>
                <w:rFonts w:hint="eastAsia" w:ascii="宋体" w:hAnsi="宋体" w:eastAsia="宋体" w:cs="微软雅黑"/>
                <w:color w:val="auto"/>
                <w:sz w:val="18"/>
                <w:szCs w:val="18"/>
              </w:rPr>
              <w:t>中央企业新增二级及以下分支机构的，二级分支机构报送</w:t>
            </w:r>
          </w:p>
        </w:tc>
        <w:tc>
          <w:tcPr>
            <w:tcW w:w="1134" w:type="dxa"/>
            <w:vAlign w:val="center"/>
          </w:tcPr>
          <w:p>
            <w:pPr>
              <w:pStyle w:val="13"/>
              <w:widowControl/>
              <w:spacing w:before="100" w:beforeAutospacing="0" w:after="100" w:afterAutospacing="0" w:line="280" w:lineRule="exact"/>
              <w:jc w:val="center"/>
              <w:rPr>
                <w:rFonts w:cs="宋体"/>
                <w:color w:val="auto"/>
                <w:sz w:val="18"/>
                <w:szCs w:val="18"/>
              </w:rPr>
            </w:pPr>
            <w:r>
              <w:rPr>
                <w:rFonts w:hint="eastAsia" w:cs="宋体"/>
                <w:color w:val="auto"/>
                <w:sz w:val="18"/>
                <w:szCs w:val="18"/>
              </w:rPr>
              <w:t>税务机关</w:t>
            </w:r>
            <w:r>
              <w:rPr>
                <w:rFonts w:hint="eastAsia" w:ascii="宋体" w:hAnsi="宋体" w:eastAsia="宋体" w:cs="微软雅黑"/>
                <w:color w:val="auto"/>
                <w:sz w:val="18"/>
                <w:szCs w:val="18"/>
              </w:rPr>
              <w:t>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ind w:firstLine="352" w:firstLineChars="0"/>
              <w:rPr>
                <w:rFonts w:cs="宋体"/>
                <w:color w:val="auto"/>
                <w:sz w:val="18"/>
                <w:szCs w:val="18"/>
              </w:rPr>
            </w:pPr>
            <w:r>
              <w:rPr>
                <w:rFonts w:ascii="宋体" w:hAnsi="宋体" w:eastAsia="宋体" w:cs="微软雅黑"/>
                <w:color w:val="auto"/>
                <w:sz w:val="18"/>
                <w:szCs w:val="18"/>
              </w:rPr>
              <w:t>3</w:t>
            </w:r>
          </w:p>
        </w:tc>
        <w:tc>
          <w:tcPr>
            <w:tcW w:w="2551" w:type="dxa"/>
            <w:shd w:val="clear" w:color="auto" w:fill="auto"/>
            <w:vAlign w:val="center"/>
          </w:tcPr>
          <w:p>
            <w:pPr>
              <w:pStyle w:val="13"/>
              <w:widowControl/>
              <w:spacing w:before="100" w:beforeAutospacing="0" w:after="100" w:afterAutospacing="0" w:line="280" w:lineRule="exact"/>
              <w:ind w:firstLine="0" w:firstLineChars="0"/>
              <w:rPr>
                <w:rFonts w:cs="宋体"/>
                <w:color w:val="auto"/>
                <w:sz w:val="18"/>
                <w:szCs w:val="18"/>
              </w:rPr>
            </w:pPr>
            <w:r>
              <w:rPr>
                <w:rFonts w:hint="eastAsia" w:ascii="宋体" w:hAnsi="宋体" w:eastAsia="宋体"/>
                <w:color w:val="auto"/>
                <w:sz w:val="18"/>
                <w:szCs w:val="18"/>
              </w:rPr>
              <w:t>营业执照和总机构出具的其为三级或三级以下分支机构证明文件</w:t>
            </w:r>
          </w:p>
        </w:tc>
        <w:tc>
          <w:tcPr>
            <w:tcW w:w="709" w:type="dxa"/>
            <w:shd w:val="clear" w:color="auto" w:fill="auto"/>
            <w:vAlign w:val="center"/>
          </w:tcPr>
          <w:p>
            <w:pPr>
              <w:pStyle w:val="13"/>
              <w:widowControl/>
              <w:spacing w:before="100" w:beforeAutospacing="0" w:after="100" w:afterAutospacing="0" w:line="280" w:lineRule="exact"/>
              <w:ind w:firstLine="352" w:firstLineChars="0"/>
              <w:rPr>
                <w:rFonts w:cs="宋体"/>
                <w:color w:val="auto"/>
                <w:sz w:val="18"/>
                <w:szCs w:val="18"/>
              </w:rPr>
            </w:pPr>
            <w:r>
              <w:rPr>
                <w:rStyle w:val="17"/>
                <w:rFonts w:ascii="宋体" w:hAnsi="宋体" w:eastAsia="宋体" w:cs="微软雅黑"/>
                <w:b w:val="0"/>
                <w:bCs/>
                <w:color w:val="auto"/>
                <w:sz w:val="18"/>
                <w:szCs w:val="18"/>
              </w:rPr>
              <w:t>1</w:t>
            </w:r>
          </w:p>
        </w:tc>
        <w:tc>
          <w:tcPr>
            <w:tcW w:w="992" w:type="dxa"/>
            <w:shd w:val="clear" w:color="auto" w:fill="auto"/>
            <w:vAlign w:val="center"/>
          </w:tcPr>
          <w:p>
            <w:pPr>
              <w:pStyle w:val="13"/>
              <w:widowControl/>
              <w:spacing w:before="100" w:beforeAutospacing="0" w:after="100" w:afterAutospacing="0" w:line="280" w:lineRule="exact"/>
              <w:ind w:firstLine="0" w:firstLineChars="0"/>
              <w:jc w:val="center"/>
              <w:rPr>
                <w:rFonts w:cs="宋体"/>
                <w:color w:val="auto"/>
                <w:sz w:val="18"/>
                <w:szCs w:val="18"/>
              </w:rPr>
            </w:pPr>
            <w:r>
              <w:rPr>
                <w:rFonts w:hint="eastAsia" w:ascii="宋体" w:hAnsi="宋体" w:eastAsia="宋体" w:cs="微软雅黑"/>
                <w:color w:val="auto"/>
                <w:sz w:val="18"/>
                <w:szCs w:val="18"/>
              </w:rPr>
              <w:t>条件</w:t>
            </w:r>
            <w:r>
              <w:rPr>
                <w:rFonts w:ascii="宋体" w:hAnsi="宋体" w:eastAsia="宋体" w:cs="微软雅黑"/>
                <w:color w:val="auto"/>
                <w:sz w:val="18"/>
                <w:szCs w:val="18"/>
              </w:rPr>
              <w:t>报送</w:t>
            </w:r>
          </w:p>
        </w:tc>
        <w:tc>
          <w:tcPr>
            <w:tcW w:w="1134" w:type="dxa"/>
            <w:shd w:val="clear" w:color="auto" w:fill="auto"/>
            <w:vAlign w:val="center"/>
          </w:tcPr>
          <w:p>
            <w:pPr>
              <w:pStyle w:val="13"/>
              <w:widowControl/>
              <w:spacing w:before="100" w:beforeAutospacing="0" w:after="100" w:afterAutospacing="0" w:line="280" w:lineRule="exact"/>
              <w:ind w:firstLine="352" w:firstLineChars="0"/>
              <w:rPr>
                <w:rFonts w:cs="宋体"/>
                <w:color w:val="auto"/>
                <w:sz w:val="18"/>
                <w:szCs w:val="18"/>
              </w:rPr>
            </w:pPr>
            <w:r>
              <w:rPr>
                <w:rFonts w:hint="eastAsia" w:ascii="宋体" w:hAnsi="宋体" w:eastAsia="宋体" w:cs="微软雅黑"/>
                <w:color w:val="auto"/>
                <w:sz w:val="18"/>
                <w:szCs w:val="18"/>
              </w:rPr>
              <w:t>中央企业新增三级及以下分支机构的，三级分支机构报送</w:t>
            </w:r>
          </w:p>
        </w:tc>
        <w:tc>
          <w:tcPr>
            <w:tcW w:w="1134" w:type="dxa"/>
            <w:vAlign w:val="center"/>
          </w:tcPr>
          <w:p>
            <w:pPr>
              <w:pStyle w:val="13"/>
              <w:widowControl/>
              <w:spacing w:before="100" w:beforeAutospacing="0" w:after="100" w:afterAutospacing="0" w:line="280" w:lineRule="exact"/>
              <w:jc w:val="center"/>
              <w:rPr>
                <w:rFonts w:cs="宋体"/>
                <w:color w:val="auto"/>
                <w:sz w:val="18"/>
                <w:szCs w:val="18"/>
              </w:rPr>
            </w:pPr>
            <w:r>
              <w:rPr>
                <w:rFonts w:hint="eastAsia" w:cs="宋体"/>
                <w:color w:val="auto"/>
                <w:sz w:val="18"/>
                <w:szCs w:val="18"/>
              </w:rPr>
              <w:t>税务机关</w:t>
            </w:r>
            <w:r>
              <w:rPr>
                <w:rFonts w:hint="eastAsia" w:ascii="宋体" w:hAnsi="宋体" w:eastAsia="宋体" w:cs="微软雅黑"/>
                <w:color w:val="auto"/>
                <w:sz w:val="18"/>
                <w:szCs w:val="18"/>
              </w:rPr>
              <w:t>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ind w:firstLine="352" w:firstLineChars="0"/>
              <w:rPr>
                <w:rFonts w:cs="宋体"/>
                <w:color w:val="auto"/>
                <w:sz w:val="18"/>
                <w:szCs w:val="18"/>
              </w:rPr>
            </w:pPr>
            <w:r>
              <w:rPr>
                <w:rFonts w:ascii="宋体" w:hAnsi="宋体" w:eastAsia="宋体" w:cs="微软雅黑"/>
                <w:color w:val="auto"/>
                <w:sz w:val="18"/>
                <w:szCs w:val="18"/>
              </w:rPr>
              <w:t>4</w:t>
            </w:r>
          </w:p>
        </w:tc>
        <w:tc>
          <w:tcPr>
            <w:tcW w:w="2551" w:type="dxa"/>
            <w:shd w:val="clear" w:color="auto" w:fill="auto"/>
            <w:vAlign w:val="center"/>
          </w:tcPr>
          <w:p>
            <w:pPr>
              <w:pStyle w:val="13"/>
              <w:widowControl/>
              <w:spacing w:before="100" w:beforeAutospacing="0" w:after="100" w:afterAutospacing="0" w:line="280" w:lineRule="exact"/>
              <w:ind w:firstLine="0" w:firstLineChars="0"/>
              <w:rPr>
                <w:rFonts w:cs="宋体"/>
                <w:color w:val="auto"/>
                <w:sz w:val="18"/>
                <w:szCs w:val="18"/>
              </w:rPr>
            </w:pPr>
            <w:r>
              <w:rPr>
                <w:rFonts w:hint="eastAsia" w:ascii="宋体" w:hAnsi="宋体" w:eastAsia="宋体"/>
                <w:color w:val="auto"/>
                <w:sz w:val="18"/>
                <w:szCs w:val="18"/>
              </w:rPr>
              <w:t>撤销（注销）二级及以下分支机构情况</w:t>
            </w:r>
          </w:p>
        </w:tc>
        <w:tc>
          <w:tcPr>
            <w:tcW w:w="709" w:type="dxa"/>
            <w:shd w:val="clear" w:color="auto" w:fill="auto"/>
            <w:vAlign w:val="center"/>
          </w:tcPr>
          <w:p>
            <w:pPr>
              <w:pStyle w:val="13"/>
              <w:widowControl/>
              <w:spacing w:before="100" w:beforeAutospacing="0" w:after="100" w:afterAutospacing="0" w:line="280" w:lineRule="exact"/>
              <w:ind w:firstLine="352" w:firstLineChars="0"/>
              <w:rPr>
                <w:rFonts w:cs="宋体"/>
                <w:color w:val="auto"/>
                <w:sz w:val="18"/>
                <w:szCs w:val="18"/>
              </w:rPr>
            </w:pPr>
            <w:r>
              <w:rPr>
                <w:rStyle w:val="17"/>
                <w:rFonts w:ascii="宋体" w:hAnsi="宋体" w:eastAsia="宋体" w:cs="微软雅黑"/>
                <w:b w:val="0"/>
                <w:bCs/>
                <w:color w:val="auto"/>
                <w:sz w:val="18"/>
                <w:szCs w:val="18"/>
              </w:rPr>
              <w:t>1</w:t>
            </w:r>
          </w:p>
        </w:tc>
        <w:tc>
          <w:tcPr>
            <w:tcW w:w="992" w:type="dxa"/>
            <w:shd w:val="clear" w:color="auto" w:fill="auto"/>
            <w:vAlign w:val="center"/>
          </w:tcPr>
          <w:p>
            <w:pPr>
              <w:pStyle w:val="13"/>
              <w:widowControl/>
              <w:spacing w:before="100" w:beforeAutospacing="0" w:after="100" w:afterAutospacing="0" w:line="280" w:lineRule="exact"/>
              <w:ind w:firstLine="0" w:firstLineChars="0"/>
              <w:jc w:val="center"/>
              <w:rPr>
                <w:rFonts w:cs="宋体"/>
                <w:color w:val="auto"/>
                <w:sz w:val="18"/>
                <w:szCs w:val="18"/>
              </w:rPr>
            </w:pPr>
            <w:r>
              <w:rPr>
                <w:rFonts w:hint="eastAsia" w:ascii="宋体" w:hAnsi="宋体" w:eastAsia="宋体" w:cs="微软雅黑"/>
                <w:color w:val="auto"/>
                <w:sz w:val="18"/>
                <w:szCs w:val="18"/>
              </w:rPr>
              <w:t>条件</w:t>
            </w:r>
            <w:r>
              <w:rPr>
                <w:rFonts w:ascii="宋体" w:hAnsi="宋体" w:eastAsia="宋体" w:cs="微软雅黑"/>
                <w:color w:val="auto"/>
                <w:sz w:val="18"/>
                <w:szCs w:val="18"/>
              </w:rPr>
              <w:t>报送</w:t>
            </w:r>
          </w:p>
        </w:tc>
        <w:tc>
          <w:tcPr>
            <w:tcW w:w="1134" w:type="dxa"/>
            <w:shd w:val="clear" w:color="auto" w:fill="auto"/>
            <w:vAlign w:val="center"/>
          </w:tcPr>
          <w:p>
            <w:pPr>
              <w:pStyle w:val="13"/>
              <w:widowControl/>
              <w:spacing w:before="100" w:beforeAutospacing="0" w:after="100" w:afterAutospacing="0" w:line="280" w:lineRule="exact"/>
              <w:ind w:firstLine="352" w:firstLineChars="0"/>
              <w:rPr>
                <w:rFonts w:cs="宋体"/>
                <w:color w:val="auto"/>
                <w:sz w:val="18"/>
                <w:szCs w:val="18"/>
              </w:rPr>
            </w:pPr>
            <w:r>
              <w:rPr>
                <w:rFonts w:hint="eastAsia" w:ascii="宋体" w:hAnsi="宋体" w:eastAsia="宋体" w:cs="微软雅黑"/>
                <w:color w:val="auto"/>
                <w:sz w:val="18"/>
                <w:szCs w:val="18"/>
              </w:rPr>
              <w:t>中央企业撤销（注销）二级及以下分支机构的，二级分支机构报送</w:t>
            </w:r>
          </w:p>
        </w:tc>
        <w:tc>
          <w:tcPr>
            <w:tcW w:w="1134" w:type="dxa"/>
            <w:vAlign w:val="center"/>
          </w:tcPr>
          <w:p>
            <w:pPr>
              <w:pStyle w:val="13"/>
              <w:widowControl/>
              <w:spacing w:before="100" w:beforeAutospacing="0" w:after="100" w:afterAutospacing="0" w:line="280" w:lineRule="exact"/>
              <w:jc w:val="center"/>
              <w:rPr>
                <w:rFonts w:cs="宋体"/>
                <w:color w:val="auto"/>
                <w:sz w:val="18"/>
                <w:szCs w:val="18"/>
              </w:rPr>
            </w:pPr>
            <w:r>
              <w:rPr>
                <w:rFonts w:hint="eastAsia" w:cs="宋体"/>
                <w:color w:val="auto"/>
                <w:sz w:val="18"/>
                <w:szCs w:val="18"/>
              </w:rPr>
              <w:t>税务机关</w:t>
            </w:r>
            <w:r>
              <w:rPr>
                <w:rFonts w:hint="eastAsia" w:ascii="宋体" w:hAnsi="宋体" w:eastAsia="宋体" w:cs="微软雅黑"/>
                <w:color w:val="auto"/>
                <w:sz w:val="18"/>
                <w:szCs w:val="18"/>
              </w:rPr>
              <w:t>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numPr>
          <w:ilvl w:val="0"/>
          <w:numId w:val="6"/>
        </w:numPr>
        <w:ind w:firstLine="471" w:firstLineChars="0"/>
        <w:rPr>
          <w:rFonts w:hint="eastAsia" w:ascii="宋体" w:hAnsi="宋体" w:eastAsia="宋体" w:cs="Times New Roman"/>
          <w:bCs w:val="0"/>
          <w:color w:val="auto"/>
          <w:kern w:val="2"/>
          <w:sz w:val="24"/>
          <w:szCs w:val="22"/>
          <w:lang w:val="en-US" w:eastAsia="zh-CN" w:bidi="ar-SA"/>
        </w:rPr>
      </w:pPr>
      <w:r>
        <w:rPr>
          <w:rFonts w:hint="eastAsia" w:ascii="宋体" w:hAnsi="宋体" w:eastAsia="宋体" w:cs="Times New Roman"/>
          <w:bCs w:val="0"/>
          <w:color w:val="auto"/>
          <w:kern w:val="2"/>
          <w:sz w:val="24"/>
          <w:szCs w:val="22"/>
          <w:lang w:val="en-US" w:eastAsia="zh-CN" w:bidi="ar-SA"/>
        </w:rPr>
        <w:t>非居民企业所得税汇总纳税信息清册记录</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beforeAutospacing="0" w:after="100" w:afterAutospacing="0" w:line="280" w:lineRule="exact"/>
              <w:ind w:firstLine="352" w:firstLineChars="0"/>
              <w:rPr>
                <w:rFonts w:cs="宋体"/>
                <w:color w:val="auto"/>
                <w:sz w:val="18"/>
                <w:szCs w:val="18"/>
              </w:rPr>
            </w:pPr>
            <w:r>
              <w:rPr>
                <w:rFonts w:ascii="宋体" w:hAnsi="宋体" w:eastAsia="宋体" w:cs="微软雅黑"/>
                <w:color w:val="auto"/>
                <w:sz w:val="18"/>
                <w:szCs w:val="18"/>
              </w:rPr>
              <w:t>1</w:t>
            </w:r>
          </w:p>
        </w:tc>
        <w:tc>
          <w:tcPr>
            <w:tcW w:w="2551" w:type="dxa"/>
            <w:shd w:val="clear" w:color="auto" w:fill="auto"/>
            <w:vAlign w:val="center"/>
          </w:tcPr>
          <w:p>
            <w:pPr>
              <w:pStyle w:val="13"/>
              <w:widowControl/>
              <w:spacing w:before="100" w:beforeAutospacing="0" w:after="100" w:afterAutospacing="0" w:line="280" w:lineRule="exact"/>
              <w:ind w:firstLine="0" w:firstLineChars="0"/>
              <w:rPr>
                <w:rFonts w:cs="宋体"/>
                <w:color w:val="auto"/>
                <w:sz w:val="18"/>
                <w:szCs w:val="18"/>
              </w:rPr>
            </w:pPr>
            <w:r>
              <w:rPr>
                <w:rFonts w:hint="eastAsia" w:ascii="宋体" w:hAnsi="宋体" w:eastAsia="宋体"/>
                <w:color w:val="auto"/>
                <w:sz w:val="18"/>
                <w:szCs w:val="18"/>
              </w:rPr>
              <w:t>《非居民企业所得税汇总纳税信息清册》</w:t>
            </w:r>
          </w:p>
        </w:tc>
        <w:tc>
          <w:tcPr>
            <w:tcW w:w="709" w:type="dxa"/>
            <w:shd w:val="clear" w:color="auto" w:fill="auto"/>
            <w:vAlign w:val="center"/>
          </w:tcPr>
          <w:p>
            <w:pPr>
              <w:pStyle w:val="13"/>
              <w:widowControl/>
              <w:spacing w:before="100" w:beforeAutospacing="0" w:after="100" w:afterAutospacing="0" w:line="280" w:lineRule="exact"/>
              <w:ind w:firstLine="352" w:firstLineChars="0"/>
              <w:rPr>
                <w:rFonts w:cs="宋体"/>
                <w:color w:val="auto"/>
                <w:sz w:val="18"/>
                <w:szCs w:val="18"/>
              </w:rPr>
            </w:pPr>
            <w:r>
              <w:rPr>
                <w:rStyle w:val="17"/>
                <w:rFonts w:hint="eastAsia" w:ascii="宋体" w:hAnsi="宋体" w:eastAsia="宋体" w:cs="微软雅黑"/>
                <w:b w:val="0"/>
                <w:bCs/>
                <w:color w:val="auto"/>
                <w:sz w:val="18"/>
                <w:szCs w:val="18"/>
              </w:rPr>
              <w:t>2</w:t>
            </w:r>
          </w:p>
        </w:tc>
        <w:tc>
          <w:tcPr>
            <w:tcW w:w="992" w:type="dxa"/>
            <w:shd w:val="clear" w:color="auto" w:fill="auto"/>
            <w:vAlign w:val="center"/>
          </w:tcPr>
          <w:p>
            <w:pPr>
              <w:pStyle w:val="13"/>
              <w:widowControl/>
              <w:spacing w:before="100" w:beforeAutospacing="0" w:after="100" w:afterAutospacing="0" w:line="280" w:lineRule="exact"/>
              <w:ind w:firstLine="0" w:firstLineChars="0"/>
              <w:jc w:val="center"/>
              <w:rPr>
                <w:rFonts w:cs="宋体"/>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beforeAutospacing="0" w:after="100" w:afterAutospacing="0" w:line="280" w:lineRule="exact"/>
              <w:ind w:firstLine="352" w:firstLineChars="0"/>
              <w:rPr>
                <w:rFonts w:cs="宋体"/>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ind w:firstLine="352" w:firstLineChars="0"/>
              <w:rPr>
                <w:rFonts w:cs="宋体"/>
                <w:color w:val="auto"/>
                <w:sz w:val="18"/>
                <w:szCs w:val="18"/>
              </w:rPr>
            </w:pPr>
            <w:r>
              <w:rPr>
                <w:rFonts w:ascii="宋体" w:hAnsi="宋体" w:eastAsia="宋体" w:cs="微软雅黑"/>
                <w:color w:val="auto"/>
                <w:sz w:val="18"/>
                <w:szCs w:val="18"/>
              </w:rPr>
              <w:t>2</w:t>
            </w:r>
          </w:p>
        </w:tc>
        <w:tc>
          <w:tcPr>
            <w:tcW w:w="2551" w:type="dxa"/>
            <w:shd w:val="clear" w:color="auto" w:fill="auto"/>
            <w:vAlign w:val="center"/>
          </w:tcPr>
          <w:p>
            <w:pPr>
              <w:pStyle w:val="13"/>
              <w:widowControl/>
              <w:spacing w:before="100" w:beforeAutospacing="0" w:after="100" w:afterAutospacing="0" w:line="280" w:lineRule="exact"/>
              <w:ind w:firstLine="0" w:firstLineChars="0"/>
              <w:rPr>
                <w:rFonts w:cs="宋体"/>
                <w:color w:val="auto"/>
                <w:sz w:val="18"/>
                <w:szCs w:val="18"/>
              </w:rPr>
            </w:pPr>
            <w:r>
              <w:rPr>
                <w:rFonts w:hint="eastAsia" w:ascii="宋体" w:hAnsi="宋体" w:cs="Arial"/>
                <w:color w:val="auto"/>
                <w:sz w:val="18"/>
                <w:szCs w:val="18"/>
              </w:rPr>
              <w:t>符合汇总缴纳企业所得税条件的财务会计核算制度安排</w:t>
            </w:r>
          </w:p>
        </w:tc>
        <w:tc>
          <w:tcPr>
            <w:tcW w:w="709" w:type="dxa"/>
            <w:shd w:val="clear" w:color="auto" w:fill="auto"/>
            <w:vAlign w:val="center"/>
          </w:tcPr>
          <w:p>
            <w:pPr>
              <w:pStyle w:val="13"/>
              <w:widowControl/>
              <w:spacing w:before="100" w:beforeAutospacing="0" w:after="100" w:afterAutospacing="0" w:line="280" w:lineRule="exact"/>
              <w:ind w:firstLine="352" w:firstLineChars="0"/>
              <w:rPr>
                <w:rFonts w:cs="宋体"/>
                <w:color w:val="auto"/>
                <w:sz w:val="18"/>
                <w:szCs w:val="18"/>
              </w:rPr>
            </w:pPr>
            <w:r>
              <w:rPr>
                <w:rStyle w:val="17"/>
                <w:rFonts w:ascii="宋体" w:hAnsi="宋体" w:eastAsia="宋体" w:cs="微软雅黑"/>
                <w:b w:val="0"/>
                <w:bCs/>
                <w:color w:val="auto"/>
                <w:sz w:val="18"/>
                <w:szCs w:val="18"/>
              </w:rPr>
              <w:t>1</w:t>
            </w:r>
          </w:p>
        </w:tc>
        <w:tc>
          <w:tcPr>
            <w:tcW w:w="992" w:type="dxa"/>
            <w:shd w:val="clear" w:color="auto" w:fill="auto"/>
            <w:vAlign w:val="center"/>
          </w:tcPr>
          <w:p>
            <w:pPr>
              <w:pStyle w:val="13"/>
              <w:widowControl/>
              <w:spacing w:before="100" w:beforeAutospacing="0" w:after="100" w:afterAutospacing="0" w:line="280" w:lineRule="exact"/>
              <w:ind w:firstLine="0" w:firstLineChars="0"/>
              <w:jc w:val="center"/>
              <w:rPr>
                <w:rFonts w:cs="宋体"/>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beforeAutospacing="0" w:after="100" w:afterAutospacing="0" w:line="280" w:lineRule="exact"/>
              <w:ind w:firstLine="352" w:firstLineChars="0"/>
              <w:rPr>
                <w:rFonts w:cs="宋体"/>
                <w:color w:val="auto"/>
                <w:sz w:val="18"/>
                <w:szCs w:val="18"/>
              </w:rPr>
            </w:pPr>
          </w:p>
        </w:tc>
        <w:tc>
          <w:tcPr>
            <w:tcW w:w="1134" w:type="dxa"/>
            <w:vAlign w:val="center"/>
          </w:tcPr>
          <w:p>
            <w:pPr>
              <w:pStyle w:val="13"/>
              <w:widowControl/>
              <w:spacing w:before="100" w:beforeAutospacing="0" w:after="100" w:afterAutospacing="0" w:line="280" w:lineRule="exact"/>
              <w:jc w:val="center"/>
              <w:rPr>
                <w:rFonts w:cs="宋体"/>
                <w:color w:val="auto"/>
                <w:sz w:val="18"/>
                <w:szCs w:val="18"/>
              </w:rPr>
            </w:pPr>
            <w:r>
              <w:rPr>
                <w:rFonts w:hint="eastAsia" w:cs="宋体"/>
                <w:color w:val="auto"/>
                <w:sz w:val="18"/>
                <w:szCs w:val="18"/>
              </w:rPr>
              <w:t>税务机关</w:t>
            </w:r>
            <w:r>
              <w:rPr>
                <w:rFonts w:hint="eastAsia" w:ascii="宋体" w:hAnsi="宋体" w:eastAsia="宋体" w:cs="微软雅黑"/>
                <w:color w:val="auto"/>
                <w:sz w:val="18"/>
                <w:szCs w:val="18"/>
              </w:rPr>
              <w:t>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numPr>
          <w:ilvl w:val="0"/>
          <w:numId w:val="0"/>
        </w:numPr>
        <w:rPr>
          <w:rFonts w:hint="eastAsia"/>
          <w:color w:val="auto"/>
          <w:lang w:val="en-US" w:eastAsia="zh-CN"/>
        </w:rPr>
      </w:pPr>
    </w:p>
    <w:p>
      <w:pPr>
        <w:pStyle w:val="3"/>
        <w:ind w:firstLine="552"/>
        <w:rPr>
          <w:color w:val="auto"/>
        </w:rPr>
      </w:pPr>
      <w:r>
        <w:rPr>
          <w:rFonts w:hint="eastAsia"/>
          <w:color w:val="auto"/>
        </w:rPr>
        <w:t>六</w:t>
      </w:r>
      <w:r>
        <w:rPr>
          <w:color w:val="auto"/>
        </w:rPr>
        <w:t>、办理流程</w:t>
      </w:r>
    </w:p>
    <w:p>
      <w:pPr>
        <w:spacing w:line="240" w:lineRule="auto"/>
        <w:ind w:left="471" w:firstLine="0" w:firstLineChars="0"/>
        <w:rPr>
          <w:color w:val="auto"/>
        </w:rPr>
      </w:pPr>
      <w:r>
        <w:rPr>
          <w:color w:val="auto"/>
        </w:rPr>
        <w:object>
          <v:shape id="_x0000_i1093" o:spt="75" type="#_x0000_t75" style="height:89.25pt;width:429pt;" o:ole="t" filled="f" o:preferrelative="t" stroked="f" coordsize="21600,21600">
            <v:path/>
            <v:fill on="f" focussize="0,0"/>
            <v:stroke on="f" joinstyle="miter"/>
            <v:imagedata r:id="rId11" o:title=""/>
            <o:lock v:ext="edit" aspectratio="f"/>
            <w10:wrap type="none"/>
            <w10:anchorlock/>
          </v:shape>
          <o:OLEObject Type="Embed" ProgID="Visio.Drawing.11" ShapeID="_x0000_i1093"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eastAsia"/>
          <w:color w:val="auto"/>
        </w:rPr>
      </w:pPr>
      <w:r>
        <w:rPr>
          <w:rFonts w:hint="eastAsia"/>
          <w:color w:val="auto"/>
        </w:rPr>
        <w:t>1.A06612《企业所得税汇总纳税总分机构信息备案表》</w:t>
      </w:r>
    </w:p>
    <w:p>
      <w:pPr>
        <w:ind w:firstLine="472"/>
        <w:rPr>
          <w:rFonts w:hint="eastAsia" w:eastAsia="宋体"/>
          <w:color w:val="auto"/>
          <w:lang w:val="en-US" w:eastAsia="zh-CN"/>
        </w:rPr>
      </w:pPr>
      <w:r>
        <w:rPr>
          <w:rFonts w:hint="eastAsia"/>
          <w:color w:val="auto"/>
          <w:lang w:val="en-US" w:eastAsia="zh-CN"/>
        </w:rPr>
        <w:t>2.</w:t>
      </w:r>
      <w:r>
        <w:rPr>
          <w:rFonts w:hint="eastAsia"/>
          <w:color w:val="auto"/>
        </w:rPr>
        <w:t>A06866《非居民企业所得税汇总纳税信息清册》</w:t>
      </w:r>
    </w:p>
    <w:p>
      <w:pPr>
        <w:pStyle w:val="3"/>
        <w:ind w:firstLine="552"/>
        <w:rPr>
          <w:color w:val="auto"/>
        </w:rPr>
      </w:pPr>
      <w:r>
        <w:rPr>
          <w:rFonts w:hint="eastAsia"/>
          <w:color w:val="auto"/>
        </w:rPr>
        <w:t>九、注意事项</w:t>
      </w:r>
    </w:p>
    <w:p>
      <w:pPr>
        <w:ind w:firstLine="472"/>
        <w:rPr>
          <w:color w:val="auto"/>
        </w:rPr>
      </w:pPr>
      <w:r>
        <w:rPr>
          <w:rFonts w:hint="eastAsia"/>
          <w:color w:val="auto"/>
        </w:rPr>
        <w:t>1.税务机关应将汇总纳税企业总机构、分支机构的税务登记信息、备案信息、总机构出具的分支机构有效证明情况及分支机构审核鉴定情况、企业所得税月（季）度预缴纳税申报表和年度纳税申报表、汇总纳税企业分支机构所得税分配表、财务报表（或年度财务状况和营业收支情况）、企业所得税款入库情况、资产损失情况、税收优惠情况、各分支机构参与企业年度纳税调整情况的说明、税务检查及查补税款分摊和入库情况等信息，定期分省汇总上传至国家税务总局跨地区经营汇总纳税企业管理信息交换平台。</w:t>
      </w:r>
    </w:p>
    <w:p>
      <w:pPr>
        <w:ind w:firstLine="472"/>
        <w:rPr>
          <w:rFonts w:hint="eastAsia" w:eastAsia="宋体"/>
          <w:color w:val="auto"/>
          <w:lang w:eastAsia="zh-CN"/>
        </w:rPr>
      </w:pPr>
      <w:r>
        <w:rPr>
          <w:rFonts w:hint="eastAsia"/>
          <w:color w:val="auto"/>
        </w:rPr>
        <w:t>2.居民企业在中国境内跨地区（指跨省、自治区、直辖市和计划单列市，下同）设立不具有法人资格分支机构的，该居民企业为跨地区经营汇总纳税企业，除另有规定外，其企业所得税征收管理适用《跨地区经营汇总纳税企业所得税征收管理办法》。</w:t>
      </w:r>
    </w:p>
    <w:p>
      <w:pPr>
        <w:ind w:firstLine="472"/>
        <w:jc w:val="left"/>
        <w:rPr>
          <w:color w:val="auto"/>
        </w:rPr>
      </w:pPr>
      <w:r>
        <w:rPr>
          <w:rFonts w:hint="eastAsia"/>
          <w:color w:val="auto"/>
        </w:rPr>
        <w:t>居民企业在中国境内既跨地区设立不具有法人资格分支机构，又在同一地区内设立不具有法人资格分支机构的，其企业所得税征收管理实行《跨地区经营汇总纳税企业所得税征收管理办法》。</w:t>
      </w:r>
    </w:p>
    <w:p>
      <w:pPr>
        <w:ind w:firstLine="472"/>
        <w:jc w:val="left"/>
        <w:rPr>
          <w:color w:val="auto"/>
        </w:rPr>
      </w:pPr>
      <w:r>
        <w:rPr>
          <w:rFonts w:hint="eastAsia"/>
          <w:color w:val="auto"/>
        </w:rPr>
        <w:t>3</w:t>
      </w:r>
      <w:r>
        <w:rPr>
          <w:color w:val="auto"/>
        </w:rPr>
        <w:t>.纳税人对报送资料的真实性和合法性承担责任。</w:t>
      </w:r>
    </w:p>
    <w:p>
      <w:pPr>
        <w:ind w:firstLine="472"/>
        <w:jc w:val="left"/>
        <w:rPr>
          <w:rFonts w:hint="eastAsia"/>
          <w:color w:val="auto"/>
        </w:rPr>
      </w:pPr>
      <w:r>
        <w:rPr>
          <w:rFonts w:hint="eastAsia"/>
          <w:color w:val="auto"/>
        </w:rPr>
        <w:t>4</w:t>
      </w:r>
      <w:r>
        <w:rPr>
          <w:color w:val="auto"/>
        </w:rPr>
        <w:t>.最多跑一次是在资料完整且符合法定受理条件的前提下，最多只需要到税务机关跑一次</w:t>
      </w:r>
      <w:r>
        <w:rPr>
          <w:rFonts w:hint="eastAsia"/>
          <w:color w:val="auto"/>
        </w:rPr>
        <w:t>。</w:t>
      </w:r>
    </w:p>
    <w:p>
      <w:pPr>
        <w:ind w:firstLine="472"/>
        <w:jc w:val="left"/>
        <w:rPr>
          <w:rFonts w:hint="eastAsia"/>
          <w:color w:val="auto"/>
        </w:rPr>
      </w:pPr>
      <w:r>
        <w:rPr>
          <w:rFonts w:hint="eastAsia"/>
          <w:color w:val="auto"/>
          <w:lang w:val="en-US" w:eastAsia="zh-CN"/>
        </w:rPr>
        <w:t>5.</w:t>
      </w:r>
      <w:r>
        <w:rPr>
          <w:rFonts w:hint="eastAsia"/>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1913482"/>
    <w:multiLevelType w:val="singleLevel"/>
    <w:tmpl w:val="A1913482"/>
    <w:lvl w:ilvl="0" w:tentative="0">
      <w:start w:val="5"/>
      <w:numFmt w:val="chineseCounting"/>
      <w:suff w:val="nothing"/>
      <w:lvlText w:val="%1、"/>
      <w:lvlJc w:val="left"/>
      <w:rPr>
        <w:rFonts w:hint="eastAsia"/>
      </w:rPr>
    </w:lvl>
  </w:abstractNum>
  <w:abstractNum w:abstractNumId="1">
    <w:nsid w:val="A5297AC2"/>
    <w:multiLevelType w:val="singleLevel"/>
    <w:tmpl w:val="A5297AC2"/>
    <w:lvl w:ilvl="0" w:tentative="0">
      <w:start w:val="2"/>
      <w:numFmt w:val="decimal"/>
      <w:suff w:val="nothing"/>
      <w:lvlText w:val="%1．"/>
      <w:lvlJc w:val="left"/>
    </w:lvl>
  </w:abstractNum>
  <w:abstractNum w:abstractNumId="2">
    <w:nsid w:val="FE4F18F2"/>
    <w:multiLevelType w:val="singleLevel"/>
    <w:tmpl w:val="FE4F18F2"/>
    <w:lvl w:ilvl="0" w:tentative="0">
      <w:start w:val="2"/>
      <w:numFmt w:val="decimal"/>
      <w:lvlText w:val="%1."/>
      <w:lvlJc w:val="left"/>
      <w:pPr>
        <w:tabs>
          <w:tab w:val="left" w:pos="312"/>
        </w:tabs>
      </w:pPr>
    </w:lvl>
  </w:abstractNum>
  <w:abstractNum w:abstractNumId="3">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4">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13E262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2019-10-31T03:45:54Z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