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16253"/>
      <w:r>
        <w:rPr>
          <w:rFonts w:hint="eastAsia" w:ascii="黑体" w:hAnsi="黑体" w:cs="黑体"/>
          <w:color w:val="auto"/>
        </w:rPr>
        <w:t>1.1.2.1增值税一般纳税人登记</w:t>
      </w:r>
      <w:bookmarkEnd w:id="0"/>
    </w:p>
    <w:p>
      <w:pPr>
        <w:pStyle w:val="3"/>
        <w:ind w:firstLine="552"/>
        <w:rPr>
          <w:color w:val="auto"/>
        </w:rPr>
      </w:pPr>
      <w:r>
        <w:rPr>
          <w:rFonts w:hint="eastAsia"/>
          <w:color w:val="auto"/>
        </w:rPr>
        <w:t>一、事项名称</w:t>
      </w:r>
    </w:p>
    <w:p>
      <w:pPr>
        <w:ind w:firstLine="472"/>
        <w:rPr>
          <w:color w:val="auto"/>
        </w:rPr>
      </w:pPr>
      <w:r>
        <w:rPr>
          <w:rFonts w:hint="eastAsia"/>
          <w:color w:val="auto"/>
        </w:rPr>
        <w:t>增值税一般纳税人登记</w:t>
      </w:r>
    </w:p>
    <w:p>
      <w:pPr>
        <w:pStyle w:val="3"/>
        <w:ind w:firstLine="552"/>
        <w:rPr>
          <w:color w:val="auto"/>
        </w:rPr>
      </w:pPr>
      <w:r>
        <w:rPr>
          <w:rFonts w:hint="eastAsia"/>
          <w:color w:val="auto"/>
        </w:rPr>
        <w:t>二、事项类别</w:t>
      </w:r>
    </w:p>
    <w:p>
      <w:pPr>
        <w:numPr>
          <w:ilvl w:val="0"/>
          <w:numId w:val="3"/>
        </w:numPr>
        <w:ind w:left="0" w:firstLine="420" w:firstLineChars="0"/>
        <w:rPr>
          <w:color w:val="auto"/>
        </w:rPr>
      </w:pPr>
      <w:r>
        <w:rPr>
          <w:rFonts w:hint="eastAsia"/>
          <w:color w:val="auto"/>
        </w:rPr>
        <w:t>发起方式：人工</w:t>
      </w:r>
      <w:r>
        <w:rPr>
          <w:color w:val="auto"/>
        </w:rPr>
        <w:t>发起（</w:t>
      </w:r>
      <w:r>
        <w:rPr>
          <w:rFonts w:hint="eastAsia"/>
          <w:color w:val="auto"/>
        </w:rPr>
        <w:t>纳税人）</w:t>
      </w:r>
    </w:p>
    <w:p>
      <w:pPr>
        <w:numPr>
          <w:ilvl w:val="0"/>
          <w:numId w:val="3"/>
        </w:numPr>
        <w:ind w:left="0" w:firstLine="420" w:firstLineChars="0"/>
        <w:rPr>
          <w:color w:val="auto"/>
        </w:rPr>
      </w:pPr>
      <w:r>
        <w:rPr>
          <w:rFonts w:hint="eastAsia"/>
          <w:color w:val="auto"/>
        </w:rPr>
        <w:t>办结方式：即办</w:t>
      </w:r>
    </w:p>
    <w:p>
      <w:pPr>
        <w:numPr>
          <w:ilvl w:val="0"/>
          <w:numId w:val="3"/>
        </w:numPr>
        <w:ind w:left="0" w:firstLine="420" w:firstLineChars="0"/>
        <w:rPr>
          <w:color w:val="auto"/>
        </w:rPr>
      </w:pPr>
      <w:r>
        <w:rPr>
          <w:rFonts w:hint="eastAsia"/>
          <w:color w:val="auto"/>
        </w:rPr>
        <w:t>全省通办：是</w:t>
      </w:r>
    </w:p>
    <w:p>
      <w:pPr>
        <w:numPr>
          <w:ilvl w:val="0"/>
          <w:numId w:val="3"/>
        </w:numPr>
        <w:ind w:left="0" w:firstLine="420" w:firstLineChars="0"/>
        <w:rPr>
          <w:color w:val="auto"/>
        </w:rPr>
      </w:pPr>
      <w:r>
        <w:rPr>
          <w:rFonts w:hint="eastAsia"/>
          <w:color w:val="auto"/>
        </w:rPr>
        <w:t>网上办理：是</w:t>
      </w:r>
    </w:p>
    <w:p>
      <w:pPr>
        <w:numPr>
          <w:ilvl w:val="0"/>
          <w:numId w:val="3"/>
        </w:numPr>
        <w:ind w:left="0" w:firstLine="420"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rFonts w:hint="eastAsia"/>
          <w:color w:val="auto"/>
        </w:rPr>
        <w:t>三、办理条件</w:t>
      </w:r>
    </w:p>
    <w:p>
      <w:pPr>
        <w:ind w:firstLine="472"/>
        <w:rPr>
          <w:rFonts w:hint="eastAsia"/>
          <w:color w:val="auto"/>
        </w:rPr>
      </w:pPr>
      <w:r>
        <w:rPr>
          <w:rFonts w:hint="eastAsia"/>
          <w:color w:val="auto"/>
        </w:rPr>
        <w:t>增值税一般纳税人资格实行登记制，登记事项由增值税纳税人向其主管税务机关办理。</w:t>
      </w:r>
    </w:p>
    <w:p>
      <w:pPr>
        <w:ind w:firstLine="472"/>
        <w:rPr>
          <w:rFonts w:hint="eastAsia"/>
          <w:color w:val="auto"/>
        </w:rPr>
      </w:pPr>
      <w:r>
        <w:rPr>
          <w:rFonts w:hint="eastAsia"/>
          <w:color w:val="auto"/>
        </w:rPr>
        <w:t>（一）增值税纳税人，年应税销售额超过财政部、国家税务总局规定的小规模纳税人标准的，除特殊规定外，应当向主管税务机关办理一般纳税人登记。</w:t>
      </w:r>
    </w:p>
    <w:p>
      <w:pPr>
        <w:ind w:firstLine="472"/>
        <w:rPr>
          <w:rFonts w:hint="eastAsia"/>
          <w:color w:val="auto"/>
        </w:rPr>
      </w:pPr>
      <w:r>
        <w:rPr>
          <w:rFonts w:hint="eastAsia"/>
          <w:color w:val="auto"/>
        </w:rPr>
        <w:t>年应税销售额，是指纳税人在连续不超过12个月或四个季度的经营期内累计应征增值税销售额，包括纳税申报销售额、稽查查补销售额、纳税评估调整销售额、税务机关代开发票销售额和免税销售额。稽查查补销售额和纳税评估调整销售额计入查补税款申报当月（或当季）的销售额，不计入税款所属期销售额。</w:t>
      </w:r>
    </w:p>
    <w:p>
      <w:pPr>
        <w:ind w:firstLine="472"/>
        <w:rPr>
          <w:rFonts w:hint="eastAsia"/>
          <w:color w:val="auto"/>
        </w:rPr>
      </w:pPr>
      <w:r>
        <w:rPr>
          <w:rFonts w:hint="eastAsia"/>
          <w:color w:val="auto"/>
        </w:rPr>
        <w:t>财政部和国家税务总局规定的增值税一般纳税人和小规模纳税人的划分标准：增值税小规模纳税人标准为年应征增值税销售额500万元及以下。</w:t>
      </w:r>
    </w:p>
    <w:p>
      <w:pPr>
        <w:ind w:firstLine="472"/>
        <w:rPr>
          <w:rFonts w:hint="eastAsia"/>
          <w:color w:val="auto"/>
        </w:rPr>
      </w:pPr>
      <w:r>
        <w:rPr>
          <w:rFonts w:hint="eastAsia"/>
          <w:color w:val="auto"/>
        </w:rPr>
        <w:t>（二）年应税销售额未超过规定标准的纳税人，能够提供准确税务资料的，可以向主管税务机关办理一般纳税人登记。</w:t>
      </w:r>
    </w:p>
    <w:p>
      <w:pPr>
        <w:ind w:firstLine="472"/>
        <w:rPr>
          <w:rFonts w:hint="eastAsia"/>
          <w:color w:val="auto"/>
        </w:rPr>
      </w:pPr>
      <w:r>
        <w:rPr>
          <w:rFonts w:hint="eastAsia"/>
          <w:color w:val="auto"/>
        </w:rPr>
        <w:t>（三）航空运输企业、电信企业总机构及其分支机构和从事成品油销售的加油站，一律由主管税务机关登记为增值税一般纳税人。</w:t>
      </w:r>
    </w:p>
    <w:p>
      <w:pPr>
        <w:ind w:firstLine="472"/>
        <w:rPr>
          <w:rFonts w:hint="eastAsia"/>
          <w:color w:val="auto"/>
        </w:rPr>
      </w:pPr>
      <w:r>
        <w:rPr>
          <w:rFonts w:hint="eastAsia"/>
          <w:color w:val="auto"/>
        </w:rPr>
        <w:t>（四）按照营改增有关规定，应税行为有扣除项目的试点纳税人，其应税行为年应税销售额按未扣除之前的销售额计算。</w:t>
      </w:r>
    </w:p>
    <w:p>
      <w:pPr>
        <w:ind w:firstLine="472"/>
        <w:rPr>
          <w:rFonts w:hint="eastAsia"/>
          <w:color w:val="auto"/>
        </w:rPr>
      </w:pPr>
      <w:r>
        <w:rPr>
          <w:rFonts w:hint="eastAsia"/>
          <w:color w:val="auto"/>
        </w:rPr>
        <w:t>（五）纳税人偶然发生的转让不动产的销售额，不计入应税行为年应税销售额。</w:t>
      </w:r>
    </w:p>
    <w:p>
      <w:pPr>
        <w:ind w:firstLine="472"/>
        <w:rPr>
          <w:rFonts w:hint="eastAsia"/>
          <w:color w:val="auto"/>
        </w:rPr>
      </w:pPr>
      <w:r>
        <w:rPr>
          <w:rFonts w:hint="eastAsia"/>
          <w:color w:val="auto"/>
        </w:rPr>
        <w:t>（六）纳税人自一般纳税人生效之日起，按照增值税一般计税方法计算应纳税额，并可以按照规定领用增值税专用发票，财政部、国家税务总局另有规定的除外。生效之日，是指纳税人办理登记的当月1日或者次月1日，由纳税人在办理登记手续时自行选择。</w:t>
      </w:r>
    </w:p>
    <w:p>
      <w:pPr>
        <w:ind w:firstLine="472"/>
        <w:rPr>
          <w:rFonts w:hint="eastAsia"/>
          <w:color w:val="auto"/>
        </w:rPr>
      </w:pPr>
      <w:r>
        <w:rPr>
          <w:rFonts w:hint="eastAsia"/>
          <w:color w:val="auto"/>
        </w:rPr>
        <w:t>（七）下列纳税人不办理一般纳税人登记：</w:t>
      </w:r>
    </w:p>
    <w:p>
      <w:pPr>
        <w:ind w:firstLine="472"/>
        <w:rPr>
          <w:rFonts w:hint="eastAsia"/>
          <w:color w:val="auto"/>
        </w:rPr>
      </w:pPr>
      <w:r>
        <w:rPr>
          <w:rFonts w:hint="eastAsia"/>
          <w:color w:val="auto"/>
        </w:rPr>
        <w:t>1.按照政策规定，选择按照小规模纳税人纳税的；</w:t>
      </w:r>
    </w:p>
    <w:p>
      <w:pPr>
        <w:ind w:firstLine="472"/>
        <w:rPr>
          <w:color w:val="auto"/>
        </w:rPr>
      </w:pPr>
      <w:r>
        <w:rPr>
          <w:rFonts w:hint="eastAsia"/>
          <w:color w:val="auto"/>
        </w:rPr>
        <w:t>2.年应税销售额超过规定标准的其他个人。其他个人指自然人。</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《增值税一般纳税人登记管理办法》（国家税务总局令第43号公布）第二条第一款、第三条第一款</w:t>
      </w:r>
    </w:p>
    <w:p>
      <w:pPr>
        <w:ind w:firstLine="472"/>
        <w:rPr>
          <w:rFonts w:hint="eastAsia"/>
          <w:color w:val="auto"/>
          <w:lang w:eastAsia="zh-CN"/>
        </w:rPr>
      </w:pPr>
      <w:r>
        <w:rPr>
          <w:rFonts w:hint="eastAsia"/>
          <w:color w:val="auto"/>
          <w:lang w:eastAsia="zh-CN"/>
        </w:rPr>
        <w:t>“增值税纳税人（以下简称“纳税人”），年应税销售额超过财政部、国家税务总局规定的小规模纳税人标准（以下简称“规定标准”）的，除本办法第四条规定外，应当向主管税务机关办理一般纳税人登记。</w:t>
      </w:r>
    </w:p>
    <w:p>
      <w:pPr>
        <w:ind w:firstLine="472"/>
        <w:rPr>
          <w:rFonts w:hint="eastAsia"/>
          <w:color w:val="auto"/>
          <w:lang w:eastAsia="zh-CN"/>
        </w:rPr>
      </w:pPr>
      <w:r>
        <w:rPr>
          <w:rFonts w:hint="eastAsia"/>
          <w:color w:val="auto"/>
          <w:lang w:eastAsia="zh-CN"/>
        </w:rPr>
        <w:t>本办法所称年应税销售额，是指纳税人在连续不超过12个月或4个季度的经营期内累计应征增值税销售额，包括纳税申报销售额、稽查查补销售额、纳税评估调整销售额。</w:t>
      </w:r>
    </w:p>
    <w:p>
      <w:pPr>
        <w:ind w:firstLine="472"/>
        <w:rPr>
          <w:rFonts w:hint="eastAsia"/>
          <w:color w:val="auto"/>
          <w:lang w:eastAsia="zh-CN"/>
        </w:rPr>
      </w:pPr>
      <w:r>
        <w:rPr>
          <w:rFonts w:hint="eastAsia"/>
          <w:color w:val="auto"/>
          <w:lang w:eastAsia="zh-CN"/>
        </w:rPr>
        <w:t>销售服务、无形资产或者不动产（以下简称“应税行为”）有扣除项目的纳税人，其应税行为年应税销售额按未扣除之前的销售额计算。纳税人偶然发生的销售无形资产、转让不动产的销售额，不计入应税行为年应税销售额。”</w:t>
      </w:r>
    </w:p>
    <w:p>
      <w:pPr>
        <w:ind w:firstLine="472"/>
        <w:rPr>
          <w:rFonts w:hint="eastAsia"/>
          <w:color w:val="auto"/>
          <w:lang w:eastAsia="zh-CN"/>
        </w:rPr>
      </w:pPr>
      <w:r>
        <w:rPr>
          <w:rFonts w:hint="eastAsia"/>
          <w:color w:val="auto"/>
          <w:lang w:eastAsia="zh-CN"/>
        </w:rPr>
        <w:t>“年应税销售额未超过规定标准的纳税人，会计核算健全，能够提供准确税务资料的，可以向主管税务机关办理一般纳税人登记。</w:t>
      </w:r>
    </w:p>
    <w:p>
      <w:pPr>
        <w:ind w:firstLine="472"/>
        <w:rPr>
          <w:rFonts w:hint="eastAsia"/>
          <w:color w:val="auto"/>
          <w:lang w:eastAsia="zh-CN"/>
        </w:rPr>
      </w:pPr>
      <w:r>
        <w:rPr>
          <w:rFonts w:hint="eastAsia"/>
          <w:color w:val="auto"/>
          <w:lang w:eastAsia="zh-CN"/>
        </w:rPr>
        <w:t>本办法所称会计核算健全，是指能够按照国家统一的会计制度规定设置账簿，根据合法、有效凭证进行核算。”</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tcBorders>
              <w:top w:val="single" w:color="auto" w:sz="12" w:space="0"/>
            </w:tcBorders>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tcBorders>
              <w:top w:val="single" w:color="auto" w:sz="12" w:space="0"/>
            </w:tcBorders>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2551" w:type="dxa"/>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《增值税一般纳税人登记表》</w:t>
            </w:r>
          </w:p>
        </w:tc>
        <w:tc>
          <w:tcPr>
            <w:tcW w:w="709"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w:t>
            </w:r>
            <w:r>
              <w:rPr>
                <w:rFonts w:hint="eastAsia" w:cs="宋体"/>
                <w:color w:val="auto"/>
                <w:kern w:val="0"/>
                <w:sz w:val="18"/>
                <w:szCs w:val="18"/>
              </w:rPr>
              <w:t>份</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2551" w:type="dxa"/>
            <w:tcBorders>
              <w:bottom w:val="single" w:color="auto" w:sz="12" w:space="0"/>
            </w:tcBorders>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《税务登记证》副本，或者加载统一社会信用代码的营业执照副本</w:t>
            </w:r>
          </w:p>
        </w:tc>
        <w:tc>
          <w:tcPr>
            <w:tcW w:w="709"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992"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tcBorders>
              <w:bottom w:val="single" w:color="auto" w:sz="12" w:space="0"/>
            </w:tcBorders>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六、办理流程</w:t>
      </w:r>
    </w:p>
    <w:p>
      <w:pPr>
        <w:spacing w:line="240" w:lineRule="auto"/>
        <w:ind w:left="0" w:leftChars="0" w:firstLine="0" w:firstLineChars="0"/>
        <w:rPr>
          <w:color w:val="auto"/>
        </w:rPr>
      </w:pPr>
    </w:p>
    <w:p>
      <w:pPr>
        <w:spacing w:line="240" w:lineRule="auto"/>
        <w:ind w:left="472" w:firstLine="0" w:firstLineChars="0"/>
        <w:rPr>
          <w:color w:val="auto"/>
        </w:rPr>
      </w:pPr>
    </w:p>
    <w:p>
      <w:pPr>
        <w:spacing w:line="240" w:lineRule="auto"/>
        <w:ind w:left="472" w:firstLine="0" w:firstLineChars="0"/>
        <w:rPr>
          <w:color w:val="auto"/>
        </w:rPr>
      </w:pPr>
      <w:r>
        <w:rPr>
          <w:color w:val="auto"/>
        </w:rPr>
        <w:object>
          <v:shape id="_x0000_i1026" o:spt="75" type="#_x0000_t75" style="height:90pt;width:426pt;" o:ole="t" filled="f" o:preferrelative="t" stroked="f" coordsize="21600,21600">
            <v:path/>
            <v:fill on="f" focussize="0,0"/>
            <v:stroke on="f"/>
            <v:imagedata r:id="rId11" o:title=""/>
            <o:lock v:ext="edit" aspectratio="f"/>
            <w10:wrap type="none"/>
            <w10:anchorlock/>
          </v:shape>
          <o:OLEObject Type="Embed" ProgID="Visio.Drawing.11" ShapeID="_x0000_i102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color w:val="auto"/>
        </w:rPr>
        <w:t>1.</w:t>
      </w:r>
      <w:r>
        <w:rPr>
          <w:rFonts w:hint="eastAsia"/>
          <w:color w:val="auto"/>
        </w:rPr>
        <w:t>A01057《增值税一般纳税人登记表》(A01057《增值税一般纳税人登记表》（填写样例）)</w:t>
      </w:r>
    </w:p>
    <w:p>
      <w:pPr>
        <w:pStyle w:val="3"/>
        <w:ind w:firstLine="552"/>
        <w:rPr>
          <w:color w:val="auto"/>
        </w:rPr>
      </w:pPr>
      <w:r>
        <w:rPr>
          <w:rFonts w:hint="eastAsia"/>
          <w:color w:val="auto"/>
        </w:rPr>
        <w:t>九、注意事项</w:t>
      </w:r>
    </w:p>
    <w:p>
      <w:pPr>
        <w:rPr>
          <w:rFonts w:hint="eastAsia"/>
          <w:color w:val="auto"/>
        </w:rPr>
      </w:pPr>
      <w:r>
        <w:rPr>
          <w:color w:val="auto"/>
        </w:rPr>
        <w:t>1.</w:t>
      </w:r>
      <w:r>
        <w:rPr>
          <w:rFonts w:hint="eastAsia"/>
          <w:color w:val="auto"/>
        </w:rPr>
        <w:t>纳税人税务登记证件上不再加盖“增值税一般纳税人”戳记。《增值税一般纳税人登记表》可以作为证明纳税人具备增值税一般纳税人资格的凭据。其中：“税务登记证件”，包括纳税人领取的由工商行政管理部门核发的加载法人和其他组织统一社会信用代码的营业执照。</w:t>
      </w:r>
    </w:p>
    <w:p>
      <w:pPr>
        <w:ind w:firstLine="472"/>
        <w:rPr>
          <w:rFonts w:hint="eastAsia"/>
          <w:color w:val="auto"/>
        </w:rPr>
      </w:pPr>
      <w:r>
        <w:rPr>
          <w:rFonts w:hint="eastAsia"/>
          <w:color w:val="auto"/>
        </w:rPr>
        <w:t>2.增值税纳税人年应税销售额超过规定标准的，除符合有关规定选择按小规模纳税人纳税的，在申报期结束后15日内按照规定向主管税务机关办理一般纳税人登记手续；未按规定时限办理的，主管税务机关在规定期限结束后5日内制发《税务事项通知书》，告知纳税人在5日内向主管税务机关办理登记手续。规定期限的最后一日是法定休假日的，以休假日期满的次日为期限的最后一日；在期限内有连续3日以上(含3日)法定休假日的，按休假日天数顺延。</w:t>
      </w:r>
    </w:p>
    <w:p>
      <w:pPr>
        <w:ind w:firstLine="472"/>
        <w:rPr>
          <w:rFonts w:hint="eastAsia"/>
          <w:color w:val="auto"/>
        </w:rPr>
      </w:pPr>
      <w:r>
        <w:rPr>
          <w:rFonts w:hint="eastAsia"/>
          <w:color w:val="auto"/>
        </w:rPr>
        <w:t>3.符合增值税一般纳税人条件的纳税人，应当向主管税务机关申请增值税一般纳税人登记，未申请登记的，应当按照销售额和增值税税率计算应纳税额，不得抵扣进项税额，也不得使用增值税专用发票（含税控机动车销售统一发票）。</w:t>
      </w:r>
    </w:p>
    <w:p>
      <w:pPr>
        <w:ind w:firstLine="472"/>
        <w:rPr>
          <w:color w:val="auto"/>
        </w:rPr>
      </w:pPr>
      <w:r>
        <w:rPr>
          <w:rFonts w:hint="eastAsia"/>
          <w:color w:val="auto"/>
        </w:rPr>
        <w:t>4.除国家税务总局另有规定外，纳税人一经登记为增值税一般纳税人后，不得转为小规模纳税人。</w:t>
      </w:r>
    </w:p>
    <w:p>
      <w:pPr>
        <w:ind w:firstLine="472"/>
        <w:rPr>
          <w:color w:val="auto"/>
        </w:rPr>
      </w:pPr>
      <w:r>
        <w:rPr>
          <w:rFonts w:hint="eastAsia"/>
          <w:color w:val="auto"/>
          <w:lang w:val="en-US" w:eastAsia="zh-CN"/>
        </w:rPr>
        <w:t>5</w:t>
      </w:r>
      <w:r>
        <w:rPr>
          <w:color w:val="auto"/>
        </w:rPr>
        <w:t>.</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6</w:t>
      </w:r>
      <w:r>
        <w:rPr>
          <w:color w:val="auto"/>
        </w:rPr>
        <w:t>.</w:t>
      </w:r>
      <w:r>
        <w:rPr>
          <w:rFonts w:hint="eastAsia"/>
          <w:color w:val="auto"/>
        </w:rPr>
        <w:t>最多跑一次是在资料完整且符合法定受理条件的前提下，最多只需要到税务机关跑一次。</w:t>
      </w:r>
    </w:p>
    <w:p>
      <w:pPr>
        <w:ind w:firstLine="472"/>
        <w:jc w:val="left"/>
        <w:rPr>
          <w:rFonts w:hint="eastAsia" w:eastAsia="宋体"/>
          <w:color w:val="auto"/>
          <w:lang w:val="en-US" w:eastAsia="zh-CN"/>
        </w:rPr>
      </w:pPr>
      <w:r>
        <w:rPr>
          <w:rFonts w:hint="eastAsia"/>
          <w:color w:val="auto"/>
          <w:lang w:val="en-US" w:eastAsia="zh-CN"/>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74C2D17"/>
    <w:multiLevelType w:val="singleLevel"/>
    <w:tmpl w:val="774C2D17"/>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055E9C"/>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2019-10-31T03:28:21Z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