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cs="黑体"/>
          <w:color w:val="auto"/>
        </w:rPr>
      </w:pPr>
      <w:bookmarkStart w:id="1" w:name="_GoBack"/>
      <w:bookmarkEnd w:id="1"/>
      <w:bookmarkStart w:id="0" w:name="_Toc8565"/>
      <w:r>
        <w:rPr>
          <w:rFonts w:hint="eastAsia" w:ascii="黑体" w:hAnsi="黑体" w:cs="黑体"/>
          <w:color w:val="auto"/>
        </w:rPr>
        <w:t>1.1.3.1存款账户账号报告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存款账户账号报告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全省通办：是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 w:eastAsia="黑体" w:asciiTheme="majorHAnsi" w:hAnsiTheme="majorHAnsi" w:cstheme="majorBidi"/>
          <w:bCs/>
          <w:color w:val="auto"/>
          <w:sz w:val="28"/>
          <w:szCs w:val="32"/>
          <w:lang w:eastAsia="zh-CN"/>
        </w:rPr>
        <w:t>办理条件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存款账户账号报告是指从事生产、经营的纳税人应当自开立基本存款账户或者其他存款账户之日起15日内，向主管税务机关书面报告其全部存款账户账号；发生变化的，应当自发生变化之日起15日内，向主管税务机关书面报告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《中华人民共和国税收征收管理法》第十七条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从事生产、经营的纳税人应当按照国家有关规定，持税务登记证件，在银行或者其他金融机构开立基本存款帐户和其他存款帐户，并将其全部帐号向税务机关报告。银行和其他金融机构应当在从事生产、经营的纳税人的帐户中登录税务登记证件号码，并在税务登记证件中登录从事生产、经营的纳税人的帐户帐号。税务机关依法查询从事生产、经营的纳税人开立帐户的情况时，有关银行和其他金融机构应当予以协助</w:t>
      </w:r>
      <w:r>
        <w:rPr>
          <w:rFonts w:hint="eastAsia"/>
          <w:color w:val="auto"/>
          <w:lang w:eastAsia="zh-CN"/>
        </w:rPr>
        <w:t>。”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《纳税人存款账户账号报告表》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b w:val="0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352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  <w:lang w:eastAsia="zh-CN"/>
              </w:rPr>
              <w:t>税务机关</w:t>
            </w: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账户、账号开立证明复印件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  <w:lang w:eastAsia="zh-CN"/>
              </w:rPr>
              <w:t>税务机关</w:t>
            </w: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《社会保险费缴费人存款账户账号报告表》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社保费缴费人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  <w:lang w:eastAsia="zh-CN"/>
              </w:rPr>
              <w:t>税务机关</w:t>
            </w: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ind w:left="472" w:firstLine="0" w:firstLineChars="0"/>
        <w:rPr>
          <w:color w:val="auto"/>
        </w:rPr>
      </w:pPr>
      <w:r>
        <w:rPr>
          <w:color w:val="auto"/>
        </w:rPr>
        <w:pict>
          <v:shape id="_x0000_s1029" o:spid="_x0000_s1029" o:spt="75" type="#_x0000_t75" style="position:absolute;left:0pt;margin-left:8.6pt;margin-top:16.6pt;height:104.45pt;width:439.3pt;mso-wrap-distance-bottom:0pt;mso-wrap-distance-left:9pt;mso-wrap-distance-right:9pt;mso-wrap-distance-top:0pt;z-index:25166950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f"/>
            <w10:wrap type="square"/>
          </v:shape>
          <o:OLEObject Type="Embed" ProgID="Visio.Drawing.11" ShapeID="_x0000_s1029" DrawAspect="Content" ObjectID="_1468075725" r:id="rId10">
            <o:LockedField>false</o:LockedField>
          </o:OLEObject>
        </w:pi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</w:rPr>
        <w:t>1.</w:t>
      </w:r>
      <w:r>
        <w:rPr>
          <w:rFonts w:hint="eastAsia" w:ascii="宋体" w:hAnsi="宋体" w:eastAsia="宋体"/>
          <w:color w:val="auto"/>
        </w:rPr>
        <w:t>A01037</w:t>
      </w:r>
      <w:r>
        <w:rPr>
          <w:rFonts w:hint="eastAsia"/>
          <w:color w:val="auto"/>
        </w:rPr>
        <w:t>《纳税人存款账户账号报告表》</w:t>
      </w:r>
      <w:r>
        <w:rPr>
          <w:rFonts w:hint="eastAsia"/>
          <w:color w:val="auto"/>
          <w:lang w:val="en-US" w:eastAsia="zh-CN"/>
        </w:rPr>
        <w:t>(A01037《纳税人存款账户账号报告表》（填写样例）)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1.纳税人自开立或变更基本存款账户或者其他存款账户之日起15日内，未向主管税务机关书面报告其全部存款账户账号，由税务机关责令限期改正，可以处二千元以下的罚款；情节严重的，处二千元以上一万元以下的罚款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2.纳税人通过电子税务局等渠道提交电子资料的免于报送纸质资料。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3.纳税人将存款账户账号信息向主管税务机关报告后，提醒纳税人签订三方协议，便于后续申报纳税的顺利进行。同时，当纳税人存款账户变更内容涉及三方协议信息的，提示纳税人是否变更三方协议。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.纳税人对报送资料的真实性和合法性承担责任。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5</w:t>
      </w:r>
      <w:r>
        <w:rPr>
          <w:rFonts w:hint="eastAsia"/>
          <w:color w:val="auto"/>
        </w:rPr>
        <w:t>.最多跑一次是在资料完整且符合法定受理条件的前提下，最多只需要到税务机关跑一次。</w:t>
      </w:r>
    </w:p>
    <w:p>
      <w:pPr>
        <w:ind w:firstLine="472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6.</w:t>
      </w:r>
      <w:r>
        <w:rPr>
          <w:rFonts w:hint="eastAsia"/>
          <w:color w:val="auto"/>
        </w:rPr>
        <w:t>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</w:t>
      </w:r>
      <w:r>
        <w:rPr>
          <w:rFonts w:hint="eastAsia"/>
          <w:color w:val="auto"/>
          <w:lang w:eastAsia="zh-CN"/>
        </w:rPr>
        <w:t>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646BFCC1"/>
    <w:multiLevelType w:val="singleLevel"/>
    <w:tmpl w:val="646BFCC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54C45A4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2019-10-31T03:31:02Z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