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10101"/>
      <w:r>
        <w:rPr>
          <w:rFonts w:hint="eastAsia" w:ascii="黑体" w:hAnsi="黑体" w:cs="黑体"/>
          <w:color w:val="auto"/>
        </w:rPr>
        <w:t>2.5.1.3汇算清缴结算多缴退抵税</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汇算清缴结算多缴退抵税</w:t>
      </w:r>
    </w:p>
    <w:p>
      <w:pPr>
        <w:pStyle w:val="3"/>
        <w:ind w:firstLine="552"/>
        <w:rPr>
          <w:color w:val="auto"/>
        </w:rPr>
      </w:pPr>
      <w:r>
        <w:rPr>
          <w:rFonts w:hint="eastAsia"/>
          <w:color w:val="auto"/>
        </w:rPr>
        <w:t>二、事项类别</w:t>
      </w:r>
    </w:p>
    <w:p>
      <w:pPr>
        <w:pStyle w:val="49"/>
        <w:numPr>
          <w:ilvl w:val="0"/>
          <w:numId w:val="3"/>
        </w:numPr>
        <w:ind w:left="0" w:firstLine="480"/>
        <w:contextualSpacing/>
        <w:rPr>
          <w:color w:val="auto"/>
        </w:rPr>
      </w:pPr>
      <w:r>
        <w:rPr>
          <w:rFonts w:hint="eastAsia"/>
          <w:color w:val="auto"/>
        </w:rPr>
        <w:t>发起方式：人工发起（纳税人）</w:t>
      </w:r>
    </w:p>
    <w:p>
      <w:pPr>
        <w:pStyle w:val="49"/>
        <w:numPr>
          <w:ilvl w:val="0"/>
          <w:numId w:val="3"/>
        </w:numPr>
        <w:ind w:left="0" w:firstLine="480"/>
        <w:contextualSpacing/>
        <w:rPr>
          <w:color w:val="auto"/>
        </w:rPr>
      </w:pPr>
      <w:r>
        <w:rPr>
          <w:rFonts w:hint="eastAsia"/>
          <w:color w:val="auto"/>
        </w:rPr>
        <w:t>办结方式：限时办结</w:t>
      </w:r>
    </w:p>
    <w:p>
      <w:pPr>
        <w:pStyle w:val="49"/>
        <w:numPr>
          <w:ilvl w:val="0"/>
          <w:numId w:val="3"/>
        </w:numPr>
        <w:ind w:left="0" w:firstLine="480"/>
        <w:contextualSpacing/>
        <w:rPr>
          <w:color w:val="auto"/>
        </w:rPr>
      </w:pPr>
      <w:r>
        <w:rPr>
          <w:rFonts w:hint="eastAsia"/>
          <w:color w:val="auto"/>
        </w:rPr>
        <w:t>全省通办：否</w:t>
      </w:r>
    </w:p>
    <w:p>
      <w:pPr>
        <w:pStyle w:val="49"/>
        <w:numPr>
          <w:ilvl w:val="0"/>
          <w:numId w:val="3"/>
        </w:numPr>
        <w:ind w:left="0" w:firstLine="480"/>
        <w:contextualSpacing/>
        <w:rPr>
          <w:color w:val="auto"/>
        </w:rPr>
      </w:pPr>
      <w:r>
        <w:rPr>
          <w:rFonts w:hint="eastAsia"/>
          <w:color w:val="auto"/>
        </w:rPr>
        <w:t>网上办理：是</w:t>
      </w:r>
    </w:p>
    <w:p>
      <w:pPr>
        <w:pStyle w:val="49"/>
        <w:numPr>
          <w:ilvl w:val="0"/>
          <w:numId w:val="3"/>
        </w:numPr>
        <w:ind w:left="0" w:firstLine="480"/>
        <w:contextualSpacing/>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rFonts w:hint="eastAsia"/>
          <w:color w:val="auto"/>
        </w:rPr>
        <w:t>三、</w:t>
      </w:r>
      <w:r>
        <w:rPr>
          <w:rFonts w:hint="eastAsia"/>
          <w:color w:val="auto"/>
          <w:lang w:eastAsia="zh-CN"/>
        </w:rPr>
        <w:t>办理条件</w:t>
      </w:r>
    </w:p>
    <w:p>
      <w:pPr>
        <w:ind w:firstLine="472"/>
        <w:rPr>
          <w:rFonts w:hint="eastAsia"/>
          <w:color w:val="auto"/>
        </w:rPr>
      </w:pPr>
      <w:r>
        <w:rPr>
          <w:rFonts w:hint="eastAsia"/>
          <w:color w:val="auto"/>
        </w:rPr>
        <w:t>汇算清缴结算多缴退抵税，指按照分期预缴、按期汇算结算的征管方式，对纳税人应清算形成的多缴税款办理退抵税费。</w:t>
      </w:r>
    </w:p>
    <w:p>
      <w:pPr>
        <w:ind w:firstLine="472"/>
        <w:rPr>
          <w:rFonts w:hint="eastAsia"/>
          <w:color w:val="auto"/>
        </w:rPr>
      </w:pPr>
      <w:r>
        <w:rPr>
          <w:rFonts w:hint="eastAsia"/>
          <w:color w:val="auto"/>
        </w:rPr>
        <w:t>1.以下业务也属于汇算清缴结算多缴退抵税：</w:t>
      </w:r>
    </w:p>
    <w:p>
      <w:pPr>
        <w:ind w:firstLine="472"/>
        <w:rPr>
          <w:rFonts w:hint="eastAsia"/>
          <w:color w:val="auto"/>
        </w:rPr>
      </w:pPr>
      <w:r>
        <w:rPr>
          <w:rFonts w:hint="eastAsia"/>
          <w:color w:val="auto"/>
        </w:rPr>
        <w:t>“营改增”试点纳税人提供应税服务，按照国家有关营业税政策规定差额征收营业税的，因取得的全部价款和价外费用不足以抵减允许扣除项目金额，截至本地区试点实施之日尚未扣除的部分，不得在计算试点纳税人本地区试点实施之日后的销售额时予以抵减，应当向原主管税务机关申请退还营业税。</w:t>
      </w:r>
    </w:p>
    <w:p>
      <w:pPr>
        <w:ind w:firstLine="472"/>
        <w:rPr>
          <w:rFonts w:hint="eastAsia"/>
          <w:color w:val="auto"/>
        </w:rPr>
      </w:pPr>
      <w:r>
        <w:rPr>
          <w:rFonts w:hint="eastAsia"/>
          <w:color w:val="auto"/>
        </w:rPr>
        <w:t>纳税人在批准临时占用耕地的期限内恢复所占耕地原状的，全额退还已缴纳的耕地占用税业务应通过“汇算清缴结算退税”办理。</w:t>
      </w:r>
    </w:p>
    <w:p>
      <w:pPr>
        <w:ind w:firstLine="472"/>
        <w:rPr>
          <w:rFonts w:hint="eastAsia"/>
          <w:color w:val="auto"/>
        </w:rPr>
      </w:pPr>
      <w:r>
        <w:rPr>
          <w:rFonts w:hint="eastAsia"/>
          <w:color w:val="auto"/>
        </w:rPr>
        <w:t>对房产税、城镇土地税税源信息修改，以及增值税、消费税申报税款小于预缴税款，导致发生多缴税款业务场景，均属于对申报税款的结算，提退类型应是“汇算清缴结算退税”。</w:t>
      </w:r>
    </w:p>
    <w:p>
      <w:pPr>
        <w:ind w:firstLine="472"/>
        <w:rPr>
          <w:color w:val="auto"/>
        </w:rPr>
      </w:pPr>
      <w:r>
        <w:rPr>
          <w:rFonts w:hint="eastAsia"/>
          <w:color w:val="auto"/>
        </w:rPr>
        <w:t>2.对已缴纳契税的购房单位和个人，在未办理房屋权属变更登记前退房的，退还已纳契税；在办理房屋权属变更登记后退房的，不予退还已纳契税。</w:t>
      </w:r>
    </w:p>
    <w:p>
      <w:pPr>
        <w:pStyle w:val="3"/>
        <w:ind w:firstLine="552"/>
        <w:rPr>
          <w:color w:val="auto"/>
        </w:rPr>
      </w:pPr>
      <w:r>
        <w:rPr>
          <w:rFonts w:hint="eastAsia"/>
          <w:color w:val="auto"/>
        </w:rPr>
        <w:t>四、设定依据</w:t>
      </w:r>
    </w:p>
    <w:p>
      <w:pPr>
        <w:ind w:firstLine="472"/>
        <w:rPr>
          <w:rFonts w:hint="eastAsia"/>
          <w:color w:val="auto"/>
        </w:rPr>
      </w:pPr>
      <w:r>
        <w:rPr>
          <w:color w:val="auto"/>
        </w:rPr>
        <w:t>1.</w:t>
      </w:r>
      <w:r>
        <w:rPr>
          <w:rFonts w:hint="eastAsia"/>
          <w:color w:val="auto"/>
        </w:rPr>
        <w:t>《中华人民共和国税收征收管理法》第五十一条</w:t>
      </w:r>
    </w:p>
    <w:p>
      <w:pPr>
        <w:ind w:firstLine="472"/>
        <w:rPr>
          <w:rFonts w:hint="eastAsia" w:eastAsia="宋体"/>
          <w:color w:val="auto"/>
          <w:lang w:eastAsia="zh-CN"/>
        </w:rPr>
      </w:pPr>
      <w:r>
        <w:rPr>
          <w:rFonts w:hint="eastAsia"/>
          <w:color w:val="auto"/>
          <w:lang w:eastAsia="zh-CN"/>
        </w:rPr>
        <w:t>“</w:t>
      </w:r>
      <w:r>
        <w:rPr>
          <w:rFonts w:hint="eastAsia"/>
          <w:color w:val="auto"/>
        </w:rPr>
        <w:t>纳税人超过应纳税额缴纳的税款，税务机关发现后应当立即退还；纳税人自结算缴纳税款之日起三年内发现的，可以向税务机关要求退还多缴的税款并加算银行同期存款利息，税务机关及时查实后应当立即退还；涉及从国库中退库的，依照法律、行政法规有关国库管理的规定退还。</w:t>
      </w:r>
      <w:r>
        <w:rPr>
          <w:rFonts w:hint="eastAsia"/>
          <w:color w:val="auto"/>
          <w:lang w:eastAsia="zh-CN"/>
        </w:rPr>
        <w:t>”</w:t>
      </w:r>
    </w:p>
    <w:p>
      <w:pPr>
        <w:numPr>
          <w:ilvl w:val="0"/>
          <w:numId w:val="5"/>
        </w:numPr>
        <w:ind w:firstLine="472"/>
        <w:rPr>
          <w:rFonts w:hint="eastAsia"/>
          <w:color w:val="auto"/>
        </w:rPr>
      </w:pPr>
      <w:r>
        <w:rPr>
          <w:rFonts w:hint="eastAsia"/>
          <w:color w:val="auto"/>
        </w:rPr>
        <w:t>《中华人民共和国税收征收管理法实施细则》第七十八条、第七十九条</w:t>
      </w:r>
    </w:p>
    <w:p>
      <w:pPr>
        <w:numPr>
          <w:ilvl w:val="0"/>
          <w:numId w:val="0"/>
        </w:numPr>
        <w:ind w:firstLine="472" w:firstLineChars="200"/>
        <w:rPr>
          <w:rFonts w:hint="eastAsia"/>
          <w:color w:val="auto"/>
        </w:rPr>
      </w:pPr>
      <w:r>
        <w:rPr>
          <w:rFonts w:hint="eastAsia"/>
          <w:color w:val="auto"/>
          <w:lang w:eastAsia="zh-CN"/>
        </w:rPr>
        <w:t>“</w:t>
      </w:r>
      <w:r>
        <w:rPr>
          <w:rFonts w:hint="eastAsia"/>
          <w:color w:val="auto"/>
        </w:rPr>
        <w:t>第七十八条税务机关发现纳税人多缴税款的，应当自发现之日起10日内办理退还手续；纳税人发现多缴税款，要求退还的，税务机关应当自接到纳税人退还申请之日起30日内查实并办理退还手续。</w:t>
      </w:r>
    </w:p>
    <w:p>
      <w:pPr>
        <w:ind w:firstLine="472"/>
        <w:rPr>
          <w:rFonts w:hint="eastAsia"/>
          <w:color w:val="auto"/>
        </w:rPr>
      </w:pPr>
      <w:r>
        <w:rPr>
          <w:rFonts w:hint="eastAsia"/>
          <w:color w:val="auto"/>
        </w:rPr>
        <w:t>税收征管法第五十一条规定的加算银行同期存款利息的多缴税款退税，不包括依法预缴税款形成的结算退税、出口退税和各种减免退税。</w:t>
      </w:r>
    </w:p>
    <w:p>
      <w:pPr>
        <w:ind w:firstLine="472"/>
        <w:rPr>
          <w:rFonts w:hint="eastAsia"/>
          <w:color w:val="auto"/>
        </w:rPr>
      </w:pPr>
      <w:r>
        <w:rPr>
          <w:rFonts w:hint="eastAsia"/>
          <w:color w:val="auto"/>
        </w:rPr>
        <w:t>退税利息按照税务机关办理退税手续当天中国人民银行规定的活期存款利率计算。</w:t>
      </w:r>
    </w:p>
    <w:p>
      <w:pPr>
        <w:ind w:firstLine="472"/>
        <w:rPr>
          <w:rFonts w:hint="eastAsia" w:eastAsia="宋体"/>
          <w:color w:val="auto"/>
          <w:lang w:eastAsia="zh-CN"/>
        </w:rPr>
      </w:pPr>
      <w:r>
        <w:rPr>
          <w:rFonts w:hint="eastAsia"/>
          <w:color w:val="auto"/>
        </w:rPr>
        <w:t>第七十九条当纳税人既有应退税款又有欠缴税款的，税务机关可以将应退税款和利息先抵扣欠缴税款；抵扣后有余额的，退还纳税人。</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2551" w:type="dxa"/>
            <w:vAlign w:val="center"/>
          </w:tcPr>
          <w:p>
            <w:pPr>
              <w:widowControl/>
              <w:spacing w:line="280" w:lineRule="exact"/>
              <w:ind w:firstLine="0" w:firstLineChars="0"/>
              <w:contextualSpacing/>
              <w:jc w:val="left"/>
              <w:rPr>
                <w:rFonts w:cs="宋体"/>
                <w:color w:val="auto"/>
                <w:kern w:val="0"/>
                <w:sz w:val="18"/>
                <w:szCs w:val="18"/>
              </w:rPr>
            </w:pPr>
            <w:r>
              <w:rPr>
                <w:rFonts w:cs="宋体"/>
                <w:color w:val="auto"/>
                <w:kern w:val="0"/>
                <w:sz w:val="18"/>
                <w:szCs w:val="18"/>
              </w:rPr>
              <w:t>《退（抵）税申请表》</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必报</w:t>
            </w:r>
          </w:p>
        </w:tc>
        <w:tc>
          <w:tcPr>
            <w:tcW w:w="1134" w:type="dxa"/>
            <w:vAlign w:val="center"/>
          </w:tcPr>
          <w:p>
            <w:pPr>
              <w:widowControl/>
              <w:spacing w:line="280" w:lineRule="exact"/>
              <w:ind w:firstLine="0" w:firstLineChars="0"/>
              <w:contextualSpacing/>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2</w:t>
            </w:r>
          </w:p>
        </w:tc>
        <w:tc>
          <w:tcPr>
            <w:tcW w:w="2551" w:type="dxa"/>
            <w:vAlign w:val="center"/>
          </w:tcPr>
          <w:p>
            <w:pPr>
              <w:widowControl/>
              <w:spacing w:line="280" w:lineRule="exact"/>
              <w:ind w:firstLine="0" w:firstLineChars="0"/>
              <w:contextualSpacing/>
              <w:jc w:val="left"/>
              <w:rPr>
                <w:rFonts w:cs="宋体"/>
                <w:color w:val="auto"/>
                <w:kern w:val="0"/>
                <w:sz w:val="18"/>
                <w:szCs w:val="18"/>
              </w:rPr>
            </w:pPr>
            <w:r>
              <w:rPr>
                <w:rFonts w:cs="宋体"/>
                <w:color w:val="auto"/>
                <w:kern w:val="0"/>
                <w:sz w:val="18"/>
                <w:szCs w:val="18"/>
              </w:rPr>
              <w:t>完税费（缴款）凭证复印件，复印件上应当注明“与原件一致”，并加盖单位公章</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992"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对税收征管系统中可以查询到纳税申报表、税款缴库等电子信息的，可以不再通过纸质资料复核</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3</w:t>
            </w:r>
          </w:p>
        </w:tc>
        <w:tc>
          <w:tcPr>
            <w:tcW w:w="2551" w:type="dxa"/>
            <w:vAlign w:val="center"/>
          </w:tcPr>
          <w:p>
            <w:pPr>
              <w:widowControl/>
              <w:spacing w:line="280" w:lineRule="exact"/>
              <w:ind w:firstLine="0" w:firstLineChars="0"/>
              <w:contextualSpacing/>
              <w:jc w:val="left"/>
              <w:rPr>
                <w:rFonts w:hint="eastAsia" w:cs="宋体"/>
                <w:color w:val="auto"/>
                <w:kern w:val="0"/>
                <w:sz w:val="18"/>
                <w:szCs w:val="18"/>
              </w:rPr>
            </w:pPr>
            <w:r>
              <w:rPr>
                <w:rFonts w:hint="eastAsia"/>
                <w:color w:val="auto"/>
                <w:kern w:val="0"/>
                <w:sz w:val="18"/>
                <w:szCs w:val="18"/>
              </w:rPr>
              <w:t>税务机关认可的记载应退税款内容的资料</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必报</w:t>
            </w:r>
          </w:p>
        </w:tc>
        <w:tc>
          <w:tcPr>
            <w:tcW w:w="1134" w:type="dxa"/>
            <w:vAlign w:val="center"/>
          </w:tcPr>
          <w:p>
            <w:pPr>
              <w:widowControl/>
              <w:spacing w:line="280" w:lineRule="exact"/>
              <w:ind w:firstLine="0" w:firstLineChars="0"/>
              <w:contextualSpacing/>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4</w:t>
            </w:r>
          </w:p>
        </w:tc>
        <w:tc>
          <w:tcPr>
            <w:tcW w:w="2551" w:type="dxa"/>
            <w:vAlign w:val="center"/>
          </w:tcPr>
          <w:p>
            <w:pPr>
              <w:widowControl/>
              <w:spacing w:line="280" w:lineRule="exact"/>
              <w:ind w:firstLine="0" w:firstLineChars="0"/>
              <w:contextualSpacing/>
              <w:jc w:val="left"/>
              <w:rPr>
                <w:rFonts w:hint="eastAsia" w:cs="宋体"/>
                <w:color w:val="auto"/>
                <w:kern w:val="0"/>
                <w:sz w:val="18"/>
                <w:szCs w:val="18"/>
              </w:rPr>
            </w:pPr>
            <w:r>
              <w:rPr>
                <w:rFonts w:hint="eastAsia"/>
                <w:color w:val="auto"/>
                <w:kern w:val="0"/>
                <w:sz w:val="18"/>
                <w:szCs w:val="18"/>
              </w:rPr>
              <w:t>房地产企业是否存在后续开发项目的说明</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因土地增值税清算原因导致多缴企业所得税的退税</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5</w:t>
            </w:r>
          </w:p>
        </w:tc>
        <w:tc>
          <w:tcPr>
            <w:tcW w:w="2551" w:type="dxa"/>
            <w:vAlign w:val="center"/>
          </w:tcPr>
          <w:p>
            <w:pPr>
              <w:widowControl/>
              <w:spacing w:line="280" w:lineRule="exact"/>
              <w:ind w:firstLine="0" w:firstLineChars="0"/>
              <w:contextualSpacing/>
              <w:jc w:val="left"/>
              <w:rPr>
                <w:rFonts w:hint="eastAsia" w:cs="宋体"/>
                <w:color w:val="auto"/>
                <w:kern w:val="0"/>
                <w:sz w:val="18"/>
                <w:szCs w:val="18"/>
              </w:rPr>
            </w:pPr>
            <w:r>
              <w:rPr>
                <w:rFonts w:hint="eastAsia"/>
                <w:color w:val="auto"/>
                <w:kern w:val="0"/>
                <w:sz w:val="18"/>
                <w:szCs w:val="18"/>
              </w:rPr>
              <w:t>房地产项目缴纳的土地增值税总额、项目销售收入总额、项目年度销售收入额、各年度应分摊的土地增值税和已经税前扣除的土地增值税、各年度的适用税率的书面说明</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因土地增值税清算原因导致多缴企业所得税的退税</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6</w:t>
            </w:r>
          </w:p>
        </w:tc>
        <w:tc>
          <w:tcPr>
            <w:tcW w:w="2551" w:type="dxa"/>
            <w:tcBorders>
              <w:bottom w:val="single" w:color="auto" w:sz="12" w:space="0"/>
            </w:tcBorders>
            <w:vAlign w:val="center"/>
          </w:tcPr>
          <w:p>
            <w:pPr>
              <w:widowControl/>
              <w:spacing w:line="280" w:lineRule="exact"/>
              <w:ind w:firstLine="0" w:firstLineChars="0"/>
              <w:contextualSpacing/>
              <w:jc w:val="left"/>
              <w:rPr>
                <w:rFonts w:hint="eastAsia" w:cs="宋体"/>
                <w:color w:val="auto"/>
                <w:kern w:val="0"/>
                <w:sz w:val="18"/>
                <w:szCs w:val="18"/>
              </w:rPr>
            </w:pPr>
            <w:r>
              <w:rPr>
                <w:rFonts w:hint="eastAsia" w:cs="宋体"/>
                <w:color w:val="auto"/>
                <w:kern w:val="0"/>
                <w:sz w:val="18"/>
                <w:szCs w:val="18"/>
              </w:rPr>
              <w:t>由于特殊情况不能退至纳税人、扣缴义务人原缴款账户的书面说明，证明资料，和指定接受退税的账户及接受退税单位（人）名称的资料。</w:t>
            </w:r>
          </w:p>
        </w:tc>
        <w:tc>
          <w:tcPr>
            <w:tcW w:w="709" w:type="dxa"/>
            <w:tcBorders>
              <w:bottom w:val="single" w:color="auto" w:sz="12" w:space="0"/>
            </w:tcBorders>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tcBorders>
              <w:bottom w:val="single" w:color="auto" w:sz="12" w:space="0"/>
            </w:tcBorders>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条件报送</w:t>
            </w:r>
          </w:p>
        </w:tc>
        <w:tc>
          <w:tcPr>
            <w:tcW w:w="1134" w:type="dxa"/>
            <w:tcBorders>
              <w:bottom w:val="single" w:color="auto" w:sz="12" w:space="0"/>
            </w:tcBorders>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由于特殊情况不能退至纳税人、扣缴义务人原缴款账户的</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left="472" w:firstLine="0" w:firstLineChars="0"/>
        <w:rPr>
          <w:color w:val="auto"/>
        </w:rPr>
      </w:pPr>
      <w:r>
        <w:rPr>
          <w:color w:val="auto"/>
        </w:rPr>
        <w:object>
          <v:shape id="_x0000_i1165" o:spt="75" type="#_x0000_t75" style="height:203.15pt;width:442.35pt;" o:ole="t" filled="f" o:preferrelative="t" stroked="f" coordsize="21600,21600">
            <v:path/>
            <v:fill on="f" focussize="0,0"/>
            <v:stroke on="f"/>
            <v:imagedata r:id="rId11" o:title=""/>
            <o:lock v:ext="edit" aspectratio="t"/>
            <w10:wrap type="none"/>
            <w10:anchorlock/>
          </v:shape>
          <o:OLEObject Type="Embed" ProgID="Visio.Drawing.11" ShapeID="_x0000_i1165"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val="en-US" w:eastAsia="zh-CN"/>
        </w:rPr>
        <w:t>7个工作日</w:t>
      </w:r>
      <w:r>
        <w:rPr>
          <w:rFonts w:hint="eastAsia"/>
          <w:color w:val="auto"/>
        </w:rPr>
        <w:t>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A07112《退（抵）税申请表》(A07112《退（抵）税申请表》（填写样例）)</w:t>
      </w:r>
    </w:p>
    <w:p>
      <w:pPr>
        <w:pStyle w:val="3"/>
        <w:ind w:firstLine="552"/>
        <w:rPr>
          <w:color w:val="auto"/>
        </w:rPr>
      </w:pPr>
      <w:r>
        <w:rPr>
          <w:rFonts w:hint="eastAsia"/>
          <w:color w:val="auto"/>
        </w:rPr>
        <w:t>九、注意事项</w:t>
      </w:r>
    </w:p>
    <w:p>
      <w:pPr>
        <w:ind w:firstLine="472"/>
        <w:rPr>
          <w:rFonts w:hint="eastAsia"/>
          <w:color w:val="auto"/>
          <w:lang w:val="en-US" w:eastAsia="zh-CN"/>
        </w:rPr>
      </w:pPr>
      <w:r>
        <w:rPr>
          <w:rFonts w:hint="eastAsia"/>
          <w:color w:val="auto"/>
          <w:lang w:val="en-US" w:eastAsia="zh-CN"/>
        </w:rPr>
        <w:t>1.除出口退税以外，纳税人既有应退税款又有欠缴税款的，税务机关可以将纳税人的应退税款和利息先抵扣欠缴的税款；抵扣后有余额的，办理应退余额的退库。</w:t>
      </w:r>
    </w:p>
    <w:p>
      <w:pPr>
        <w:ind w:firstLine="472"/>
        <w:rPr>
          <w:rFonts w:hint="eastAsia" w:eastAsia="宋体"/>
          <w:color w:val="auto"/>
          <w:lang w:val="en-US" w:eastAsia="zh-CN"/>
        </w:rPr>
      </w:pPr>
      <w:r>
        <w:rPr>
          <w:rFonts w:hint="eastAsia"/>
          <w:color w:val="auto"/>
          <w:lang w:val="en-US" w:eastAsia="zh-CN"/>
        </w:rPr>
        <w:t>2.税务机关发现纳税人多缴税款的，应当立即核实应退税额、账户等相关情况，通知纳税人或扣缴义务人提交退税申请。纳税人发现多缴税款要求退还的，税务机关自接到纳税人或扣缴义务人退税申请之日起按规定流程查实并办理退库手续。</w:t>
      </w:r>
    </w:p>
    <w:p>
      <w:pPr>
        <w:ind w:firstLine="472"/>
        <w:rPr>
          <w:color w:val="auto"/>
        </w:rPr>
      </w:pPr>
      <w:r>
        <w:rPr>
          <w:rFonts w:hint="eastAsia"/>
          <w:color w:val="auto"/>
          <w:lang w:val="en-US" w:eastAsia="zh-CN"/>
        </w:rPr>
        <w:t>3</w:t>
      </w:r>
      <w:r>
        <w:rPr>
          <w:color w:val="auto"/>
        </w:rPr>
        <w:t>.</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4</w:t>
      </w:r>
      <w:r>
        <w:rPr>
          <w:color w:val="auto"/>
        </w:rPr>
        <w:t>.</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5</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C5699B"/>
    <w:multiLevelType w:val="singleLevel"/>
    <w:tmpl w:val="BFC5699B"/>
    <w:lvl w:ilvl="0" w:tentative="0">
      <w:start w:val="2"/>
      <w:numFmt w:val="decimal"/>
      <w:lvlText w:val="%1."/>
      <w:lvlJc w:val="left"/>
      <w:pPr>
        <w:tabs>
          <w:tab w:val="left" w:pos="312"/>
        </w:tabs>
      </w:pPr>
    </w:lvl>
  </w:abstractNum>
  <w:abstractNum w:abstractNumId="1">
    <w:nsid w:val="15E94814"/>
    <w:multiLevelType w:val="multilevel"/>
    <w:tmpl w:val="15E94814"/>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58B0495"/>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2019-10-31T05:09:24Z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