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 w:cs="黑体"/>
          <w:color w:val="auto"/>
        </w:rPr>
      </w:pPr>
      <w:bookmarkStart w:id="1" w:name="_GoBack"/>
      <w:bookmarkEnd w:id="1"/>
      <w:bookmarkStart w:id="0" w:name="_Toc17399"/>
      <w:r>
        <w:rPr>
          <w:rFonts w:hint="eastAsia" w:ascii="黑体" w:hAnsi="黑体" w:cs="黑体"/>
          <w:color w:val="auto"/>
        </w:rPr>
        <w:t>1.1.2.15增值税适用加计抵减政策声明</w:t>
      </w:r>
      <w:bookmarkEnd w:id="0"/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一、事项名称</w:t>
      </w:r>
    </w:p>
    <w:p>
      <w:pPr>
        <w:pStyle w:val="47"/>
        <w:numPr>
          <w:ilvl w:val="0"/>
          <w:numId w:val="0"/>
        </w:numPr>
        <w:ind w:firstLine="472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增值税适用加计抵减政策声明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二、事项类别</w:t>
      </w:r>
    </w:p>
    <w:p>
      <w:pPr>
        <w:pStyle w:val="49"/>
        <w:numPr>
          <w:ilvl w:val="0"/>
          <w:numId w:val="3"/>
        </w:numPr>
        <w:spacing w:line="578" w:lineRule="exact"/>
        <w:ind w:left="0" w:firstLine="472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发起方式：人工发起（纳税人）</w:t>
      </w:r>
    </w:p>
    <w:p>
      <w:pPr>
        <w:pStyle w:val="49"/>
        <w:numPr>
          <w:ilvl w:val="0"/>
          <w:numId w:val="3"/>
        </w:numPr>
        <w:spacing w:line="578" w:lineRule="exact"/>
        <w:ind w:left="0" w:firstLine="472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办结方式：即办</w:t>
      </w:r>
    </w:p>
    <w:p>
      <w:pPr>
        <w:pStyle w:val="49"/>
        <w:numPr>
          <w:ilvl w:val="0"/>
          <w:numId w:val="3"/>
        </w:numPr>
        <w:spacing w:line="578" w:lineRule="exact"/>
        <w:ind w:left="0" w:firstLine="472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全省通办：是</w:t>
      </w:r>
    </w:p>
    <w:p>
      <w:pPr>
        <w:pStyle w:val="49"/>
        <w:numPr>
          <w:ilvl w:val="0"/>
          <w:numId w:val="3"/>
        </w:numPr>
        <w:spacing w:line="578" w:lineRule="exact"/>
        <w:ind w:left="0" w:firstLine="472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网上办理：是</w:t>
      </w:r>
    </w:p>
    <w:p>
      <w:pPr>
        <w:pStyle w:val="49"/>
        <w:numPr>
          <w:ilvl w:val="0"/>
          <w:numId w:val="3"/>
        </w:numPr>
        <w:spacing w:line="578" w:lineRule="exact"/>
        <w:ind w:left="0" w:firstLine="472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适用层级：县（市、区）级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三、</w:t>
      </w:r>
      <w:r>
        <w:rPr>
          <w:rFonts w:hint="eastAsia" w:ascii="等线 Light" w:hAnsi="等线 Light" w:eastAsia="黑体" w:cs="Times New Roman"/>
          <w:bCs/>
          <w:color w:val="auto"/>
          <w:sz w:val="28"/>
          <w:szCs w:val="32"/>
          <w:lang w:eastAsia="zh-CN"/>
        </w:rPr>
        <w:t>办理条件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（一）自2019年4月1日至2021年12月31日，允许生产、生活性服务业纳税人按照当期可抵扣进项税额加计10%，抵减应纳税额（以下称加计抵减政策）。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所称生产、生活性服务业纳税人，是指提供邮政服务、电信服务、现代服务、生活服务（以下称四项服务）取得的销售额占全部销售额的比重超过50%的纳税人。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（二）2019年3月31日前设立的纳税人，自2018年4月至2019年3月期间的销售额(经营期不满12个月的，按照实际经营期的销售额)符合上述规定条件的，自2019年4月1日起适用加计抵减政策。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2019年4月1日后设立的纳税人，自设立之日起3个月的销售额符合上述规定条件的，自登记为一般纳税人之日起适用加计抵减政策。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（三）纳税人确定适用加计抵减政策后，当年内不再调整，以后年度是否适用，根据上年度销售额计算确定。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纳税人可计提但未计提的加计抵减额，可在确定适用加计抵减政策当期一并计提。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（四）2019年10月1日至2021年12月31日，允许生活性服务业纳税人按照当期可抵扣进项税额加计15%，抵减应纳税额。生活性服务业纳税人，是指提供生活服务取得的销售额占全部销售额的比重超过50%的纳税人。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2019年9月30日前设立的纳税人，自2018年10月至2019年9月期间的销售额（经营期不满12个月的，按照实际经营期的销售额）符合上述规定条件的，自2019年10月1日起适用加计抵减15%政策。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2019年10月1日后设立的纳税人，自设立之日起3个月的销售额符合上述规定条件的，自登记为一般纳税人之日起适用加计抵减15%政策。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纳税人确定适用加计抵减15%政策后，当年内不再调整，以后年度是否适用，根据上年度销售额计算确定。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《国家税务总局关于深化增值税改革有关事项的公告》（国家税务总局公告2019年第14号）第八条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按照《财政部税务总局海关总署关于深化增值税改革有关政策的公告》（财政部税务总局海关总署公告2019年第39号）规定，适用加计抵减政策的生产、生活性服务业纳税人，应在年度首次确认适用加计抵减政策时，通过电子税务局（或前往办税服务厅）提交《适用加计抵减政策的声明》（见附件）。适用加计抵减政策的纳税人，同时兼营邮政服务、电信服务、现代服务、生活服务的，应按照四项服务中收入占比最高的业务在《适用加计抵减政策的声明》中勾选确定所属行业。</w:t>
      </w:r>
      <w:r>
        <w:rPr>
          <w:rFonts w:hint="eastAsia"/>
          <w:color w:val="auto"/>
          <w:lang w:eastAsia="zh-CN"/>
        </w:rPr>
        <w:t>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tcBorders>
              <w:top w:val="single" w:color="auto" w:sz="12" w:space="0"/>
            </w:tcBorders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vAlign w:val="center"/>
          </w:tcPr>
          <w:p>
            <w:pPr>
              <w:widowControl/>
              <w:spacing w:before="100" w:beforeAutospacing="1" w:after="100" w:afterAutospacing="1" w:line="280" w:lineRule="atLeast"/>
              <w:ind w:firstLine="352" w:firstLineChars="20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spacing w:line="280" w:lineRule="exact"/>
              <w:ind w:left="0" w:leftChars="0"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《适用</w:t>
            </w:r>
            <w:r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  <w:t>加计抵减政策的声明》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before="100" w:beforeAutospacing="1" w:after="100" w:afterAutospacing="1" w:line="280" w:lineRule="atLeast"/>
              <w:ind w:firstLine="352" w:firstLineChars="20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before="100" w:beforeAutospacing="1" w:after="100" w:afterAutospacing="1" w:line="280" w:lineRule="atLeast"/>
              <w:ind w:left="0" w:leftChars="0" w:firstLine="0" w:firstLineChars="0"/>
              <w:jc w:val="both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kern w:val="0"/>
                <w:sz w:val="18"/>
                <w:szCs w:val="18"/>
              </w:rPr>
              <w:t>必报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00" w:beforeAutospacing="1" w:after="100" w:afterAutospacing="1" w:line="280" w:lineRule="atLeast"/>
              <w:ind w:firstLine="352" w:firstLineChars="20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  <w:r>
              <w:rPr>
                <w:rFonts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份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六、办理流程</w:t>
      </w:r>
    </w:p>
    <w:p>
      <w:pPr>
        <w:spacing w:line="240" w:lineRule="auto"/>
        <w:ind w:left="0" w:leftChars="0" w:firstLine="0" w:firstLineChars="0"/>
        <w:rPr>
          <w:color w:val="auto"/>
        </w:rPr>
      </w:pPr>
    </w:p>
    <w:p>
      <w:pPr>
        <w:spacing w:line="240" w:lineRule="auto"/>
        <w:ind w:left="472" w:firstLine="0" w:firstLineChars="0"/>
        <w:rPr>
          <w:color w:val="auto"/>
        </w:rPr>
      </w:pPr>
      <w:r>
        <w:rPr>
          <w:rFonts w:ascii="宋体" w:hAnsi="宋体"/>
          <w:color w:val="auto"/>
        </w:rPr>
        <w:object>
          <v:shape id="_x0000_i1035" o:spt="75" type="#_x0000_t75" style="height:97.85pt;width:418.3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Visio.Drawing.11" ShapeID="_x0000_i1035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1.A03076《适用加计抵减政策的声明》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 w:firstLineChars="200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1.按照现行规定不得从销项税额中抵扣的进项税额，不得计提加计抵减额；已计提加计抵减额的进项税额，按规定作进项税额转出的，应在进项税额转出当期，相应调减加计抵减额。</w:t>
      </w:r>
    </w:p>
    <w:p>
      <w:pPr>
        <w:ind w:firstLine="472" w:firstLineChars="200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2.纳税人出口货物劳务、发生跨境应税行为不适用加计抵减政策，其对应的进项税额不得计提加计抵减额。</w:t>
      </w:r>
    </w:p>
    <w:p>
      <w:pPr>
        <w:ind w:firstLine="472" w:firstLineChars="200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3.纳税人应单独核算加计抵减额的计提、抵减、调减、结余等变动情况。骗取适用加计抵减政策或虚增加计抵减额的，按照《中华人民共和国税收征收管理法》等有关规定处理。</w:t>
      </w:r>
    </w:p>
    <w:p>
      <w:pPr>
        <w:ind w:firstLine="472" w:firstLineChars="200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4.加计抵减政策执行到期后，纳税人不再计提加计抵减额，结余的加计抵减额停止抵减。</w:t>
      </w:r>
    </w:p>
    <w:p>
      <w:pPr>
        <w:ind w:firstLine="472" w:firstLineChars="200"/>
        <w:rPr>
          <w:color w:val="auto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5.适用加计抵减政策的纳税人，同时兼营邮政服务、电信服务、现代服务、生活服务的，应按照四项服务中收入占比最高的业务在《适用加计抵减政策的声明》中勾选确定所属行业。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  <w:lang w:val="en-US" w:eastAsia="zh-CN"/>
        </w:rPr>
        <w:t>6</w:t>
      </w:r>
      <w:r>
        <w:rPr>
          <w:color w:val="auto"/>
        </w:rPr>
        <w:t>.</w:t>
      </w:r>
      <w:r>
        <w:rPr>
          <w:rFonts w:hint="eastAsia"/>
          <w:color w:val="auto"/>
        </w:rPr>
        <w:t>纳税人对报送资料的真实性和合法性承担责任。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7</w:t>
      </w:r>
      <w:r>
        <w:rPr>
          <w:color w:val="auto"/>
        </w:rPr>
        <w:t>.</w:t>
      </w:r>
      <w:r>
        <w:rPr>
          <w:rFonts w:hint="eastAsia"/>
          <w:color w:val="auto"/>
        </w:rPr>
        <w:t>最多跑一次是在资料完整且符合法定受理条件的前提下，最多只需要到税务机关跑一次。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8</w:t>
      </w:r>
      <w:r>
        <w:rPr>
          <w:rFonts w:hint="eastAsia"/>
          <w:color w:val="auto"/>
        </w:rPr>
        <w:t>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4EF420BE"/>
    <w:multiLevelType w:val="multilevel"/>
    <w:tmpl w:val="4EF420BE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5D302A"/>
    <w:rsid w:val="696017FD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2019-10-31T03:30:50Z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