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lang w:val="en-US" w:eastAsia="zh-CN"/>
        </w:rPr>
      </w:pPr>
      <w:bookmarkStart w:id="1" w:name="_GoBack"/>
      <w:bookmarkEnd w:id="1"/>
      <w:bookmarkStart w:id="0" w:name="_Toc24274"/>
      <w:r>
        <w:rPr>
          <w:rFonts w:hint="eastAsia" w:ascii="黑体" w:hAnsi="黑体"/>
          <w:color w:val="auto"/>
          <w:lang w:val="en-US" w:eastAsia="zh-CN"/>
        </w:rPr>
        <w:t>1.3.19.3委托代征报告</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委托代征报告</w:t>
      </w:r>
    </w:p>
    <w:p>
      <w:pPr>
        <w:pStyle w:val="3"/>
        <w:ind w:firstLine="552"/>
        <w:rPr>
          <w:color w:val="auto"/>
        </w:rPr>
      </w:pPr>
      <w:r>
        <w:rPr>
          <w:color w:val="auto"/>
        </w:rPr>
        <w:t>二、事项类别</w:t>
      </w:r>
    </w:p>
    <w:p>
      <w:pPr>
        <w:pStyle w:val="49"/>
        <w:numPr>
          <w:ilvl w:val="0"/>
          <w:numId w:val="3"/>
        </w:numPr>
        <w:ind w:left="0" w:firstLine="472"/>
        <w:rPr>
          <w:color w:val="auto"/>
        </w:rPr>
      </w:pPr>
      <w:r>
        <w:rPr>
          <w:rFonts w:hint="eastAsia"/>
          <w:color w:val="auto"/>
        </w:rPr>
        <w:t>发起方式：人工发起（代</w:t>
      </w:r>
      <w:r>
        <w:rPr>
          <w:color w:val="auto"/>
        </w:rPr>
        <w:t>征人</w:t>
      </w:r>
      <w:r>
        <w:rPr>
          <w:rFonts w:hint="eastAsia"/>
          <w:color w:val="auto"/>
        </w:rPr>
        <w:t>）</w:t>
      </w:r>
    </w:p>
    <w:p>
      <w:pPr>
        <w:pStyle w:val="49"/>
        <w:numPr>
          <w:ilvl w:val="0"/>
          <w:numId w:val="3"/>
        </w:numPr>
        <w:ind w:left="0" w:firstLine="472"/>
        <w:rPr>
          <w:color w:val="auto"/>
        </w:rPr>
      </w:pPr>
      <w:r>
        <w:rPr>
          <w:rFonts w:hint="eastAsia"/>
          <w:color w:val="auto"/>
        </w:rPr>
        <w:t>办结方式：即办</w:t>
      </w:r>
    </w:p>
    <w:p>
      <w:pPr>
        <w:pStyle w:val="49"/>
        <w:numPr>
          <w:ilvl w:val="0"/>
          <w:numId w:val="3"/>
        </w:numPr>
        <w:ind w:left="0" w:firstLine="472"/>
        <w:rPr>
          <w:color w:val="auto"/>
        </w:rPr>
      </w:pPr>
      <w:r>
        <w:rPr>
          <w:rFonts w:hint="eastAsia"/>
          <w:color w:val="auto"/>
        </w:rPr>
        <w:t>全省通办：是</w:t>
      </w:r>
    </w:p>
    <w:p>
      <w:pPr>
        <w:pStyle w:val="49"/>
        <w:numPr>
          <w:ilvl w:val="0"/>
          <w:numId w:val="3"/>
        </w:numPr>
        <w:ind w:left="0" w:firstLine="472"/>
        <w:rPr>
          <w:color w:val="auto"/>
        </w:rPr>
      </w:pPr>
      <w:r>
        <w:rPr>
          <w:rFonts w:hint="eastAsia"/>
          <w:color w:val="auto"/>
        </w:rPr>
        <w:t>网上办理：是</w:t>
      </w:r>
    </w:p>
    <w:p>
      <w:pPr>
        <w:pStyle w:val="49"/>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kern w:val="20"/>
          <w:szCs w:val="21"/>
        </w:rPr>
        <w:t>税务机关根据有利于税收控管和方便纳税的原则，可以按照国家有关规定委托有关单位和人员代征零星分散和异地缴纳的税收，并发给委托代征证书，受托单位和人员按要求以税务机关的名义依法征收税款，按时申报入库。</w:t>
      </w:r>
    </w:p>
    <w:p>
      <w:pPr>
        <w:pStyle w:val="3"/>
        <w:ind w:firstLine="552"/>
        <w:rPr>
          <w:color w:val="auto"/>
        </w:rPr>
      </w:pPr>
      <w:r>
        <w:rPr>
          <w:rFonts w:hint="eastAsia"/>
          <w:color w:val="auto"/>
        </w:rPr>
        <w:t>四、设定依据</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1.《中华人民共和国税收征收管理法》第十九条第一款</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lang w:eastAsia="zh-CN"/>
        </w:rPr>
        <w:t>“</w:t>
      </w:r>
      <w:r>
        <w:rPr>
          <w:rFonts w:hint="eastAsia" w:ascii="宋体" w:hAnsi="宋体" w:eastAsia="宋体" w:cs="Times New Roman"/>
          <w:color w:val="auto"/>
          <w:sz w:val="24"/>
          <w:szCs w:val="22"/>
        </w:rPr>
        <w:t>纳税人、扣缴义务人按照有关法律、行政法规和国务院财政、税务主管部门的规定设置帐簿,根据合法、有效凭证记帐,进行核算。</w:t>
      </w:r>
      <w:r>
        <w:rPr>
          <w:rFonts w:hint="eastAsia" w:ascii="宋体" w:hAnsi="宋体" w:eastAsia="宋体" w:cs="Times New Roman"/>
          <w:color w:val="auto"/>
          <w:sz w:val="24"/>
          <w:szCs w:val="22"/>
          <w:lang w:eastAsia="zh-CN"/>
        </w:rPr>
        <w:t>”</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2.《中华人民共和国税收征收管理法实施细则》第四十四条第一款</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lang w:eastAsia="zh-CN"/>
        </w:rPr>
        <w:t>“</w:t>
      </w:r>
      <w:r>
        <w:rPr>
          <w:rFonts w:hint="eastAsia" w:ascii="宋体" w:hAnsi="宋体" w:eastAsia="宋体" w:cs="Times New Roman"/>
          <w:color w:val="auto"/>
          <w:sz w:val="24"/>
          <w:szCs w:val="22"/>
        </w:rPr>
        <w:t>税务机关根据有利于税收控管和方便纳税的原则，可以按照国家有关规定委托有关单位和人员代征零星分散和异地缴纳的税收，并发给委托代征证书。受托单位和人员按照代征证书的要求，以税务机关的名义依法征收税款，纳税人不得拒绝；纳税人拒绝的，受托代征单位和人员应当及时报告税务机关。</w:t>
      </w:r>
      <w:r>
        <w:rPr>
          <w:rFonts w:hint="eastAsia" w:ascii="宋体" w:hAnsi="宋体" w:eastAsia="宋体" w:cs="Times New Roman"/>
          <w:color w:val="auto"/>
          <w:sz w:val="24"/>
          <w:szCs w:val="22"/>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《委托代征税款报告表》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sz w:val="18"/>
                <w:szCs w:val="18"/>
              </w:rPr>
              <w:t>《委托代征税款明细报告表》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hint="eastAsia" w:eastAsia="宋体" w:cs="宋体"/>
                <w:color w:val="auto"/>
                <w:sz w:val="18"/>
                <w:szCs w:val="18"/>
              </w:rPr>
              <w:t>《中华人民共和国税收缴款书（税务收现专用）》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委托代征人开具《中华人民共和国税收缴款书（税务收现专用）》时</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eastAsia="宋体" w:cs="宋体"/>
                <w:color w:val="auto"/>
                <w:sz w:val="18"/>
                <w:szCs w:val="18"/>
              </w:rPr>
              <w:t>《中华人民共和国税收缴款书（银行经收专用）》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eastAsia="宋体" w:cs="宋体"/>
                <w:color w:val="auto"/>
                <w:sz w:val="18"/>
                <w:szCs w:val="18"/>
              </w:rPr>
              <w:t>委托代征人汇总缴库的报送</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spacing w:line="240" w:lineRule="auto"/>
        <w:ind w:left="471" w:firstLine="0" w:firstLineChars="0"/>
        <w:rPr>
          <w:rFonts w:hint="eastAsia"/>
          <w:color w:val="auto"/>
        </w:rPr>
      </w:pPr>
    </w:p>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ascii="宋体" w:hAnsi="宋体" w:eastAsia="楷体" w:cs="Times New Roman"/>
          <w:b w:val="0"/>
          <w:bCs w:val="0"/>
          <w:color w:val="auto"/>
          <w:sz w:val="28"/>
        </w:rPr>
        <w:object>
          <v:shape id="_x0000_i1112" o:spt="75" type="#_x0000_t75" style="height:153.65pt;width:476.1pt;" o:ole="t" filled="f" o:preferrelative="t" stroked="f" coordsize="21600,21600">
            <v:path/>
            <v:fill on="f" focussize="0,0"/>
            <v:stroke on="f"/>
            <v:imagedata r:id="rId11" o:title=""/>
            <o:lock v:ext="edit" aspectratio="t"/>
            <w10:wrap type="none"/>
            <w10:anchorlock/>
          </v:shape>
          <o:OLEObject Type="Embed" ProgID="Visio.Drawing.11" ShapeID="_x0000_i111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A06124</w:t>
      </w:r>
      <w:r>
        <w:rPr>
          <w:rFonts w:hint="eastAsia"/>
          <w:color w:val="auto"/>
        </w:rPr>
        <w:t>《委托代征税款报告表》</w:t>
      </w:r>
    </w:p>
    <w:p>
      <w:pPr>
        <w:ind w:firstLine="472"/>
        <w:rPr>
          <w:rFonts w:hint="eastAsia"/>
          <w:color w:val="auto"/>
        </w:rPr>
      </w:pPr>
      <w:r>
        <w:rPr>
          <w:rFonts w:hint="eastAsia"/>
          <w:color w:val="auto"/>
        </w:rPr>
        <w:t>2.</w:t>
      </w:r>
      <w:r>
        <w:rPr>
          <w:color w:val="auto"/>
        </w:rPr>
        <w:t>A0612</w:t>
      </w:r>
      <w:r>
        <w:rPr>
          <w:rFonts w:hint="eastAsia"/>
          <w:color w:val="auto"/>
        </w:rPr>
        <w:t>5《委托代征税款明细报告表》</w:t>
      </w:r>
    </w:p>
    <w:p>
      <w:pPr>
        <w:pStyle w:val="3"/>
        <w:ind w:firstLine="552"/>
        <w:rPr>
          <w:color w:val="auto"/>
        </w:rPr>
      </w:pPr>
      <w:r>
        <w:rPr>
          <w:rFonts w:hint="eastAsia"/>
          <w:color w:val="auto"/>
        </w:rPr>
        <w:t>九、注意事项</w:t>
      </w:r>
    </w:p>
    <w:p>
      <w:pPr>
        <w:ind w:firstLine="472"/>
        <w:rPr>
          <w:color w:val="auto"/>
          <w:kern w:val="20"/>
          <w:szCs w:val="21"/>
        </w:rPr>
      </w:pPr>
      <w:r>
        <w:rPr>
          <w:rFonts w:hint="eastAsia"/>
          <w:color w:val="auto"/>
          <w:kern w:val="20"/>
          <w:szCs w:val="21"/>
        </w:rPr>
        <w:t>1</w:t>
      </w:r>
      <w:r>
        <w:rPr>
          <w:color w:val="auto"/>
          <w:kern w:val="20"/>
          <w:szCs w:val="21"/>
        </w:rPr>
        <w:t>.</w:t>
      </w:r>
      <w:r>
        <w:rPr>
          <w:rFonts w:hint="eastAsia"/>
          <w:color w:val="auto"/>
          <w:kern w:val="20"/>
          <w:szCs w:val="21"/>
        </w:rPr>
        <w:t>办理委托代征、代售报告业务的委托代征人为已同税务机关签订《委托代征协议》的单位和人员；受托代征人所代征的税（费）种需经过“税（费）种认定”流程认定；代征单位代征税款时使用的完税凭证通过“票证领发”流程领取。</w:t>
      </w:r>
    </w:p>
    <w:p>
      <w:pPr>
        <w:ind w:firstLine="472"/>
        <w:rPr>
          <w:color w:val="auto"/>
        </w:rPr>
      </w:pPr>
      <w:r>
        <w:rPr>
          <w:color w:val="auto"/>
        </w:rPr>
        <w:t>2</w:t>
      </w:r>
      <w:r>
        <w:rPr>
          <w:rFonts w:hint="eastAsia"/>
          <w:color w:val="auto"/>
        </w:rPr>
        <w:t>.办结后，纳税服务部门应当对代征人是否存在未征、少征或未按规定期限解缴税款的行为进行审核，制作《委托代征税款审核表》。</w:t>
      </w:r>
    </w:p>
    <w:p>
      <w:pPr>
        <w:ind w:firstLine="472"/>
        <w:rPr>
          <w:color w:val="auto"/>
        </w:rPr>
      </w:pPr>
      <w:r>
        <w:rPr>
          <w:rFonts w:hint="eastAsia"/>
          <w:color w:val="auto"/>
        </w:rPr>
        <w:t>如果存在未征少征税款情形的，税务机关应向纳税人追缴税款，并可按《委托代征协议书》的约定向代征人按日加收未征少征税款万分之五的违约金，但代征人将纳税人拒绝缴纳等情况自纳税人拒绝之时起</w:t>
      </w:r>
      <w:r>
        <w:rPr>
          <w:color w:val="auto"/>
        </w:rPr>
        <w:t>24</w:t>
      </w:r>
      <w:r>
        <w:rPr>
          <w:rFonts w:hint="eastAsia"/>
          <w:color w:val="auto"/>
        </w:rPr>
        <w:t>小时内报告税务机关的除外。</w:t>
      </w:r>
    </w:p>
    <w:p>
      <w:pPr>
        <w:ind w:firstLine="472"/>
        <w:rPr>
          <w:color w:val="auto"/>
        </w:rPr>
      </w:pPr>
      <w:r>
        <w:rPr>
          <w:rFonts w:hint="eastAsia"/>
          <w:color w:val="auto"/>
        </w:rPr>
        <w:t>如果代征人未按规定期限解缴税款的，由税务机关责令限期解缴，并可从税款滞纳之日起按日加收未解缴税款万分之五的违约金。税务机关制作《加收违约金通知书》向代征人发送，在发放《加收违约金通知书》的同时产生应征信息。</w:t>
      </w:r>
    </w:p>
    <w:p>
      <w:pPr>
        <w:ind w:firstLine="472"/>
        <w:rPr>
          <w:color w:val="auto"/>
        </w:rPr>
      </w:pPr>
      <w:r>
        <w:rPr>
          <w:rFonts w:hint="eastAsia"/>
          <w:color w:val="auto"/>
        </w:rPr>
        <w:t>3.代征人违规多征税款的，由税务机关承担相应的法律责任，并责令代征人立即退还，税款已入库的，由税务机关按规定办理退库手续；代征人违规多征税款致使纳税人合法权益受到损失的，由税务机关赔偿，税务机关拥有事后向代征人追偿的权利。</w:t>
      </w:r>
    </w:p>
    <w:p>
      <w:pPr>
        <w:ind w:firstLine="472"/>
        <w:rPr>
          <w:color w:val="auto"/>
        </w:rPr>
      </w:pPr>
      <w:r>
        <w:rPr>
          <w:rFonts w:hint="eastAsia"/>
          <w:color w:val="auto"/>
          <w:lang w:val="en-US" w:eastAsia="zh-CN"/>
        </w:rPr>
        <w:t>4</w:t>
      </w:r>
      <w:r>
        <w:rPr>
          <w:rFonts w:hint="eastAsia"/>
          <w:color w:val="auto"/>
        </w:rPr>
        <w:t>.代征人对报送资料的真实性和合法性承担责任。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w:t>
      </w:r>
      <w:r>
        <w:rPr>
          <w:rFonts w:hint="eastAsia"/>
          <w:color w:val="auto"/>
        </w:rPr>
        <w:t>代征人</w:t>
      </w:r>
      <w:r>
        <w:rPr>
          <w:rFonts w:hint="eastAsia"/>
          <w:color w:val="auto"/>
          <w:lang w:val="en-US" w:eastAsia="zh-CN"/>
        </w:rPr>
        <w:t>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12C5"/>
    <w:multiLevelType w:val="multilevel"/>
    <w:tmpl w:val="043812C5"/>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28D138E"/>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2019-10-31T06:30:03Z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