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2" w:name="_GoBack"/>
      <w:bookmarkEnd w:id="2"/>
      <w:bookmarkStart w:id="0" w:name="_Toc17816"/>
      <w:r>
        <w:rPr>
          <w:rFonts w:hint="eastAsia" w:ascii="黑体" w:hAnsi="黑体" w:cs="黑体"/>
          <w:color w:val="auto"/>
        </w:rPr>
        <w:t>1</w:t>
      </w:r>
      <w:bookmarkStart w:id="1" w:name="_Hlk2621226"/>
      <w:r>
        <w:rPr>
          <w:rFonts w:hint="eastAsia" w:ascii="黑体" w:hAnsi="黑体" w:cs="黑体"/>
          <w:color w:val="auto"/>
        </w:rPr>
        <w:t>.1.1.3自然人自主报告身份信息</w:t>
      </w:r>
      <w:bookmarkEnd w:id="0"/>
      <w:bookmarkEnd w:id="1"/>
    </w:p>
    <w:p>
      <w:pPr>
        <w:pStyle w:val="3"/>
        <w:ind w:firstLine="552"/>
        <w:rPr>
          <w:color w:val="auto"/>
        </w:rPr>
      </w:pPr>
      <w:r>
        <w:rPr>
          <w:color w:val="auto"/>
        </w:rPr>
        <w:t>一、事项名称</w:t>
      </w:r>
    </w:p>
    <w:p>
      <w:pPr>
        <w:ind w:firstLine="472"/>
        <w:rPr>
          <w:color w:val="auto"/>
        </w:rPr>
      </w:pPr>
      <w:r>
        <w:rPr>
          <w:rFonts w:hint="eastAsia"/>
          <w:color w:val="auto"/>
        </w:rPr>
        <w:t>自然人自主报告身份信息</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以自然人名义纳税的中国公民、外籍人员和港、澳、台地区人员申请办理自然人信息报告。</w:t>
      </w:r>
    </w:p>
    <w:p>
      <w:pPr>
        <w:ind w:firstLine="472"/>
        <w:rPr>
          <w:color w:val="auto"/>
        </w:rPr>
      </w:pPr>
      <w:r>
        <w:rPr>
          <w:rFonts w:hint="eastAsia"/>
          <w:color w:val="auto"/>
        </w:rPr>
        <w:t>对自然人基础信息的管理是实施自然人管理的基础，自然人纳税人应向税务机关报告与纳税有关的基本信息，其中包括本人基本身份信息、身份属性信息、相关基础信息、家庭信息、财产信息以及其他基础信息。</w:t>
      </w:r>
    </w:p>
    <w:p>
      <w:pPr>
        <w:ind w:firstLine="472"/>
        <w:rPr>
          <w:color w:val="auto"/>
        </w:rPr>
      </w:pPr>
      <w:r>
        <w:rPr>
          <w:rFonts w:hint="eastAsia"/>
          <w:color w:val="auto"/>
        </w:rPr>
        <w:t>自然人报送基础信息的方式包括自然人由本人向税务机关报送和由扣缴义务人代为向税务机关报送两种（扣缴义务人报送要求参见“扣缴义务人报告自然人身份信息”业务）。</w:t>
      </w:r>
    </w:p>
    <w:p>
      <w:pPr>
        <w:ind w:firstLine="472"/>
        <w:rPr>
          <w:color w:val="auto"/>
        </w:rPr>
      </w:pPr>
      <w:r>
        <w:rPr>
          <w:color w:val="auto"/>
        </w:rPr>
        <w:t>1.基础信息报告</w:t>
      </w:r>
    </w:p>
    <w:p>
      <w:pPr>
        <w:ind w:firstLine="472"/>
        <w:rPr>
          <w:color w:val="auto"/>
        </w:rPr>
      </w:pPr>
      <w:r>
        <w:rPr>
          <w:rFonts w:hint="eastAsia"/>
          <w:color w:val="auto"/>
        </w:rPr>
        <w:t>自然人（或委托代理人）到税务机关填写《个人所得税基础信息表（</w:t>
      </w:r>
      <w:r>
        <w:rPr>
          <w:color w:val="auto"/>
        </w:rPr>
        <w:t>B表）》，生成自然人基础信息档案。自然人基础信息发生变化时，由自然人（或委托代理人）填写《个人所得税基础信息表（B表）》申请变更。</w:t>
      </w:r>
    </w:p>
    <w:p>
      <w:pPr>
        <w:ind w:firstLine="472"/>
        <w:rPr>
          <w:color w:val="auto"/>
        </w:rPr>
      </w:pPr>
      <w:r>
        <w:rPr>
          <w:rFonts w:hint="eastAsia"/>
          <w:color w:val="auto"/>
        </w:rPr>
        <w:t>对于首次报送信息的纳税人，税务机关采集纳税人信息，纳税人完成实名身份信息验证后由税务机关赋予纳税人识别号。根据《中华人民共和国个人所得税法》第九条的规定：纳税人有中国公民身份号码的，以中国公民身份号码为纳税人识别号；纳税人没有中国公民身份号码的，由税务机关赋予其纳税人识别号。</w:t>
      </w:r>
    </w:p>
    <w:p>
      <w:pPr>
        <w:ind w:firstLine="472"/>
        <w:rPr>
          <w:rFonts w:hint="eastAsia" w:eastAsia="宋体"/>
          <w:color w:val="auto"/>
          <w:lang w:eastAsia="zh-CN"/>
        </w:rPr>
      </w:pPr>
      <w:r>
        <w:rPr>
          <w:rFonts w:hint="eastAsia"/>
          <w:color w:val="auto"/>
        </w:rPr>
        <w:t>自然人向税务机关报送身份信息时，因特殊原因无法完成正常信息报送，由税务机关办税服务厅特定岗位人员进行处理。特殊原因主要包括以下情形：</w:t>
      </w:r>
    </w:p>
    <w:p>
      <w:pPr>
        <w:ind w:firstLine="472"/>
        <w:rPr>
          <w:color w:val="auto"/>
        </w:rPr>
      </w:pPr>
      <w:r>
        <w:rPr>
          <w:rFonts w:hint="eastAsia"/>
          <w:color w:val="auto"/>
        </w:rPr>
        <w:t>如因生僻字、与公安信息比对不通过等问题导致校验不通过；身份证件信息不符合规则，无法进行采集；不持有居民身份证的而持其他有效证件的中国大陆公民，如军官等；取得应税所得但未入境的外籍人员等。</w:t>
      </w:r>
    </w:p>
    <w:p>
      <w:pPr>
        <w:ind w:firstLine="472"/>
        <w:rPr>
          <w:color w:val="auto"/>
        </w:rPr>
      </w:pPr>
      <w:r>
        <w:rPr>
          <w:rFonts w:hint="eastAsia"/>
          <w:color w:val="auto"/>
        </w:rPr>
        <w:t>自然人以后可凭采集的身份证件向税务机关提出申请查询、打印纳税人识别号，税务机关通过纸质或电子的形式向纳税人提供电子纳税人识别号卡。</w:t>
      </w:r>
    </w:p>
    <w:p>
      <w:pPr>
        <w:ind w:firstLine="472"/>
        <w:rPr>
          <w:color w:val="auto"/>
        </w:rPr>
      </w:pPr>
      <w:r>
        <w:rPr>
          <w:color w:val="auto"/>
        </w:rPr>
        <w:t>2.专项附加扣除信息报告</w:t>
      </w:r>
    </w:p>
    <w:p>
      <w:pPr>
        <w:ind w:firstLine="472"/>
        <w:rPr>
          <w:color w:val="auto"/>
        </w:rPr>
      </w:pPr>
      <w:r>
        <w:rPr>
          <w:rFonts w:hint="eastAsia"/>
          <w:color w:val="auto"/>
        </w:rPr>
        <w:t>享受子女教育、继续教育、住房贷款利息或者住房租金、赡养老人专项附加扣除的纳税人，应向税务机关报送《个人所得税专项附加扣除信息表》（以下简称《扣除信息表》），由税务机关采集相关家庭成员、房屋、受教育情况等基本信息。相关信息发生变化的，应及时向税务机关报告。</w:t>
      </w:r>
    </w:p>
    <w:p>
      <w:pPr>
        <w:ind w:firstLine="472"/>
        <w:rPr>
          <w:color w:val="auto"/>
        </w:rPr>
      </w:pPr>
      <w:r>
        <w:rPr>
          <w:rFonts w:hint="eastAsia"/>
          <w:color w:val="auto"/>
        </w:rPr>
        <w:t>纳税人选择在扣缴义务人发放工资、薪金所得时享受专项附加扣除的，首次享受时应当填写并向扣缴义务人报送《扣除信息表》；纳税年度中间相关信息发生变化的，纳税人应当更新《扣除信息表》相应栏次，并及时报送给扣缴义务人。更换工作单位的纳税人，需要由新任职、受雇扣缴义务人办理专项附加扣除的，应当在入职的当月，填写并向扣缴义务人报送《扣除信息表》。纳税人次年需要由扣缴义务人继续办理专项附加扣除的，应当于每年</w:t>
      </w:r>
      <w:r>
        <w:rPr>
          <w:color w:val="auto"/>
        </w:rPr>
        <w:t>12月份对次年享受专项附加扣除的内容进行确认，并报送至扣缴义务人。</w:t>
      </w:r>
    </w:p>
    <w:p>
      <w:pPr>
        <w:ind w:firstLine="472"/>
        <w:rPr>
          <w:color w:val="auto"/>
        </w:rPr>
      </w:pPr>
      <w:r>
        <w:rPr>
          <w:rFonts w:hint="eastAsia"/>
          <w:color w:val="auto"/>
        </w:rPr>
        <w:t>纳税人选择在汇算清缴申报时享受专项附加扣除的，应当填写并向汇缴地主管税务机关报送《扣除信息表》。</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1.《中华人民共和国税收征收管理法》第三十条</w:t>
      </w:r>
    </w:p>
    <w:p>
      <w:pPr>
        <w:ind w:firstLine="472"/>
        <w:rPr>
          <w:color w:val="auto"/>
        </w:rPr>
      </w:pPr>
      <w:r>
        <w:rPr>
          <w:color w:val="auto"/>
        </w:rPr>
        <w:t>“扣缴义务人依照法律、行政法规的规定履行代扣、代收税款的义务。对法律、行政法规没有规定负有代扣、代收税款义务的单位和个人，税务机关不得要求其履行代扣、代收税款义务。扣缴义务人依法履行代扣、代收税款义务时，纳税人不得拒绝。纳税人拒绝的，扣缴义务人应当及时报告税务机关处理。税务机关按照规定付给扣缴义务人代扣、代收手续费。”</w:t>
      </w:r>
    </w:p>
    <w:p>
      <w:pPr>
        <w:ind w:firstLine="472"/>
        <w:rPr>
          <w:color w:val="auto"/>
        </w:rPr>
      </w:pPr>
      <w:r>
        <w:rPr>
          <w:color w:val="auto"/>
        </w:rPr>
        <w:t>2.《中华人民共和国个人所得税法》第九条</w:t>
      </w:r>
    </w:p>
    <w:p>
      <w:pPr>
        <w:ind w:firstLine="472"/>
        <w:rPr>
          <w:color w:val="auto"/>
        </w:rPr>
      </w:pPr>
      <w:r>
        <w:rPr>
          <w:color w:val="auto"/>
        </w:rPr>
        <w:t>“个人所得税以所得人为纳税人，以支付所得的单位或者个人为扣缴义务人。纳税人有中国公民身份号码的，以中国公民身份号码为纳税人识别号；纳税人没有中国公民身份号码的，由税务机关赋予其纳税人识别号。扣缴义务人扣缴税款时，纳税人应当向扣缴义务人提供纳税人识别号。”</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352"/>
              <w:jc w:val="left"/>
              <w:rPr>
                <w:rFonts w:cs="宋体"/>
                <w:color w:val="auto"/>
                <w:kern w:val="0"/>
                <w:sz w:val="18"/>
                <w:szCs w:val="18"/>
              </w:rPr>
            </w:pPr>
            <w:r>
              <w:rPr>
                <w:rFonts w:hint="eastAsia"/>
                <w:color w:val="auto"/>
                <w:sz w:val="18"/>
                <w:szCs w:val="18"/>
              </w:rPr>
              <w:t>《个人所得税基础信息表（</w:t>
            </w:r>
            <w:r>
              <w:rPr>
                <w:color w:val="auto"/>
                <w:sz w:val="18"/>
                <w:szCs w:val="18"/>
              </w:rPr>
              <w:t>B</w:t>
            </w:r>
            <w:r>
              <w:rPr>
                <w:rFonts w:hint="eastAsia"/>
                <w:color w:val="auto"/>
                <w:sz w:val="18"/>
                <w:szCs w:val="18"/>
              </w:rPr>
              <w:t>表）》</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Arial"/>
                <w:color w:val="auto"/>
                <w:sz w:val="18"/>
                <w:szCs w:val="18"/>
              </w:rPr>
              <w:t>自然人纳税人初次向税务机关办理相关涉税事宜时或者信息发生变化时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《个人所得税专项附加扣除信息表》</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纳税人纳税申报时符合享受个人所得税专项附加扣除条件且所属年度未报送扣除信息或扣除信息有变化的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居民身份证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有中国公民身份号码的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外国人永久居留身份证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外籍个人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外国人工作许可证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外籍个人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6</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中国护照</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华侨</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7</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港澳居民来往内地通行证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港澳居民</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8</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台湾居民来往大陆通行证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台湾居民</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9</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港澳居民居住证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港澳居民</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10</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台湾居民居住证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台湾居民</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11</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外国护照</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Arial"/>
                <w:color w:val="auto"/>
                <w:sz w:val="18"/>
                <w:szCs w:val="18"/>
              </w:rPr>
            </w:pPr>
            <w:r>
              <w:rPr>
                <w:rFonts w:hint="eastAsia" w:cs="Arial"/>
                <w:color w:val="auto"/>
                <w:sz w:val="18"/>
                <w:szCs w:val="18"/>
              </w:rPr>
              <w:t>外籍个人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12</w:t>
            </w:r>
          </w:p>
        </w:tc>
        <w:tc>
          <w:tcPr>
            <w:tcW w:w="2551" w:type="dxa"/>
            <w:shd w:val="clear" w:color="auto" w:fill="auto"/>
          </w:tcPr>
          <w:p>
            <w:pPr>
              <w:widowControl/>
              <w:spacing w:line="280" w:lineRule="exact"/>
              <w:ind w:firstLine="352"/>
              <w:jc w:val="left"/>
              <w:rPr>
                <w:color w:val="auto"/>
                <w:sz w:val="18"/>
                <w:szCs w:val="18"/>
              </w:rPr>
            </w:pPr>
            <w:r>
              <w:rPr>
                <w:rFonts w:hint="eastAsia"/>
                <w:color w:val="auto"/>
                <w:sz w:val="18"/>
                <w:szCs w:val="18"/>
              </w:rPr>
              <w:t>残疾证、烈属证</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符合条件的情形</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13</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其他身份证件</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其他符合规定的情形</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14</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任职证书或者任职证明</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任职、受雇的外籍人员和港、澳、台地区人员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15</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从事劳务或服务的合同、协议</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履约的外籍人员和港、澳、台地区人员</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16</w:t>
            </w:r>
          </w:p>
        </w:tc>
        <w:tc>
          <w:tcPr>
            <w:tcW w:w="2551" w:type="dxa"/>
            <w:shd w:val="clear" w:color="auto" w:fill="auto"/>
            <w:vAlign w:val="center"/>
          </w:tcPr>
          <w:p>
            <w:pPr>
              <w:widowControl/>
              <w:spacing w:line="280" w:lineRule="exact"/>
              <w:ind w:firstLine="352"/>
              <w:jc w:val="left"/>
              <w:rPr>
                <w:color w:val="auto"/>
                <w:sz w:val="18"/>
                <w:szCs w:val="18"/>
              </w:rPr>
            </w:pPr>
            <w:r>
              <w:rPr>
                <w:rFonts w:hint="eastAsia"/>
                <w:color w:val="auto"/>
                <w:sz w:val="18"/>
                <w:szCs w:val="18"/>
              </w:rPr>
              <w:t>变更其他登记事项的证明材料复印件</w:t>
            </w:r>
          </w:p>
        </w:tc>
        <w:tc>
          <w:tcPr>
            <w:tcW w:w="709"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352"/>
              <w:jc w:val="center"/>
              <w:rPr>
                <w:rFonts w:cs="宋体"/>
                <w:color w:val="auto"/>
                <w:kern w:val="0"/>
                <w:sz w:val="18"/>
                <w:szCs w:val="18"/>
              </w:rPr>
            </w:pPr>
            <w:r>
              <w:rPr>
                <w:rFonts w:hint="eastAsia" w:cs="宋体"/>
                <w:color w:val="auto"/>
                <w:kern w:val="0"/>
                <w:sz w:val="18"/>
                <w:szCs w:val="18"/>
              </w:rPr>
              <w:t>自然人报告信息发生变更的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drawing>
          <wp:inline distT="0" distB="0" distL="0" distR="0">
            <wp:extent cx="4820285" cy="1295400"/>
            <wp:effectExtent l="0" t="0" r="184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20400" cy="129600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1.A01053《个人所得税基础信息表（</w:t>
      </w:r>
      <w:r>
        <w:rPr>
          <w:color w:val="auto"/>
        </w:rPr>
        <w:t>B表）》</w:t>
      </w:r>
    </w:p>
    <w:p>
      <w:pPr>
        <w:ind w:firstLine="472"/>
        <w:rPr>
          <w:color w:val="auto"/>
        </w:rPr>
      </w:pPr>
      <w:r>
        <w:rPr>
          <w:rFonts w:hint="eastAsia"/>
          <w:color w:val="auto"/>
        </w:rPr>
        <w:t>2.</w:t>
      </w:r>
      <w:r>
        <w:rPr>
          <w:color w:val="auto"/>
        </w:rPr>
        <w:t>A01084</w:t>
      </w:r>
      <w:r>
        <w:rPr>
          <w:rFonts w:hint="eastAsia"/>
          <w:color w:val="auto"/>
        </w:rPr>
        <w:t>《个人所得税专项附加扣除信息表》</w:t>
      </w:r>
    </w:p>
    <w:p>
      <w:pPr>
        <w:pStyle w:val="3"/>
        <w:ind w:firstLine="552"/>
        <w:rPr>
          <w:color w:val="auto"/>
        </w:rPr>
      </w:pPr>
      <w:r>
        <w:rPr>
          <w:rFonts w:hint="eastAsia"/>
          <w:color w:val="auto"/>
        </w:rPr>
        <w:t>九、注意事项</w:t>
      </w:r>
    </w:p>
    <w:p>
      <w:pPr>
        <w:ind w:firstLine="472"/>
        <w:rPr>
          <w:color w:val="auto"/>
        </w:rPr>
      </w:pPr>
      <w:r>
        <w:rPr>
          <w:color w:val="auto"/>
        </w:rPr>
        <w:t>1.纳税人对报送资料的真实性和合法性承担责任。</w:t>
      </w:r>
    </w:p>
    <w:p>
      <w:pPr>
        <w:ind w:firstLine="472"/>
        <w:rPr>
          <w:color w:val="auto"/>
        </w:rPr>
      </w:pPr>
      <w:r>
        <w:rPr>
          <w:color w:val="auto"/>
        </w:rPr>
        <w:t>2.最多跑一次是在资料完整且符合法定受理条件的前提下，最多只需要到税务机关跑一次。</w:t>
      </w:r>
    </w:p>
    <w:p>
      <w:pPr>
        <w:ind w:firstLine="472"/>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06052"/>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2019-10-31T03:27:35Z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