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081"/>
      <w:r>
        <w:rPr>
          <w:rFonts w:hint="eastAsia" w:ascii="黑体" w:hAnsi="黑体"/>
          <w:color w:val="auto"/>
        </w:rPr>
        <w:t>1.3.14.4土地增值税清算申报</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土地增值税清算申报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办结方式：限时办结</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pStyle w:val="47"/>
        <w:ind w:firstLineChars="0"/>
        <w:rPr>
          <w:color w:val="auto"/>
        </w:rPr>
      </w:pPr>
      <w:r>
        <w:rPr>
          <w:rFonts w:hint="eastAsia"/>
          <w:color w:val="auto"/>
        </w:rPr>
        <w:t>1.土地增值税清算申报是指纳税人在符合土地增值税清算条件后，依照税收法律、法规及土地增值税有关政策规定，计算房地产开发项目应缴纳的土地增值税税额，向税务机关提供有关资料，办理土地增值税清算手续，结清该房地产项目应缴纳土地增值税税款的行为。</w:t>
      </w:r>
    </w:p>
    <w:p>
      <w:pPr>
        <w:pStyle w:val="47"/>
        <w:ind w:firstLineChars="0"/>
        <w:rPr>
          <w:color w:val="auto"/>
        </w:rPr>
      </w:pPr>
      <w:r>
        <w:rPr>
          <w:rFonts w:hint="eastAsia"/>
          <w:color w:val="auto"/>
        </w:rPr>
        <w:t>2.在土地增值税清算过程中，发现纳税人符合核定征收条件的，应按核定征收方式对房地产项目进行清算。</w:t>
      </w:r>
    </w:p>
    <w:p>
      <w:pPr>
        <w:pStyle w:val="3"/>
        <w:ind w:firstLine="552"/>
        <w:rPr>
          <w:color w:val="auto"/>
        </w:rPr>
      </w:pPr>
      <w:r>
        <w:rPr>
          <w:rFonts w:hint="eastAsia"/>
          <w:color w:val="auto"/>
        </w:rPr>
        <w:t>四、设定依据</w:t>
      </w:r>
    </w:p>
    <w:p>
      <w:pPr>
        <w:pStyle w:val="47"/>
        <w:ind w:firstLineChars="0"/>
        <w:rPr>
          <w:color w:val="auto"/>
        </w:rPr>
      </w:pPr>
      <w:r>
        <w:rPr>
          <w:color w:val="auto"/>
        </w:rPr>
        <w:t>1.《中华人民共和国税收征收管理法》第二十五条第一款</w:t>
      </w:r>
    </w:p>
    <w:p>
      <w:pPr>
        <w:pStyle w:val="47"/>
        <w:ind w:firstLineChars="0"/>
        <w:rPr>
          <w:color w:val="auto"/>
        </w:rPr>
      </w:pPr>
      <w:r>
        <w:rPr>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47"/>
        <w:ind w:firstLineChars="0"/>
        <w:rPr>
          <w:color w:val="auto"/>
        </w:rPr>
      </w:pPr>
      <w:r>
        <w:rPr>
          <w:color w:val="auto"/>
        </w:rPr>
        <w:t>2.《中华人民共和国土地增值税暂行条例》第二条</w:t>
      </w:r>
    </w:p>
    <w:p>
      <w:pPr>
        <w:pStyle w:val="47"/>
        <w:ind w:firstLineChars="0"/>
        <w:rPr>
          <w:color w:val="auto"/>
        </w:rPr>
      </w:pPr>
      <w:r>
        <w:rPr>
          <w:rFonts w:hint="eastAsia"/>
          <w:color w:val="auto"/>
        </w:rPr>
        <w:t>“转让国有土地使用权、地上的建筑物及其附着物（以下简称转让房地产）并取得收入的单位和个人，为土地增值税的纳税义务人（以下简称纳税人），应当依照本条例缴纳土地增值税。”</w:t>
      </w:r>
    </w:p>
    <w:p>
      <w:pPr>
        <w:pStyle w:val="47"/>
        <w:ind w:firstLineChars="0"/>
        <w:rPr>
          <w:color w:val="auto"/>
        </w:rPr>
      </w:pPr>
      <w:r>
        <w:rPr>
          <w:color w:val="auto"/>
        </w:rPr>
        <w:t>3.《中华人民共和国土地增值税暂行条例实施细则》第十六条</w:t>
      </w:r>
    </w:p>
    <w:p>
      <w:pPr>
        <w:pStyle w:val="47"/>
        <w:ind w:firstLineChars="0"/>
        <w:rPr>
          <w:color w:val="auto"/>
        </w:rPr>
      </w:pPr>
      <w:r>
        <w:rPr>
          <w:rFonts w:hint="eastAsia"/>
          <w:color w:val="auto"/>
        </w:rPr>
        <w:t>“纳税人在项目全部竣工结算前转让房地产取得的收入，由于涉及成本确定或其他原因，而无法据以计算土地增值税的，可以预征土地增值税，待该项目全部竣工、办理结算后再进行清算，多退少补。具体办法由各省、自治区、直辖市地方税务局根据当地情况制定。”</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《土地增值税纳税申报表（二）（从事房地产开发的纳税人清算适用）》</w:t>
            </w:r>
          </w:p>
        </w:tc>
        <w:tc>
          <w:tcPr>
            <w:tcW w:w="709" w:type="dxa"/>
            <w:shd w:val="clear" w:color="auto" w:fill="auto"/>
            <w:vAlign w:val="center"/>
          </w:tcPr>
          <w:p>
            <w:pPr>
              <w:widowControl/>
              <w:spacing w:line="280" w:lineRule="exact"/>
              <w:ind w:firstLine="0" w:firstLineChars="0"/>
              <w:jc w:val="center"/>
              <w:rPr>
                <w:rStyle w:val="17"/>
                <w:rFonts w:cs="微软雅黑"/>
                <w:b w:val="0"/>
                <w:color w:val="auto"/>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办理土地增值税清算的从事房地产开发实行查账征收的纳税人</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2"/>
              <w:widowControl/>
              <w:spacing w:before="100" w:after="10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《土地增值税纳税申报表（五）（从事房地产开发的纳税人清算方式为核定征收适用）》</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从事房地产开发与建设的纳税人，清算方式为核定征收时报送</w:t>
            </w:r>
          </w:p>
        </w:tc>
        <w:tc>
          <w:tcPr>
            <w:tcW w:w="1134" w:type="dxa"/>
            <w:vAlign w:val="center"/>
          </w:tcPr>
          <w:p>
            <w:pPr>
              <w:pStyle w:val="62"/>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《土地增值税纳税申报表（六）（纳税人整体转让在建工程适用）》</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从事房地产开发与建设的纳税人，及非从事房地产开发的纳税人，在整体转让在建工程时报送</w:t>
            </w:r>
          </w:p>
        </w:tc>
        <w:tc>
          <w:tcPr>
            <w:tcW w:w="1134" w:type="dxa"/>
            <w:vAlign w:val="center"/>
          </w:tcPr>
          <w:p>
            <w:pPr>
              <w:pStyle w:val="62"/>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tcPr>
          <w:p>
            <w:pPr>
              <w:ind w:firstLine="352"/>
              <w:rPr>
                <w:rFonts w:hint="eastAsia" w:cs="宋体"/>
                <w:color w:val="auto"/>
                <w:kern w:val="0"/>
                <w:sz w:val="18"/>
                <w:szCs w:val="18"/>
              </w:rPr>
            </w:pPr>
          </w:p>
          <w:p>
            <w:pPr>
              <w:ind w:firstLine="352"/>
              <w:rPr>
                <w:rFonts w:hint="eastAsia"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土地增值税纳税申报表附表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0" w:firstLineChars="0"/>
              <w:rPr>
                <w:color w:val="auto"/>
                <w:sz w:val="18"/>
                <w:szCs w:val="18"/>
              </w:rPr>
            </w:pPr>
            <w:r>
              <w:rPr>
                <w:rFonts w:hint="eastAsia" w:cs="宋体"/>
                <w:color w:val="auto"/>
                <w:kern w:val="0"/>
                <w:sz w:val="18"/>
                <w:szCs w:val="18"/>
              </w:rPr>
              <w:t>办理土地增值税清算的纳税人，与《土地增值税纳税申报表》配套使用</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tcPr>
          <w:p>
            <w:pPr>
              <w:ind w:firstLine="352"/>
              <w:rPr>
                <w:rFonts w:hint="eastAsia"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cs="宋体"/>
                <w:color w:val="auto"/>
                <w:kern w:val="0"/>
                <w:sz w:val="18"/>
                <w:szCs w:val="18"/>
              </w:rPr>
              <w:t>5</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房地产开发项目清算说明</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352"/>
              <w:rPr>
                <w:color w:val="auto"/>
                <w:sz w:val="18"/>
                <w:szCs w:val="18"/>
              </w:rPr>
            </w:pPr>
            <w:r>
              <w:rPr>
                <w:rFonts w:hint="eastAsia" w:cs="宋体"/>
                <w:color w:val="auto"/>
                <w:kern w:val="0"/>
                <w:sz w:val="18"/>
                <w:szCs w:val="18"/>
              </w:rPr>
              <w:t>办理土地增值税清算的纳税人，整体转让在建工程的纳税人视情报送</w:t>
            </w:r>
          </w:p>
        </w:tc>
        <w:tc>
          <w:tcPr>
            <w:tcW w:w="1134" w:type="dxa"/>
            <w:vAlign w:val="center"/>
          </w:tcPr>
          <w:p>
            <w:pPr>
              <w:pStyle w:val="62"/>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tcPr>
          <w:p>
            <w:pPr>
              <w:ind w:firstLine="352"/>
              <w:rPr>
                <w:rFonts w:hint="eastAsia"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cs="宋体"/>
                <w:color w:val="auto"/>
                <w:kern w:val="0"/>
                <w:sz w:val="18"/>
                <w:szCs w:val="18"/>
              </w:rPr>
              <w:t>6</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项目竣工决算报表复印件</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办理土地增值税清算的纳税人，整体转让在建工程的纳税人视情报送</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tcPr>
          <w:p>
            <w:pPr>
              <w:ind w:firstLine="352"/>
              <w:rPr>
                <w:rFonts w:hint="eastAsia"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cs="宋体"/>
                <w:color w:val="auto"/>
                <w:kern w:val="0"/>
                <w:sz w:val="18"/>
                <w:szCs w:val="18"/>
              </w:rPr>
              <w:t>7</w:t>
            </w:r>
          </w:p>
        </w:tc>
        <w:tc>
          <w:tcPr>
            <w:tcW w:w="2551"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取得土地使用权所支付的地价款凭证复印件</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办理土地增值税清算的纳税人，整体转让在建工程的纳税人视情报送</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r>
              <w:rPr>
                <w:rFonts w:hint="eastAsia" w:eastAsia="宋体" w:cs="宋体"/>
                <w:color w:val="auto"/>
                <w:sz w:val="18"/>
                <w:szCs w:val="18"/>
              </w:rPr>
              <w:t>留存</w:t>
            </w:r>
          </w:p>
        </w:tc>
        <w:tc>
          <w:tcPr>
            <w:tcW w:w="1134" w:type="dxa"/>
            <w:shd w:val="clear" w:color="auto" w:fill="auto"/>
          </w:tcPr>
          <w:p>
            <w:pPr>
              <w:ind w:firstLine="352"/>
              <w:rPr>
                <w:rFonts w:hint="eastAsia"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cs="宋体"/>
                <w:color w:val="auto"/>
                <w:kern w:val="0"/>
                <w:sz w:val="18"/>
                <w:szCs w:val="18"/>
              </w:rPr>
              <w:t>8</w:t>
            </w:r>
          </w:p>
        </w:tc>
        <w:tc>
          <w:tcPr>
            <w:tcW w:w="2551"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国有土地使用权出让合同复印件</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办理土地增值税清算的纳税人，整体转让在建工程的纳税人视情报送</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r>
              <w:rPr>
                <w:rFonts w:hint="eastAsia" w:eastAsia="宋体" w:cs="宋体"/>
                <w:color w:val="auto"/>
                <w:sz w:val="18"/>
                <w:szCs w:val="18"/>
              </w:rPr>
              <w:t>留存</w:t>
            </w:r>
          </w:p>
        </w:tc>
        <w:tc>
          <w:tcPr>
            <w:tcW w:w="1134" w:type="dxa"/>
            <w:shd w:val="clear" w:color="auto" w:fill="auto"/>
          </w:tcPr>
          <w:p>
            <w:pPr>
              <w:ind w:firstLine="352"/>
              <w:rPr>
                <w:rFonts w:hint="eastAsia"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cs="宋体"/>
                <w:color w:val="auto"/>
                <w:kern w:val="0"/>
                <w:sz w:val="18"/>
                <w:szCs w:val="18"/>
              </w:rPr>
              <w:t>9</w:t>
            </w:r>
          </w:p>
        </w:tc>
        <w:tc>
          <w:tcPr>
            <w:tcW w:w="2551"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银行贷款利息结算通知单复印件</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办理土地增值税清算的纳税人，整体转让在建工程的纳税人视情报送</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r>
              <w:rPr>
                <w:rFonts w:hint="eastAsia" w:eastAsia="宋体" w:cs="宋体"/>
                <w:color w:val="auto"/>
                <w:sz w:val="18"/>
                <w:szCs w:val="18"/>
              </w:rPr>
              <w:t>留存</w:t>
            </w:r>
          </w:p>
        </w:tc>
        <w:tc>
          <w:tcPr>
            <w:tcW w:w="1134" w:type="dxa"/>
            <w:shd w:val="clear" w:color="auto" w:fill="auto"/>
          </w:tcPr>
          <w:p>
            <w:pPr>
              <w:ind w:firstLine="352"/>
              <w:rPr>
                <w:rFonts w:hint="eastAsia"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cs="宋体"/>
                <w:color w:val="auto"/>
                <w:kern w:val="0"/>
                <w:sz w:val="18"/>
                <w:szCs w:val="18"/>
              </w:rPr>
              <w:t>10</w:t>
            </w:r>
          </w:p>
        </w:tc>
        <w:tc>
          <w:tcPr>
            <w:tcW w:w="2551"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项目工程合同结算单复印件</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办理土地增值税清算的纳税人，整体转让在建工程的纳税人视情报送</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r>
              <w:rPr>
                <w:rFonts w:hint="eastAsia" w:eastAsia="宋体" w:cs="宋体"/>
                <w:color w:val="auto"/>
                <w:sz w:val="18"/>
                <w:szCs w:val="18"/>
              </w:rPr>
              <w:t>留存</w:t>
            </w:r>
          </w:p>
        </w:tc>
        <w:tc>
          <w:tcPr>
            <w:tcW w:w="1134" w:type="dxa"/>
            <w:shd w:val="clear" w:color="auto" w:fill="auto"/>
          </w:tcPr>
          <w:p>
            <w:pPr>
              <w:ind w:firstLine="352"/>
              <w:rPr>
                <w:rFonts w:hint="eastAsia"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11</w:t>
            </w:r>
          </w:p>
        </w:tc>
        <w:tc>
          <w:tcPr>
            <w:tcW w:w="2551"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商品房购销合同统计表</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办理土地增值税清算的纳税人，整体转让在建工程的纳税人视情报送</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tcPr>
          <w:p>
            <w:pPr>
              <w:ind w:firstLine="352"/>
              <w:rPr>
                <w:rFonts w:hint="eastAsia"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12</w:t>
            </w:r>
          </w:p>
        </w:tc>
        <w:tc>
          <w:tcPr>
            <w:tcW w:w="2551"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房地产销售明细表</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w:t>
            </w:r>
            <w:r>
              <w:rPr>
                <w:rFonts w:cs="宋体"/>
                <w:color w:val="auto"/>
                <w:kern w:val="0"/>
                <w:sz w:val="18"/>
                <w:szCs w:val="18"/>
              </w:rPr>
              <w:t>送</w:t>
            </w:r>
          </w:p>
        </w:tc>
        <w:tc>
          <w:tcPr>
            <w:tcW w:w="1134" w:type="dxa"/>
            <w:shd w:val="clear" w:color="auto" w:fill="auto"/>
            <w:vAlign w:val="center"/>
          </w:tcPr>
          <w:p>
            <w:pPr>
              <w:spacing w:line="280" w:lineRule="exact"/>
              <w:ind w:firstLine="352"/>
              <w:rPr>
                <w:rFonts w:cs="微软雅黑"/>
                <w:color w:val="auto"/>
                <w:sz w:val="18"/>
                <w:szCs w:val="18"/>
              </w:rPr>
            </w:pPr>
            <w:r>
              <w:rPr>
                <w:rFonts w:hint="eastAsia" w:cs="宋体"/>
                <w:color w:val="auto"/>
                <w:kern w:val="0"/>
                <w:sz w:val="18"/>
                <w:szCs w:val="18"/>
              </w:rPr>
              <w:t>办理土地增值税清算的纳税人，整体转让在建工程的纳税人视情报送</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13</w:t>
            </w:r>
          </w:p>
        </w:tc>
        <w:tc>
          <w:tcPr>
            <w:tcW w:w="2551"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预售许可证等与转让房地产的收入、成本和费用的证明资料复印件</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spacing w:line="280" w:lineRule="exact"/>
              <w:ind w:firstLine="352"/>
              <w:rPr>
                <w:rFonts w:cs="微软雅黑"/>
                <w:color w:val="auto"/>
                <w:sz w:val="18"/>
                <w:szCs w:val="18"/>
              </w:rPr>
            </w:pP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14</w:t>
            </w:r>
          </w:p>
        </w:tc>
        <w:tc>
          <w:tcPr>
            <w:tcW w:w="2551"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相关记账凭证复印件</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主管税务机关需要相应项目记账凭证的</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15</w:t>
            </w:r>
          </w:p>
        </w:tc>
        <w:tc>
          <w:tcPr>
            <w:tcW w:w="2551"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土地增值税清算税款鉴证报告复印件</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委托税务中介机构审核鉴证的清算项目</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16</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减免土地增值税证明材料复印件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享受土地增值税优惠的纳税人报送</w:t>
            </w:r>
          </w:p>
        </w:tc>
        <w:tc>
          <w:tcPr>
            <w:tcW w:w="1134" w:type="dxa"/>
            <w:vAlign w:val="center"/>
          </w:tcPr>
          <w:p>
            <w:pPr>
              <w:pStyle w:val="62"/>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tcPr>
          <w:p>
            <w:pPr>
              <w:ind w:firstLine="352"/>
              <w:rPr>
                <w:color w:val="auto"/>
              </w:rPr>
            </w:pPr>
            <w:r>
              <w:rPr>
                <w:rFonts w:hint="eastAsia" w:cs="宋体"/>
                <w:color w:val="auto"/>
                <w:kern w:val="0"/>
                <w:sz w:val="18"/>
                <w:szCs w:val="18"/>
              </w:rPr>
              <w:t>是</w:t>
            </w:r>
          </w:p>
        </w:tc>
      </w:tr>
    </w:tbl>
    <w:p>
      <w:pPr>
        <w:pStyle w:val="3"/>
        <w:ind w:firstLine="552"/>
        <w:rPr>
          <w:color w:val="auto"/>
        </w:rPr>
      </w:pPr>
      <w:r>
        <w:rPr>
          <w:color w:val="auto"/>
        </w:rPr>
        <w:pict>
          <v:shape id="_x0000_s1060" o:spid="_x0000_s1060" o:spt="75" type="#_x0000_t75" style="position:absolute;left:0pt;margin-left:3.65pt;margin-top:54.05pt;height:158.85pt;width:435.75pt;mso-wrap-distance-bottom:0pt;mso-wrap-distance-left:9pt;mso-wrap-distance-right:9pt;mso-wrap-distance-top:0pt;z-index:251769856;mso-width-relative:page;mso-height-relative:page;" filled="f" o:preferrelative="t" stroked="f" coordsize="21600,21600">
            <v:path/>
            <v:fill on="f" focussize="0,0"/>
            <v:stroke on="f" joinstyle="miter"/>
            <v:imagedata r:id="rId10" o:title=""/>
            <o:lock v:ext="edit" aspectratio="t"/>
            <w10:wrap type="square"/>
          </v:shape>
        </w:pict>
      </w:r>
      <w:r>
        <w:rPr>
          <w:rFonts w:hint="eastAsia"/>
          <w:color w:val="auto"/>
        </w:rPr>
        <w:t>六</w:t>
      </w:r>
      <w:r>
        <w:rPr>
          <w:color w:val="auto"/>
        </w:rPr>
        <w:t>、办理流程</w:t>
      </w:r>
    </w:p>
    <w:p>
      <w:pPr>
        <w:ind w:left="472" w:firstLine="0" w:firstLineChars="0"/>
        <w:rPr>
          <w:color w:val="auto"/>
        </w:rPr>
      </w:pPr>
    </w:p>
    <w:p>
      <w:pPr>
        <w:ind w:left="472"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资料齐全、符合法定形式的，税务机关受理后限时办结。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A06556《土地增值税纳税申报表（二）（从事房地产开发的纳税人清算适用）》</w:t>
      </w:r>
    </w:p>
    <w:p>
      <w:pPr>
        <w:ind w:firstLine="472"/>
        <w:rPr>
          <w:rFonts w:hint="eastAsia"/>
          <w:color w:val="auto"/>
        </w:rPr>
      </w:pPr>
      <w:r>
        <w:rPr>
          <w:rFonts w:hint="eastAsia"/>
          <w:color w:val="auto"/>
        </w:rPr>
        <w:t>2.</w:t>
      </w:r>
      <w:r>
        <w:rPr>
          <w:color w:val="auto"/>
        </w:rPr>
        <w:t>A06675《土地增值税纳税申报表（五）（从事房地产开发的纳税人清算方式为核定征收适用》</w:t>
      </w:r>
    </w:p>
    <w:p>
      <w:pPr>
        <w:ind w:firstLine="472"/>
        <w:rPr>
          <w:color w:val="auto"/>
        </w:rPr>
      </w:pPr>
      <w:r>
        <w:rPr>
          <w:rFonts w:hint="eastAsia"/>
          <w:color w:val="auto"/>
        </w:rPr>
        <w:t>3.</w:t>
      </w:r>
      <w:r>
        <w:rPr>
          <w:color w:val="auto"/>
        </w:rPr>
        <w:t>A06676《土地增值税纳税申报表（六）（纳税人整体转让在建工程适用）》</w:t>
      </w:r>
      <w:r>
        <w:rPr>
          <w:color w:val="auto"/>
        </w:rPr>
        <w:tab/>
      </w:r>
      <w:r>
        <w:rPr>
          <w:rFonts w:hint="eastAsia" w:eastAsia="黑体" w:asciiTheme="majorHAnsi" w:hAnsiTheme="majorHAnsi" w:cstheme="majorBidi"/>
          <w:bCs/>
          <w:color w:val="auto"/>
          <w:sz w:val="28"/>
          <w:szCs w:val="32"/>
        </w:rPr>
        <w:t>九、注意事项</w:t>
      </w:r>
    </w:p>
    <w:p>
      <w:pPr>
        <w:ind w:firstLine="472"/>
        <w:rPr>
          <w:color w:val="auto"/>
        </w:rPr>
      </w:pPr>
      <w:r>
        <w:rPr>
          <w:color w:val="auto"/>
        </w:rPr>
        <w:t>1.纳税人对报送资料的真实性和合法性承担责任。</w:t>
      </w:r>
    </w:p>
    <w:p>
      <w:pPr>
        <w:ind w:firstLine="472"/>
        <w:rPr>
          <w:rFonts w:hint="eastAsia"/>
          <w:color w:val="auto"/>
        </w:rPr>
      </w:pPr>
      <w:r>
        <w:rPr>
          <w:color w:val="auto"/>
        </w:rPr>
        <w:t>2.最多跑一次是在资料完整且符合法定受理条件的前提下，最多只需要到税务机关跑一次。</w:t>
      </w:r>
    </w:p>
    <w:p>
      <w:pPr>
        <w:ind w:firstLine="472"/>
        <w:rPr>
          <w:color w:val="auto"/>
        </w:rPr>
      </w:pPr>
      <w:r>
        <w:rPr>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38B360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2019-10-31T06:26:23Z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