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2400"/>
      <w:r>
        <w:rPr>
          <w:rFonts w:hint="eastAsia" w:ascii="黑体" w:hAnsi="黑体"/>
          <w:color w:val="auto"/>
          <w:lang w:val="en-US" w:eastAsia="zh-CN"/>
        </w:rPr>
        <w:t>1.3.18.3</w:t>
      </w:r>
      <w:r>
        <w:rPr>
          <w:rFonts w:hint="eastAsia" w:ascii="黑体" w:hAnsi="黑体"/>
          <w:color w:val="auto"/>
        </w:rPr>
        <w:t>城乡居民社会保险费申报</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城乡居民社会保险费申报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color w:val="auto"/>
          <w:sz w:val="24"/>
        </w:rPr>
        <w:t>人工发起（缴费</w:t>
      </w:r>
      <w:r>
        <w:rPr>
          <w:color w:val="auto"/>
          <w:sz w:val="24"/>
        </w:rPr>
        <w:t>人</w:t>
      </w:r>
      <w:r>
        <w:rPr>
          <w:rFonts w:hint="eastAsia"/>
          <w:color w:val="auto"/>
          <w:sz w:val="24"/>
        </w:rPr>
        <w:t>）</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keepNext w:val="0"/>
        <w:keepLines w:val="0"/>
        <w:pageBreakBefore w:val="0"/>
        <w:widowControl w:val="0"/>
        <w:kinsoku/>
        <w:wordWrap/>
        <w:overflowPunct/>
        <w:topLinePunct w:val="0"/>
        <w:autoSpaceDE/>
        <w:autoSpaceDN/>
        <w:bidi w:val="0"/>
        <w:adjustRightInd/>
        <w:snapToGrid w:val="0"/>
        <w:ind w:firstLine="472"/>
        <w:contextualSpacing/>
        <w:textAlignment w:val="auto"/>
        <w:rPr>
          <w:rFonts w:hint="eastAsia"/>
          <w:color w:val="auto"/>
        </w:rPr>
      </w:pPr>
      <w:r>
        <w:rPr>
          <w:rFonts w:hint="eastAsia" w:ascii="宋体" w:hAnsi="宋体" w:eastAsia="宋体"/>
          <w:color w:val="auto"/>
          <w:sz w:val="24"/>
        </w:rPr>
        <w:t>参加城乡居民基本社会保险的缴费人向税务机关申报缴纳社会保险费。城乡居民社会保险费申报分城乡居民基本养老保险费申报和城乡居民基本医疗保险费申报。</w:t>
      </w:r>
    </w:p>
    <w:p>
      <w:pPr>
        <w:pStyle w:val="3"/>
        <w:keepNext w:val="0"/>
        <w:keepLines w:val="0"/>
        <w:pageBreakBefore w:val="0"/>
        <w:widowControl w:val="0"/>
        <w:kinsoku/>
        <w:wordWrap/>
        <w:overflowPunct/>
        <w:topLinePunct w:val="0"/>
        <w:autoSpaceDE/>
        <w:autoSpaceDN/>
        <w:bidi w:val="0"/>
        <w:adjustRightInd/>
        <w:snapToGrid w:val="0"/>
        <w:ind w:firstLine="552"/>
        <w:textAlignment w:val="auto"/>
        <w:rPr>
          <w:color w:val="auto"/>
        </w:rPr>
      </w:pPr>
      <w:r>
        <w:rPr>
          <w:rFonts w:hint="eastAsia"/>
          <w:color w:val="auto"/>
        </w:rPr>
        <w:t>四、设定依据</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val="0"/>
        <w:spacing w:beforeAutospacing="0" w:afterAutospacing="0" w:line="480" w:lineRule="atLeast"/>
        <w:ind w:left="0" w:right="0" w:firstLine="472" w:firstLineChars="200"/>
        <w:textAlignment w:val="auto"/>
        <w:rPr>
          <w:rFonts w:hint="eastAsia" w:ascii="宋体" w:hAnsi="宋体" w:eastAsia="宋体" w:cstheme="majorBidi"/>
          <w:bCs/>
          <w:color w:val="auto"/>
          <w:kern w:val="2"/>
          <w:sz w:val="24"/>
          <w:szCs w:val="32"/>
          <w:lang w:val="en-US" w:eastAsia="zh-CN" w:bidi="ar-SA"/>
        </w:rPr>
      </w:pPr>
      <w:r>
        <w:rPr>
          <w:rFonts w:hint="eastAsia" w:ascii="宋体" w:hAnsi="宋体" w:eastAsia="宋体" w:cstheme="majorBidi"/>
          <w:bCs/>
          <w:color w:val="auto"/>
          <w:kern w:val="2"/>
          <w:sz w:val="24"/>
          <w:szCs w:val="32"/>
          <w:lang w:val="en-US" w:eastAsia="zh-CN" w:bidi="ar-SA"/>
        </w:rPr>
        <w:t>《中华人民共和国社会保险法》（中华人民共和国主席令35号）第二十条　</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val="0"/>
        <w:spacing w:beforeAutospacing="0" w:afterAutospacing="0" w:line="480" w:lineRule="atLeast"/>
        <w:ind w:left="0" w:right="0" w:firstLine="472" w:firstLineChars="200"/>
        <w:textAlignment w:val="auto"/>
        <w:rPr>
          <w:rFonts w:hint="eastAsia" w:ascii="宋体" w:hAnsi="宋体" w:eastAsia="宋体" w:cstheme="majorBidi"/>
          <w:bCs/>
          <w:color w:val="auto"/>
          <w:kern w:val="2"/>
          <w:sz w:val="24"/>
          <w:szCs w:val="32"/>
          <w:lang w:val="en-US" w:eastAsia="zh-CN" w:bidi="ar-SA"/>
        </w:rPr>
      </w:pPr>
      <w:r>
        <w:rPr>
          <w:rFonts w:hint="eastAsia" w:ascii="宋体" w:hAnsi="宋体" w:eastAsia="宋体" w:cstheme="majorBidi"/>
          <w:bCs/>
          <w:color w:val="auto"/>
          <w:kern w:val="2"/>
          <w:sz w:val="24"/>
          <w:szCs w:val="32"/>
          <w:lang w:val="en-US" w:eastAsia="zh-CN" w:bidi="ar-SA"/>
        </w:rPr>
        <w:t>“国家建立和完善新型农村社会养老保险制度。新型农村社会养老保险实行个人缴费、集体补助和政府补贴相结合。”</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val="0"/>
        <w:spacing w:beforeAutospacing="0" w:afterAutospacing="0" w:line="480" w:lineRule="atLeast"/>
        <w:ind w:left="0" w:right="0" w:firstLine="471"/>
        <w:textAlignment w:val="auto"/>
        <w:rPr>
          <w:rFonts w:hint="eastAsia" w:ascii="宋体" w:hAnsi="宋体" w:eastAsia="宋体" w:cstheme="majorBidi"/>
          <w:bCs/>
          <w:color w:val="auto"/>
          <w:kern w:val="2"/>
          <w:sz w:val="24"/>
          <w:szCs w:val="32"/>
          <w:lang w:val="en-US" w:eastAsia="zh-CN" w:bidi="ar-SA"/>
        </w:rPr>
      </w:pPr>
      <w:r>
        <w:rPr>
          <w:rFonts w:hint="eastAsia" w:ascii="宋体" w:hAnsi="宋体" w:eastAsia="宋体" w:cstheme="majorBidi"/>
          <w:bCs/>
          <w:color w:val="auto"/>
          <w:kern w:val="2"/>
          <w:sz w:val="24"/>
          <w:szCs w:val="32"/>
          <w:lang w:val="en-US" w:eastAsia="zh-CN" w:bidi="ar-SA"/>
        </w:rPr>
        <w:t>第二十二条　“国家建立和完善城镇居民社会养老保险制度。省、自治区、直辖市人民政府根据实际情况，可以将城镇居民社会养老保险和新型农村社会养老保险合并实施。”</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val="0"/>
        <w:spacing w:beforeAutospacing="0" w:afterAutospacing="0" w:line="480" w:lineRule="atLeast"/>
        <w:ind w:left="0" w:right="0" w:firstLine="471"/>
        <w:textAlignment w:val="auto"/>
        <w:rPr>
          <w:rFonts w:hint="eastAsia" w:ascii="宋体" w:hAnsi="宋体" w:eastAsia="宋体" w:cstheme="majorBidi"/>
          <w:bCs/>
          <w:color w:val="auto"/>
          <w:kern w:val="2"/>
          <w:sz w:val="24"/>
          <w:szCs w:val="32"/>
          <w:lang w:val="en-US" w:eastAsia="zh-CN" w:bidi="ar-SA"/>
        </w:rPr>
      </w:pPr>
      <w:r>
        <w:rPr>
          <w:rFonts w:hint="eastAsia" w:ascii="宋体" w:hAnsi="宋体" w:eastAsia="宋体" w:cstheme="majorBidi"/>
          <w:bCs/>
          <w:color w:val="auto"/>
          <w:kern w:val="2"/>
          <w:sz w:val="24"/>
          <w:szCs w:val="32"/>
          <w:lang w:val="en-US" w:eastAsia="zh-CN" w:bidi="ar-SA"/>
        </w:rPr>
        <w:t>第二十四条　“国家建立和完善新型农村合作医疗制度。新型农村合作医疗的管理办法，由国务院规定。”</w:t>
      </w:r>
    </w:p>
    <w:p>
      <w:pPr>
        <w:pStyle w:val="1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val="0"/>
        <w:spacing w:beforeAutospacing="0" w:afterAutospacing="0" w:line="480" w:lineRule="atLeast"/>
        <w:ind w:left="0" w:right="0" w:firstLine="471"/>
        <w:textAlignment w:val="auto"/>
        <w:rPr>
          <w:rFonts w:hint="eastAsia" w:ascii="宋体" w:hAnsi="宋体" w:eastAsia="宋体" w:cstheme="majorBidi"/>
          <w:bCs/>
          <w:color w:val="auto"/>
          <w:kern w:val="2"/>
          <w:sz w:val="24"/>
          <w:szCs w:val="32"/>
          <w:lang w:val="en-US" w:eastAsia="zh-CN" w:bidi="ar-SA"/>
        </w:rPr>
      </w:pPr>
      <w:r>
        <w:rPr>
          <w:rFonts w:hint="eastAsia" w:ascii="宋体" w:hAnsi="宋体" w:eastAsia="宋体" w:cstheme="majorBidi"/>
          <w:bCs/>
          <w:color w:val="auto"/>
          <w:kern w:val="2"/>
          <w:sz w:val="24"/>
          <w:szCs w:val="32"/>
          <w:lang w:val="en-US" w:eastAsia="zh-CN" w:bidi="ar-SA"/>
        </w:rPr>
        <w:t>第二十五条　“国家建立和完善城镇居民基本医疗保险制度。城镇居民基本医疗保险实行个人缴费和政府补贴相结合。享受最低生活保障的人、丧失劳动能力的残疾人、低收入家庭六十周岁以上的老年人和未成年人等所需个人缴费部分，由政府给予补贴。”</w:t>
      </w:r>
    </w:p>
    <w:p>
      <w:pPr>
        <w:pStyle w:val="3"/>
        <w:keepNext w:val="0"/>
        <w:keepLines w:val="0"/>
        <w:pageBreakBefore w:val="0"/>
        <w:widowControl w:val="0"/>
        <w:kinsoku/>
        <w:wordWrap/>
        <w:overflowPunct/>
        <w:topLinePunct w:val="0"/>
        <w:autoSpaceDE/>
        <w:autoSpaceDN/>
        <w:bidi w:val="0"/>
        <w:adjustRightInd/>
        <w:snapToGrid w:val="0"/>
        <w:ind w:firstLine="552"/>
        <w:textAlignment w:val="auto"/>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jc w:val="left"/>
              <w:rPr>
                <w:rFonts w:hint="eastAsia" w:eastAsia="宋体" w:cs="宋体"/>
                <w:color w:val="auto"/>
                <w:kern w:val="0"/>
                <w:sz w:val="18"/>
                <w:szCs w:val="18"/>
                <w:lang w:eastAsia="zh-CN"/>
              </w:rPr>
            </w:pPr>
            <w:r>
              <w:rPr>
                <w:rFonts w:hint="eastAsia" w:ascii="宋体" w:hAnsi="宋体" w:eastAsia="宋体" w:cs="宋体"/>
                <w:color w:val="auto"/>
                <w:kern w:val="0"/>
                <w:sz w:val="18"/>
                <w:szCs w:val="18"/>
              </w:rPr>
              <w:t>《社会保险费缴费申报表（适用城乡居民个人）》</w:t>
            </w:r>
          </w:p>
        </w:tc>
        <w:tc>
          <w:tcPr>
            <w:tcW w:w="709"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是</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lang w:val="en-US" w:eastAsia="zh-CN"/>
        </w:rPr>
        <w:t>六、</w:t>
      </w:r>
      <w:r>
        <w:rPr>
          <w:rFonts w:hint="eastAsia"/>
          <w:color w:val="auto"/>
        </w:rPr>
        <w:t>办理流程</w:t>
      </w:r>
    </w:p>
    <w:p>
      <w:pPr>
        <w:spacing w:line="240" w:lineRule="auto"/>
        <w:ind w:left="471" w:firstLine="0" w:firstLineChars="0"/>
        <w:rPr>
          <w:color w:val="auto"/>
        </w:rPr>
      </w:pPr>
    </w:p>
    <w:p>
      <w:pPr>
        <w:spacing w:line="240" w:lineRule="auto"/>
        <w:ind w:left="471" w:firstLine="0" w:firstLineChars="0"/>
        <w:rPr>
          <w:rFonts w:hint="eastAsia"/>
          <w:color w:val="auto"/>
        </w:rPr>
      </w:pPr>
      <w:r>
        <w:rPr>
          <w:rFonts w:hint="default"/>
          <w:color w:val="auto"/>
        </w:rPr>
        <w:object>
          <v:shape id="_x0000_i1109" o:spt="75" type="#_x0000_t75" style="height:87.2pt;width:416.2pt;" o:ole="t" filled="f" o:preferrelative="t" stroked="f" coordsize="21600,21600">
            <v:path/>
            <v:fill on="f" focussize="0,0"/>
            <v:stroke on="f" joinstyle="miter"/>
            <v:imagedata r:id="rId11" o:title=""/>
            <o:lock v:ext="edit" aspectratio="f"/>
            <w10:wrap type="none"/>
            <w10:anchorlock/>
          </v:shape>
          <o:OLEObject Type="Embed" ProgID="Visio.Drawing.15" ShapeID="_x0000_i1109"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ascii="宋体" w:hAnsi="宋体" w:eastAsia="宋体"/>
          <w:color w:val="auto"/>
          <w:szCs w:val="21"/>
        </w:rPr>
        <w:t>A06849</w:t>
      </w:r>
      <w:r>
        <w:rPr>
          <w:rFonts w:hint="eastAsia" w:ascii="宋体" w:hAnsi="宋体" w:eastAsia="宋体" w:cs="宋体"/>
          <w:color w:val="auto"/>
          <w:kern w:val="0"/>
          <w:sz w:val="24"/>
          <w:szCs w:val="24"/>
        </w:rPr>
        <w:t>《社会保险费缴费申报表（适用城乡居民个人）》</w:t>
      </w:r>
    </w:p>
    <w:p>
      <w:pPr>
        <w:pStyle w:val="3"/>
        <w:ind w:firstLine="552"/>
        <w:rPr>
          <w:color w:val="auto"/>
        </w:rPr>
      </w:pPr>
      <w:r>
        <w:rPr>
          <w:rFonts w:hint="eastAsia"/>
          <w:color w:val="auto"/>
        </w:rPr>
        <w:t>九、注意事项</w:t>
      </w:r>
    </w:p>
    <w:p>
      <w:pPr>
        <w:ind w:firstLine="472"/>
        <w:jc w:val="left"/>
        <w:rPr>
          <w:rFonts w:hint="eastAsia" w:ascii="宋体" w:hAnsi="宋体" w:eastAsia="宋体"/>
          <w:color w:val="auto"/>
          <w:sz w:val="24"/>
        </w:rPr>
      </w:pPr>
      <w:r>
        <w:rPr>
          <w:rFonts w:hint="eastAsia"/>
          <w:color w:val="auto"/>
          <w:lang w:val="en-US" w:eastAsia="zh-CN"/>
        </w:rPr>
        <w:t>1.</w:t>
      </w:r>
      <w:r>
        <w:rPr>
          <w:rFonts w:hint="eastAsia" w:ascii="宋体" w:hAnsi="宋体" w:eastAsia="宋体"/>
          <w:color w:val="auto"/>
          <w:sz w:val="24"/>
        </w:rPr>
        <w:t>城乡居民应当在向社保经办机构申请办理社会保险缴费登记且主管税务机关完成参保缴费、信息关联和费种认定后，向主管税务机关进行申报。</w:t>
      </w:r>
    </w:p>
    <w:p>
      <w:pPr>
        <w:ind w:firstLine="472"/>
        <w:rPr>
          <w:color w:val="auto"/>
        </w:rPr>
      </w:pPr>
      <w:r>
        <w:rPr>
          <w:rFonts w:hint="eastAsia"/>
          <w:color w:val="auto"/>
          <w:lang w:val="en-US" w:eastAsia="zh-CN"/>
        </w:rPr>
        <w:t>2</w:t>
      </w:r>
      <w:r>
        <w:rPr>
          <w:color w:val="auto"/>
        </w:rPr>
        <w:t>.</w:t>
      </w:r>
      <w:r>
        <w:rPr>
          <w:rFonts w:hint="eastAsia"/>
          <w:color w:val="auto"/>
        </w:rPr>
        <w:t>缴费人</w:t>
      </w:r>
      <w:r>
        <w:rPr>
          <w:color w:val="auto"/>
        </w:rPr>
        <w:t>对报送资料的真实性和合法性承担责任。</w:t>
      </w:r>
    </w:p>
    <w:p>
      <w:pPr>
        <w:ind w:firstLine="472"/>
        <w:rPr>
          <w:color w:val="auto"/>
        </w:rPr>
      </w:pPr>
      <w:r>
        <w:rPr>
          <w:rFonts w:hint="eastAsia"/>
          <w:color w:val="auto"/>
          <w:lang w:val="en-US" w:eastAsia="zh-CN"/>
        </w:rPr>
        <w:t>3</w:t>
      </w:r>
      <w:r>
        <w:rPr>
          <w:color w:val="auto"/>
        </w:rPr>
        <w:t>.最多跑一次是在资料完整且符合法定受理条件的前提下，最多只需要到税务机关跑一次。</w:t>
      </w:r>
    </w:p>
    <w:p>
      <w:pPr>
        <w:ind w:firstLine="472"/>
        <w:jc w:val="left"/>
        <w:rPr>
          <w:rFonts w:hint="eastAsia" w:ascii="宋体" w:hAnsi="宋体" w:eastAsia="宋体"/>
          <w:color w:val="auto"/>
          <w:sz w:val="24"/>
        </w:rPr>
      </w:pPr>
      <w:r>
        <w:rPr>
          <w:rFonts w:hint="eastAsia"/>
          <w:color w:val="auto"/>
          <w:lang w:val="en-US" w:eastAsia="zh-CN"/>
        </w:rPr>
        <w:t>4.缴费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4F8334A"/>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2019-10-31T06:29:29Z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