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552"/>
        <w:rPr>
          <w:rFonts w:hint="eastAsia" w:ascii="黑体" w:hAnsi="黑体"/>
          <w:color w:val="auto"/>
        </w:rPr>
      </w:pPr>
      <w:bookmarkStart w:id="1" w:name="_GoBack"/>
      <w:bookmarkEnd w:id="1"/>
      <w:bookmarkStart w:id="0" w:name="_Toc17882"/>
      <w:r>
        <w:rPr>
          <w:rFonts w:hint="eastAsia" w:ascii="黑体" w:hAnsi="黑体"/>
          <w:color w:val="auto"/>
        </w:rPr>
        <w:t>1.3.22.</w:t>
      </w:r>
      <w:r>
        <w:rPr>
          <w:rFonts w:hint="eastAsia" w:ascii="黑体" w:hAnsi="黑体"/>
          <w:color w:val="auto"/>
          <w:lang w:val="en-US" w:eastAsia="zh-CN"/>
        </w:rPr>
        <w:t>17</w:t>
      </w:r>
      <w:r>
        <w:rPr>
          <w:rFonts w:hint="eastAsia" w:ascii="黑体" w:hAnsi="黑体"/>
          <w:color w:val="auto"/>
        </w:rPr>
        <w:t>消费税相关资料采集</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消费税相关资料采集</w:t>
      </w:r>
    </w:p>
    <w:p>
      <w:pPr>
        <w:pStyle w:val="3"/>
        <w:ind w:firstLine="552"/>
        <w:rPr>
          <w:color w:val="auto"/>
        </w:rPr>
      </w:pPr>
      <w:r>
        <w:rPr>
          <w:color w:val="auto"/>
        </w:rPr>
        <w:t>二、事项类别</w:t>
      </w:r>
    </w:p>
    <w:p>
      <w:pPr>
        <w:pStyle w:val="47"/>
        <w:numPr>
          <w:ilvl w:val="0"/>
          <w:numId w:val="3"/>
        </w:numPr>
        <w:ind w:firstLineChars="0"/>
        <w:rPr>
          <w:rFonts w:hint="eastAsia"/>
          <w:color w:val="auto"/>
        </w:rPr>
      </w:pPr>
      <w:r>
        <w:rPr>
          <w:rFonts w:hint="eastAsia"/>
          <w:color w:val="auto"/>
        </w:rPr>
        <w:t>发起方式：人工发起（纳税人）</w:t>
      </w:r>
    </w:p>
    <w:p>
      <w:pPr>
        <w:pStyle w:val="47"/>
        <w:numPr>
          <w:ilvl w:val="0"/>
          <w:numId w:val="3"/>
        </w:numPr>
        <w:ind w:firstLineChars="0"/>
        <w:rPr>
          <w:rFonts w:hint="eastAsia"/>
          <w:color w:val="auto"/>
        </w:rPr>
      </w:pPr>
      <w:r>
        <w:rPr>
          <w:rFonts w:hint="eastAsia"/>
          <w:color w:val="auto"/>
        </w:rPr>
        <w:t>办结方式：即办</w:t>
      </w:r>
    </w:p>
    <w:p>
      <w:pPr>
        <w:pStyle w:val="47"/>
        <w:numPr>
          <w:ilvl w:val="0"/>
          <w:numId w:val="3"/>
        </w:numPr>
        <w:ind w:firstLineChars="0"/>
        <w:rPr>
          <w:rFonts w:hint="eastAsia"/>
          <w:color w:val="auto"/>
        </w:rPr>
      </w:pPr>
      <w:r>
        <w:rPr>
          <w:rFonts w:hint="eastAsia"/>
          <w:color w:val="auto"/>
        </w:rPr>
        <w:t>全省通办：否</w:t>
      </w:r>
    </w:p>
    <w:p>
      <w:pPr>
        <w:pStyle w:val="47"/>
        <w:numPr>
          <w:ilvl w:val="0"/>
          <w:numId w:val="3"/>
        </w:numPr>
        <w:ind w:firstLineChars="0"/>
        <w:rPr>
          <w:rFonts w:hint="eastAsia"/>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lang w:eastAsia="zh-CN"/>
        </w:rPr>
        <w:t>办理条件</w:t>
      </w:r>
    </w:p>
    <w:p>
      <w:pPr>
        <w:rPr>
          <w:color w:val="auto"/>
        </w:rPr>
      </w:pPr>
      <w:r>
        <w:rPr>
          <w:rFonts w:hint="eastAsia"/>
          <w:color w:val="auto"/>
        </w:rPr>
        <w:t>消费税相关资料采集是指按照税收法律法规等相关规定，除正常申报外，消费税纳税人还应向税务机关报送采集的其他资料。消费税相关资料采集范围：新牌号、新规格卷烟信息的资料采集、消费税涉税信息采集、消费税退（免）税资料报送与信息采集等。具体：</w:t>
      </w:r>
    </w:p>
    <w:p>
      <w:pPr>
        <w:ind w:left="472" w:firstLine="0" w:firstLineChars="0"/>
        <w:rPr>
          <w:color w:val="auto"/>
        </w:rPr>
      </w:pPr>
      <w:r>
        <w:rPr>
          <w:color w:val="auto"/>
        </w:rPr>
        <w:t>1.新牌号、新规格卷烟信息的资料采集</w:t>
      </w:r>
    </w:p>
    <w:p>
      <w:pPr>
        <w:rPr>
          <w:color w:val="auto"/>
        </w:rPr>
      </w:pPr>
      <w:r>
        <w:rPr>
          <w:rFonts w:hint="eastAsia"/>
          <w:color w:val="auto"/>
        </w:rPr>
        <w:t>卷烟生产企业应于新牌号、新规格卷烟实际销售的当月，向主管税务机关填报《新牌号、新规格卷烟信息汇总表》，报送新牌号、新规格卷烟的卷烟牌号规格、类别、卷烟条包装商品条码、调拨价格、批发价格及建议计税价格等信息。</w:t>
      </w:r>
    </w:p>
    <w:p>
      <w:pPr>
        <w:ind w:left="472" w:firstLine="0" w:firstLineChars="0"/>
        <w:rPr>
          <w:color w:val="auto"/>
        </w:rPr>
      </w:pPr>
      <w:r>
        <w:rPr>
          <w:color w:val="auto"/>
        </w:rPr>
        <w:t>2.消费税涉税信息采集</w:t>
      </w:r>
    </w:p>
    <w:p>
      <w:pPr>
        <w:rPr>
          <w:color w:val="auto"/>
        </w:rPr>
      </w:pPr>
      <w:r>
        <w:rPr>
          <w:rFonts w:hint="eastAsia"/>
          <w:color w:val="auto"/>
        </w:rPr>
        <w:t>每年度</w:t>
      </w:r>
      <w:r>
        <w:rPr>
          <w:color w:val="auto"/>
        </w:rPr>
        <w:t>5月底之前，主管税务机关应就烟、酒、车、油等消费税税目采集消费税纳税人信息和消费税货物信息，便于总局对全国消费税涉税信息进行统计分析和供各级国家税务局做消费税纳税评估、税收核查等应用，以便及时掌握消费税税源变化情况，评估分析消费税税收政策执行效应，为消费税税收政策调整提供数据支持。</w:t>
      </w:r>
    </w:p>
    <w:p>
      <w:pPr>
        <w:pStyle w:val="3"/>
        <w:ind w:left="0" w:leftChars="0" w:firstLine="552" w:firstLineChars="200"/>
        <w:rPr>
          <w:color w:val="auto"/>
        </w:rPr>
      </w:pPr>
      <w:r>
        <w:rPr>
          <w:rFonts w:hint="eastAsia"/>
          <w:color w:val="auto"/>
        </w:rPr>
        <w:t>四、设定依据</w:t>
      </w:r>
    </w:p>
    <w:p>
      <w:pPr>
        <w:ind w:firstLine="472"/>
        <w:rPr>
          <w:rFonts w:hint="eastAsia" w:eastAsia="宋体"/>
          <w:color w:val="auto"/>
          <w:lang w:eastAsia="zh-CN"/>
        </w:rPr>
      </w:pPr>
      <w:r>
        <w:rPr>
          <w:rFonts w:hint="eastAsia"/>
          <w:color w:val="auto"/>
        </w:rPr>
        <w:t>1.《卷烟消费税计税价格信息采集和核定管理办法》（国家税务总局令第</w:t>
      </w:r>
      <w:r>
        <w:rPr>
          <w:color w:val="auto"/>
        </w:rPr>
        <w:t>26号）全文</w:t>
      </w:r>
    </w:p>
    <w:p>
      <w:pPr>
        <w:ind w:firstLine="472"/>
        <w:rPr>
          <w:rFonts w:hint="eastAsia" w:eastAsia="宋体"/>
          <w:color w:val="auto"/>
          <w:lang w:eastAsia="zh-CN"/>
        </w:rPr>
      </w:pPr>
      <w:r>
        <w:rPr>
          <w:rFonts w:hint="eastAsia"/>
          <w:color w:val="auto"/>
        </w:rPr>
        <w:t>2.《财政部中国人民银行国家税务总局关于延续执行部分石脑油燃料油消费税政策的通知》（财税2011年第87号）全文</w:t>
      </w:r>
    </w:p>
    <w:p>
      <w:pPr>
        <w:ind w:firstLine="472"/>
        <w:rPr>
          <w:rFonts w:hint="eastAsia" w:eastAsia="宋体"/>
          <w:color w:val="auto"/>
          <w:lang w:eastAsia="zh-CN"/>
        </w:rPr>
      </w:pPr>
      <w:r>
        <w:rPr>
          <w:rFonts w:hint="eastAsia"/>
          <w:color w:val="auto"/>
        </w:rPr>
        <w:t>3.《国家税务总局海关总署关于石脑油燃料油生产乙烯芳烃类化工产品消费税退税问题的公告》（国家税务总局海关总署公告2013年第29号）全文</w:t>
      </w:r>
    </w:p>
    <w:p>
      <w:pPr>
        <w:ind w:firstLine="472"/>
        <w:rPr>
          <w:rFonts w:hint="eastAsia" w:eastAsia="宋体"/>
          <w:color w:val="auto"/>
          <w:lang w:eastAsia="zh-CN"/>
        </w:rPr>
      </w:pPr>
      <w:r>
        <w:rPr>
          <w:rFonts w:hint="eastAsia"/>
          <w:color w:val="auto"/>
        </w:rPr>
        <w:t>4.《国家税务总局关于印发〈消费税涉税信息采集和应用管理办法（试行）〉的通知》（国税函2012年第207号）全文</w:t>
      </w:r>
    </w:p>
    <w:p>
      <w:pPr>
        <w:ind w:firstLine="472"/>
        <w:rPr>
          <w:rFonts w:hint="eastAsia" w:eastAsia="宋体"/>
          <w:color w:val="auto"/>
          <w:lang w:eastAsia="zh-CN"/>
        </w:rPr>
      </w:pPr>
      <w:r>
        <w:rPr>
          <w:rFonts w:hint="eastAsia"/>
          <w:color w:val="auto"/>
        </w:rPr>
        <w:t>5.《国家税务总局关于发布〈用于生产乙烯、芳烃类化工产品的石脑油、燃料油退（免）消费税暂行办法〉的公告》（国家税务总局公告2012年第36号）全文（第一条第三款失效。《暂行办法》第三条、第六条、第十一条、第十二条、第十三条、第十五条、第二十二条、第二十六条第二款、第二十七条以及《暂行办法》的附件1、附件2、附件3、附件4、附件5同时废止。）</w:t>
      </w:r>
    </w:p>
    <w:p>
      <w:pPr>
        <w:ind w:firstLine="472"/>
        <w:rPr>
          <w:rFonts w:hint="eastAsia" w:eastAsia="宋体"/>
          <w:color w:val="auto"/>
          <w:lang w:eastAsia="zh-CN"/>
        </w:rPr>
      </w:pPr>
      <w:r>
        <w:rPr>
          <w:rFonts w:hint="eastAsia"/>
          <w:color w:val="auto"/>
        </w:rPr>
        <w:t>6.《国家税务总局关于印发&lt;石脑油、燃料油退（免）消费税管理操作规程（试行）&gt;的通知》（税总函2014年第412号）第六条</w:t>
      </w:r>
    </w:p>
    <w:p>
      <w:pPr>
        <w:ind w:firstLine="472"/>
        <w:rPr>
          <w:rFonts w:hint="eastAsia"/>
          <w:color w:val="auto"/>
          <w:lang w:val="en-US" w:eastAsia="zh-CN"/>
        </w:rPr>
      </w:pPr>
      <w:r>
        <w:rPr>
          <w:rFonts w:hint="eastAsia"/>
          <w:color w:val="auto"/>
          <w:lang w:val="en-US" w:eastAsia="zh-CN"/>
        </w:rPr>
        <w:t>“第六条使用企业资格备案及备案事项变更的资料包括：</w:t>
      </w:r>
    </w:p>
    <w:p>
      <w:pPr>
        <w:ind w:firstLine="472"/>
        <w:rPr>
          <w:rFonts w:hint="eastAsia"/>
          <w:color w:val="auto"/>
          <w:lang w:val="en-US" w:eastAsia="zh-CN"/>
        </w:rPr>
      </w:pPr>
      <w:r>
        <w:rPr>
          <w:rFonts w:hint="eastAsia"/>
          <w:color w:val="auto"/>
          <w:lang w:val="en-US" w:eastAsia="zh-CN"/>
        </w:rPr>
        <w:t>（一）《石脑油、燃料油消费税退（免）税资格备案表》；</w:t>
      </w:r>
    </w:p>
    <w:p>
      <w:pPr>
        <w:ind w:firstLine="472"/>
        <w:rPr>
          <w:rFonts w:hint="eastAsia"/>
          <w:color w:val="auto"/>
          <w:lang w:val="en-US" w:eastAsia="zh-CN"/>
        </w:rPr>
      </w:pPr>
      <w:r>
        <w:rPr>
          <w:rFonts w:hint="eastAsia"/>
          <w:color w:val="auto"/>
          <w:lang w:val="en-US" w:eastAsia="zh-CN"/>
        </w:rPr>
        <w:t>（二）石脑油、燃料油用于生产乙烯、芳烃类化工产品的工艺设计方案、装置工艺流程以及相关生产设备情况；</w:t>
      </w:r>
    </w:p>
    <w:p>
      <w:pPr>
        <w:ind w:firstLine="472"/>
        <w:rPr>
          <w:rFonts w:hint="eastAsia"/>
          <w:color w:val="auto"/>
          <w:lang w:val="en-US" w:eastAsia="zh-CN"/>
        </w:rPr>
      </w:pPr>
      <w:r>
        <w:rPr>
          <w:rFonts w:hint="eastAsia"/>
          <w:color w:val="auto"/>
          <w:lang w:val="en-US" w:eastAsia="zh-CN"/>
        </w:rPr>
        <w:t>（三）石脑油、燃料油用于生产乙烯、芳烃类化工产品的物料平衡图，要求标注每套生产装置的投入产出比例及年处理能力；</w:t>
      </w:r>
    </w:p>
    <w:p>
      <w:pPr>
        <w:ind w:firstLine="472"/>
        <w:rPr>
          <w:rFonts w:hint="eastAsia"/>
          <w:color w:val="auto"/>
          <w:lang w:val="en-US" w:eastAsia="zh-CN"/>
        </w:rPr>
      </w:pPr>
      <w:r>
        <w:rPr>
          <w:rFonts w:hint="eastAsia"/>
          <w:color w:val="auto"/>
          <w:lang w:val="en-US" w:eastAsia="zh-CN"/>
        </w:rPr>
        <w:t>（四）原料储罐、产成品储罐和产成品仓库的分布图、用途、储存容量的相关资料；</w:t>
      </w:r>
    </w:p>
    <w:p>
      <w:pPr>
        <w:ind w:firstLine="472"/>
        <w:rPr>
          <w:rFonts w:hint="eastAsia"/>
          <w:color w:val="auto"/>
          <w:lang w:val="en-US" w:eastAsia="zh-CN"/>
        </w:rPr>
      </w:pPr>
      <w:r>
        <w:rPr>
          <w:rFonts w:hint="eastAsia"/>
          <w:color w:val="auto"/>
          <w:lang w:val="en-US" w:eastAsia="zh-CN"/>
        </w:rPr>
        <w:t>（五）乙烯、芳烃类化工产品生产装置的全部流量计的安装位置图和计量方法说明，以及原材料密度的测量和计算方法说明；</w:t>
      </w:r>
    </w:p>
    <w:p>
      <w:pPr>
        <w:ind w:firstLine="472"/>
        <w:rPr>
          <w:rFonts w:hint="eastAsia"/>
          <w:color w:val="auto"/>
          <w:lang w:val="en-US" w:eastAsia="zh-CN"/>
        </w:rPr>
      </w:pPr>
      <w:r>
        <w:rPr>
          <w:rFonts w:hint="eastAsia"/>
          <w:color w:val="auto"/>
          <w:lang w:val="en-US" w:eastAsia="zh-CN"/>
        </w:rPr>
        <w:t>（六）上一年度用石脑油、燃料油生产乙烯、芳烃类化工产品的分品种的销售明细表；</w:t>
      </w:r>
    </w:p>
    <w:p>
      <w:pPr>
        <w:ind w:firstLine="472"/>
        <w:rPr>
          <w:rFonts w:hint="eastAsia"/>
          <w:color w:val="auto"/>
          <w:lang w:val="en-US" w:eastAsia="zh-CN"/>
        </w:rPr>
      </w:pPr>
      <w:r>
        <w:rPr>
          <w:rFonts w:hint="eastAsia"/>
          <w:color w:val="auto"/>
          <w:lang w:val="en-US" w:eastAsia="zh-CN"/>
        </w:rPr>
        <w:t>（七）营业执照登记、省级以上安全生产监督管理部门颁发的危险化学品《安全生产许可证》、如使用企业处于试生产阶段，应提供省级以上安全生产监督管理部门出具的试生产备案意见书原件及复印件；</w:t>
      </w:r>
    </w:p>
    <w:p>
      <w:pPr>
        <w:ind w:firstLine="472"/>
        <w:rPr>
          <w:rFonts w:hint="eastAsia"/>
          <w:color w:val="auto"/>
          <w:lang w:val="en-US" w:eastAsia="zh-CN"/>
        </w:rPr>
      </w:pPr>
      <w:r>
        <w:rPr>
          <w:rFonts w:hint="eastAsia"/>
          <w:color w:val="auto"/>
          <w:lang w:val="en-US" w:eastAsia="zh-CN"/>
        </w:rPr>
        <w:t>（八）《石脑油、燃料油消费税退税资格备案表》。”</w:t>
      </w:r>
    </w:p>
    <w:p>
      <w:pPr>
        <w:ind w:firstLine="472"/>
        <w:rPr>
          <w:rFonts w:hint="eastAsia"/>
          <w:color w:val="auto"/>
          <w:lang w:val="en-US" w:eastAsia="zh-CN"/>
        </w:rPr>
      </w:pPr>
      <w:r>
        <w:rPr>
          <w:rFonts w:hint="eastAsia"/>
          <w:color w:val="auto"/>
          <w:lang w:val="en-US" w:eastAsia="zh-CN"/>
        </w:rPr>
        <w:t>7.《国家税务总局关于取消乙烯、芳烃生产企业退税资格认定审批事项有关管理问题的公告》（国家税务总局公告2015年第54号）全文</w:t>
      </w:r>
    </w:p>
    <w:p>
      <w:pPr>
        <w:pStyle w:val="3"/>
        <w:pageBreakBefore w:val="0"/>
        <w:widowControl w:val="0"/>
        <w:numPr>
          <w:ilvl w:val="0"/>
          <w:numId w:val="0"/>
        </w:numPr>
        <w:kinsoku/>
        <w:wordWrap/>
        <w:overflowPunct/>
        <w:topLinePunct w:val="0"/>
        <w:autoSpaceDE/>
        <w:autoSpaceDN/>
        <w:bidi w:val="0"/>
        <w:adjustRightInd/>
        <w:snapToGrid/>
        <w:spacing w:line="240" w:lineRule="auto"/>
        <w:ind w:firstLine="552" w:firstLineChars="200"/>
        <w:textAlignment w:val="auto"/>
        <w:rPr>
          <w:color w:val="auto"/>
          <w:lang w:val="en-US" w:eastAsia="zh-CN"/>
        </w:rPr>
      </w:pPr>
      <w:r>
        <w:rPr>
          <w:rFonts w:hint="eastAsia"/>
          <w:color w:val="auto"/>
          <w:lang w:val="en-US" w:eastAsia="zh-CN"/>
        </w:rPr>
        <w:t>五、办理材料</w:t>
      </w:r>
    </w:p>
    <w:tbl>
      <w:tblPr>
        <w:tblStyle w:val="15"/>
        <w:tblW w:w="9017"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347"/>
        <w:gridCol w:w="1173"/>
        <w:gridCol w:w="13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347"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73"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39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eastAsia="宋体"/>
                <w:color w:val="auto"/>
                <w:sz w:val="18"/>
                <w:szCs w:val="18"/>
              </w:rPr>
              <w:t>《新牌号、新规格卷烟信息汇总表》</w:t>
            </w:r>
          </w:p>
        </w:tc>
        <w:tc>
          <w:tcPr>
            <w:tcW w:w="709"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Style w:val="17"/>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rPr>
              <w:t>条件报送</w:t>
            </w:r>
          </w:p>
        </w:tc>
        <w:tc>
          <w:tcPr>
            <w:tcW w:w="1347" w:type="dxa"/>
            <w:shd w:val="clear" w:color="auto" w:fill="auto"/>
            <w:vAlign w:val="center"/>
          </w:tcPr>
          <w:p>
            <w:pPr>
              <w:pStyle w:val="13"/>
              <w:widowControl/>
              <w:spacing w:before="100" w:after="100" w:line="280" w:lineRule="exact"/>
              <w:ind w:firstLine="0" w:firstLineChars="0"/>
              <w:rPr>
                <w:rFonts w:hint="eastAsia" w:ascii="宋体" w:hAnsi="宋体" w:eastAsia="宋体"/>
                <w:color w:val="auto"/>
                <w:sz w:val="18"/>
                <w:szCs w:val="18"/>
              </w:rPr>
            </w:pPr>
            <w:r>
              <w:rPr>
                <w:rFonts w:hint="eastAsia" w:ascii="宋体" w:hAnsi="宋体" w:eastAsia="宋体"/>
                <w:color w:val="auto"/>
                <w:sz w:val="18"/>
                <w:szCs w:val="18"/>
              </w:rPr>
              <w:t>报送新牌号、新规格卷烟信息的企业</w:t>
            </w:r>
          </w:p>
        </w:tc>
        <w:tc>
          <w:tcPr>
            <w:tcW w:w="1173"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39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ind w:firstLine="0" w:firstLineChars="0"/>
              <w:rPr>
                <w:rFonts w:cs="宋体"/>
                <w:color w:val="auto"/>
                <w:kern w:val="0"/>
                <w:sz w:val="18"/>
                <w:szCs w:val="18"/>
              </w:rPr>
            </w:pPr>
            <w:r>
              <w:rPr>
                <w:rFonts w:hint="eastAsia" w:ascii="宋体" w:hAnsi="宋体" w:eastAsia="宋体"/>
                <w:color w:val="auto"/>
                <w:sz w:val="18"/>
                <w:szCs w:val="18"/>
              </w:rPr>
              <w:t>《烟消费税涉税信息采集表》</w:t>
            </w:r>
          </w:p>
        </w:tc>
        <w:tc>
          <w:tcPr>
            <w:tcW w:w="709"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Style w:val="17"/>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ind w:firstLine="0" w:firstLineChars="0"/>
              <w:jc w:val="center"/>
              <w:rPr>
                <w:rFonts w:cs="宋体"/>
                <w:color w:val="auto"/>
                <w:kern w:val="0"/>
                <w:sz w:val="18"/>
                <w:szCs w:val="18"/>
              </w:rPr>
            </w:pPr>
            <w:r>
              <w:rPr>
                <w:rFonts w:hint="eastAsia" w:ascii="宋体" w:hAnsi="宋体" w:eastAsia="宋体" w:cs="微软雅黑"/>
                <w:color w:val="auto"/>
                <w:sz w:val="18"/>
                <w:szCs w:val="18"/>
              </w:rPr>
              <w:t>条件报送</w:t>
            </w:r>
          </w:p>
        </w:tc>
        <w:tc>
          <w:tcPr>
            <w:tcW w:w="1347" w:type="dxa"/>
            <w:shd w:val="clear" w:color="auto" w:fill="auto"/>
            <w:vAlign w:val="center"/>
          </w:tcPr>
          <w:p>
            <w:pPr>
              <w:pStyle w:val="13"/>
              <w:widowControl/>
              <w:spacing w:before="100" w:after="100" w:line="280" w:lineRule="exact"/>
              <w:ind w:firstLine="0" w:firstLineChars="0"/>
              <w:rPr>
                <w:rFonts w:hint="eastAsia" w:ascii="宋体" w:hAnsi="宋体" w:eastAsia="宋体"/>
                <w:color w:val="auto"/>
                <w:sz w:val="18"/>
                <w:szCs w:val="18"/>
              </w:rPr>
            </w:pPr>
            <w:r>
              <w:rPr>
                <w:rFonts w:hint="eastAsia" w:ascii="宋体" w:hAnsi="宋体" w:eastAsia="宋体"/>
                <w:color w:val="auto"/>
                <w:sz w:val="18"/>
                <w:szCs w:val="18"/>
              </w:rPr>
              <w:t>消费税涉税信息的企业</w:t>
            </w:r>
          </w:p>
        </w:tc>
        <w:tc>
          <w:tcPr>
            <w:tcW w:w="1173"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39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eastAsia="宋体"/>
                <w:color w:val="auto"/>
                <w:sz w:val="18"/>
                <w:szCs w:val="18"/>
              </w:rPr>
              <w:t>《酒消费税涉税信息采集表》</w:t>
            </w:r>
          </w:p>
        </w:tc>
        <w:tc>
          <w:tcPr>
            <w:tcW w:w="709"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Style w:val="17"/>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347" w:type="dxa"/>
            <w:shd w:val="clear" w:color="auto" w:fill="auto"/>
            <w:vAlign w:val="center"/>
          </w:tcPr>
          <w:p>
            <w:pPr>
              <w:pStyle w:val="13"/>
              <w:widowControl/>
              <w:spacing w:before="100" w:after="100" w:line="280" w:lineRule="exact"/>
              <w:ind w:firstLine="0" w:firstLineChars="0"/>
              <w:rPr>
                <w:rFonts w:hint="eastAsia" w:ascii="宋体" w:hAnsi="宋体" w:eastAsia="宋体"/>
                <w:color w:val="auto"/>
                <w:sz w:val="18"/>
                <w:szCs w:val="18"/>
              </w:rPr>
            </w:pPr>
            <w:r>
              <w:rPr>
                <w:rFonts w:hint="eastAsia" w:ascii="宋体" w:hAnsi="宋体" w:eastAsia="宋体"/>
                <w:color w:val="auto"/>
                <w:sz w:val="18"/>
                <w:szCs w:val="18"/>
              </w:rPr>
              <w:t>消费税涉税信息的企业</w:t>
            </w:r>
          </w:p>
        </w:tc>
        <w:tc>
          <w:tcPr>
            <w:tcW w:w="117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94" w:type="dxa"/>
            <w:shd w:val="clear" w:color="auto" w:fill="auto"/>
            <w:vAlign w:val="center"/>
          </w:tcPr>
          <w:p>
            <w:pPr>
              <w:widowControl/>
              <w:spacing w:line="280" w:lineRule="exact"/>
              <w:ind w:firstLine="0" w:firstLineChars="0"/>
              <w:jc w:val="left"/>
              <w:rPr>
                <w:rFonts w:hint="eastAsia" w:cs="宋体"/>
                <w:color w:val="auto"/>
                <w:kern w:val="0"/>
                <w:sz w:val="18"/>
                <w:szCs w:val="18"/>
              </w:rPr>
            </w:pPr>
          </w:p>
          <w:p>
            <w:pPr>
              <w:bidi w:val="0"/>
              <w:ind w:left="0" w:leftChars="0" w:firstLine="352" w:firstLineChars="200"/>
              <w:jc w:val="left"/>
              <w:rPr>
                <w:rFonts w:hint="eastAsia" w:ascii="宋体" w:hAnsi="宋体" w:eastAsia="宋体" w:cs="Times New Roman"/>
                <w:color w:val="auto"/>
                <w:kern w:val="2"/>
                <w:sz w:val="24"/>
                <w:szCs w:val="22"/>
                <w:lang w:val="en-US" w:eastAsia="zh-CN" w:bidi="ar-SA"/>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eastAsia="宋体"/>
                <w:color w:val="auto"/>
                <w:sz w:val="18"/>
                <w:szCs w:val="18"/>
              </w:rPr>
              <w:t>《汽车摩托车涉税信息采集表》</w:t>
            </w:r>
          </w:p>
        </w:tc>
        <w:tc>
          <w:tcPr>
            <w:tcW w:w="709"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Style w:val="17"/>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347" w:type="dxa"/>
            <w:shd w:val="clear" w:color="auto" w:fill="auto"/>
            <w:vAlign w:val="center"/>
          </w:tcPr>
          <w:p>
            <w:pPr>
              <w:pStyle w:val="13"/>
              <w:widowControl/>
              <w:spacing w:before="100" w:after="100" w:line="280" w:lineRule="exact"/>
              <w:ind w:firstLine="0" w:firstLineChars="0"/>
              <w:rPr>
                <w:rFonts w:hint="eastAsia" w:ascii="宋体" w:hAnsi="宋体" w:eastAsia="宋体"/>
                <w:color w:val="auto"/>
                <w:sz w:val="18"/>
                <w:szCs w:val="18"/>
              </w:rPr>
            </w:pPr>
            <w:r>
              <w:rPr>
                <w:rFonts w:hint="eastAsia" w:ascii="宋体" w:hAnsi="宋体" w:eastAsia="宋体"/>
                <w:color w:val="auto"/>
                <w:sz w:val="18"/>
                <w:szCs w:val="18"/>
              </w:rPr>
              <w:t>消费税涉税信息的企业</w:t>
            </w:r>
          </w:p>
        </w:tc>
        <w:tc>
          <w:tcPr>
            <w:tcW w:w="117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94"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5</w:t>
            </w:r>
          </w:p>
        </w:tc>
        <w:tc>
          <w:tcPr>
            <w:tcW w:w="2551" w:type="dxa"/>
            <w:shd w:val="clear" w:color="auto" w:fill="auto"/>
            <w:vAlign w:val="center"/>
          </w:tcPr>
          <w:p>
            <w:pPr>
              <w:pStyle w:val="13"/>
              <w:widowControl/>
              <w:spacing w:before="100" w:after="100" w:line="280" w:lineRule="exact"/>
              <w:ind w:firstLine="0" w:firstLineChars="0"/>
              <w:rPr>
                <w:rFonts w:hint="eastAsia" w:cs="宋体"/>
                <w:color w:val="auto"/>
                <w:kern w:val="0"/>
                <w:sz w:val="18"/>
                <w:szCs w:val="18"/>
              </w:rPr>
            </w:pPr>
            <w:r>
              <w:rPr>
                <w:rFonts w:hint="eastAsia" w:ascii="宋体" w:hAnsi="宋体" w:eastAsia="宋体"/>
                <w:color w:val="auto"/>
                <w:sz w:val="18"/>
                <w:szCs w:val="18"/>
              </w:rPr>
              <w:t>《成品油消费税涉税信息采集表》</w:t>
            </w:r>
          </w:p>
        </w:tc>
        <w:tc>
          <w:tcPr>
            <w:tcW w:w="709"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Style w:val="17"/>
                <w:rFonts w:hint="eastAsia" w:ascii="宋体" w:hAnsi="宋体" w:eastAsia="宋体" w:cs="微软雅黑"/>
                <w:color w:val="auto"/>
                <w:sz w:val="18"/>
                <w:szCs w:val="18"/>
              </w:rPr>
              <w:t>2</w:t>
            </w:r>
          </w:p>
        </w:tc>
        <w:tc>
          <w:tcPr>
            <w:tcW w:w="992" w:type="dxa"/>
            <w:shd w:val="clear" w:color="auto" w:fill="auto"/>
            <w:vAlign w:val="center"/>
          </w:tcPr>
          <w:p>
            <w:pPr>
              <w:pStyle w:val="13"/>
              <w:widowControl/>
              <w:spacing w:before="100" w:after="100"/>
              <w:ind w:firstLine="0" w:firstLineChars="0"/>
              <w:jc w:val="center"/>
              <w:rPr>
                <w:rFonts w:hint="eastAsia" w:cs="宋体"/>
                <w:color w:val="auto"/>
                <w:kern w:val="0"/>
                <w:sz w:val="18"/>
                <w:szCs w:val="18"/>
              </w:rPr>
            </w:pPr>
            <w:r>
              <w:rPr>
                <w:rFonts w:hint="eastAsia" w:ascii="宋体" w:hAnsi="宋体" w:eastAsia="宋体" w:cs="微软雅黑"/>
                <w:color w:val="auto"/>
                <w:sz w:val="18"/>
                <w:szCs w:val="18"/>
              </w:rPr>
              <w:t>条件报送</w:t>
            </w:r>
          </w:p>
        </w:tc>
        <w:tc>
          <w:tcPr>
            <w:tcW w:w="1347" w:type="dxa"/>
            <w:shd w:val="clear" w:color="auto" w:fill="auto"/>
            <w:vAlign w:val="center"/>
          </w:tcPr>
          <w:p>
            <w:pPr>
              <w:pStyle w:val="13"/>
              <w:widowControl/>
              <w:spacing w:before="100" w:after="100" w:line="280" w:lineRule="exact"/>
              <w:ind w:firstLine="0" w:firstLineChars="0"/>
              <w:rPr>
                <w:rFonts w:hint="eastAsia" w:ascii="宋体" w:hAnsi="宋体" w:eastAsia="宋体"/>
                <w:color w:val="auto"/>
                <w:sz w:val="18"/>
                <w:szCs w:val="18"/>
              </w:rPr>
            </w:pPr>
            <w:r>
              <w:rPr>
                <w:rFonts w:hint="eastAsia" w:ascii="宋体" w:hAnsi="宋体" w:eastAsia="宋体"/>
                <w:color w:val="auto"/>
                <w:sz w:val="18"/>
                <w:szCs w:val="18"/>
              </w:rPr>
              <w:t>消费税涉税信息的企业</w:t>
            </w:r>
          </w:p>
        </w:tc>
        <w:tc>
          <w:tcPr>
            <w:tcW w:w="1173" w:type="dxa"/>
            <w:vAlign w:val="center"/>
          </w:tcPr>
          <w:p>
            <w:pPr>
              <w:widowControl/>
              <w:spacing w:line="280" w:lineRule="exact"/>
              <w:ind w:firstLine="0" w:firstLineChars="0"/>
              <w:jc w:val="center"/>
              <w:rPr>
                <w:rFonts w:hint="eastAsia" w:cs="宋体"/>
                <w:color w:val="auto"/>
                <w:kern w:val="0"/>
                <w:sz w:val="18"/>
                <w:szCs w:val="18"/>
              </w:rPr>
            </w:pPr>
            <w:r>
              <w:rPr>
                <w:rFonts w:hint="eastAsia" w:cs="宋体"/>
                <w:color w:val="auto"/>
                <w:kern w:val="0"/>
                <w:sz w:val="18"/>
                <w:szCs w:val="18"/>
              </w:rPr>
              <w:t>税务机关留存</w:t>
            </w:r>
          </w:p>
        </w:tc>
        <w:tc>
          <w:tcPr>
            <w:tcW w:w="1394" w:type="dxa"/>
            <w:shd w:val="clear" w:color="auto" w:fill="auto"/>
            <w:vAlign w:val="center"/>
          </w:tcPr>
          <w:p>
            <w:pPr>
              <w:widowControl/>
              <w:spacing w:line="280" w:lineRule="exact"/>
              <w:ind w:firstLine="352" w:firstLineChars="200"/>
              <w:jc w:val="left"/>
              <w:rPr>
                <w:rFonts w:hint="eastAsia" w:cs="宋体"/>
                <w:color w:val="auto"/>
                <w:kern w:val="0"/>
                <w:sz w:val="18"/>
                <w:szCs w:val="18"/>
              </w:rPr>
            </w:pPr>
            <w:r>
              <w:rPr>
                <w:rFonts w:hint="eastAsia" w:cs="宋体"/>
                <w:color w:val="auto"/>
                <w:kern w:val="0"/>
                <w:sz w:val="18"/>
                <w:szCs w:val="18"/>
              </w:rPr>
              <w:t>是</w:t>
            </w:r>
          </w:p>
        </w:tc>
      </w:tr>
    </w:tbl>
    <w:p>
      <w:pPr>
        <w:pStyle w:val="3"/>
        <w:pageBreakBefore w:val="0"/>
        <w:widowControl w:val="0"/>
        <w:numPr>
          <w:ilvl w:val="0"/>
          <w:numId w:val="4"/>
        </w:numPr>
        <w:kinsoku/>
        <w:wordWrap/>
        <w:overflowPunct/>
        <w:topLinePunct w:val="0"/>
        <w:autoSpaceDE/>
        <w:autoSpaceDN/>
        <w:bidi w:val="0"/>
        <w:adjustRightInd/>
        <w:snapToGrid/>
        <w:spacing w:line="240" w:lineRule="auto"/>
        <w:ind w:firstLine="552"/>
        <w:textAlignment w:val="auto"/>
        <w:rPr>
          <w:color w:val="auto"/>
        </w:rPr>
      </w:pPr>
      <w:r>
        <w:rPr>
          <w:color w:val="auto"/>
        </w:rPr>
        <w:t>办理流程</w:t>
      </w:r>
    </w:p>
    <w:p>
      <w:pPr>
        <w:pageBreakBefore w:val="0"/>
        <w:widowControl w:val="0"/>
        <w:numPr>
          <w:ilvl w:val="0"/>
          <w:numId w:val="0"/>
        </w:numPr>
        <w:kinsoku/>
        <w:wordWrap/>
        <w:overflowPunct/>
        <w:topLinePunct w:val="0"/>
        <w:autoSpaceDE/>
        <w:autoSpaceDN/>
        <w:bidi w:val="0"/>
        <w:adjustRightInd/>
        <w:snapToGrid/>
        <w:spacing w:line="240" w:lineRule="auto"/>
        <w:textAlignment w:val="auto"/>
        <w:rPr>
          <w:color w:val="auto"/>
        </w:rPr>
      </w:pPr>
      <w:r>
        <w:rPr>
          <w:color w:val="auto"/>
        </w:rPr>
        <w:object>
          <v:shape id="_x0000_i1127" o:spt="75" type="#_x0000_t75" style="height:103.5pt;width:407.25pt;" o:ole="t" filled="f" o:preferrelative="t" stroked="f" coordsize="21600,21600">
            <v:path/>
            <v:fill on="f" focussize="0,0"/>
            <v:stroke on="f"/>
            <v:imagedata r:id="rId11" o:title=""/>
            <o:lock v:ext="edit" aspectratio="f"/>
            <w10:wrap type="none"/>
            <w10:anchorlock/>
          </v:shape>
          <o:OLEObject Type="Embed" ProgID="Visio.Drawing.11" ShapeID="_x0000_i1127" DrawAspect="Content" ObjectID="_1468075725" r:id="rId10">
            <o:LockedField>false</o:LockedField>
          </o:OLEObject>
        </w:object>
      </w:r>
    </w:p>
    <w:p>
      <w:pPr>
        <w:pStyle w:val="3"/>
        <w:ind w:left="0" w:leftChars="0" w:firstLine="552" w:firstLineChars="200"/>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1.A06271《新牌号、新规格卷烟信息汇总表》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2.A06313《烟消费税涉税信息采集表》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3.A06310《酒消费税涉税信息采集表》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4.A06311《汽车摩托车涉税信息采集表》</w:t>
      </w:r>
    </w:p>
    <w:p>
      <w:pPr>
        <w:ind w:firstLine="472"/>
        <w:contextualSpacing/>
        <w:rPr>
          <w:rFonts w:hint="eastAsia" w:ascii="宋体" w:hAnsi="宋体" w:eastAsia="宋体" w:cs="Times New Roman"/>
          <w:bCs w:val="0"/>
          <w:color w:val="auto"/>
          <w:kern w:val="2"/>
          <w:sz w:val="24"/>
          <w:szCs w:val="22"/>
          <w:lang w:val="en-US" w:eastAsia="zh-CN" w:bidi="ar-SA"/>
        </w:rPr>
      </w:pPr>
      <w:r>
        <w:rPr>
          <w:rFonts w:hint="eastAsia" w:ascii="宋体" w:hAnsi="宋体" w:eastAsia="宋体" w:cs="Times New Roman"/>
          <w:bCs w:val="0"/>
          <w:color w:val="auto"/>
          <w:kern w:val="2"/>
          <w:sz w:val="24"/>
          <w:szCs w:val="22"/>
          <w:lang w:val="en-US" w:eastAsia="zh-CN" w:bidi="ar-SA"/>
        </w:rPr>
        <w:t>5.A06312《成品油消费税涉税信息采集表》</w:t>
      </w:r>
    </w:p>
    <w:p>
      <w:pPr>
        <w:pStyle w:val="3"/>
        <w:ind w:firstLine="552"/>
        <w:rPr>
          <w:color w:val="auto"/>
        </w:rPr>
      </w:pPr>
      <w:r>
        <w:rPr>
          <w:rFonts w:hint="eastAsia"/>
          <w:color w:val="auto"/>
        </w:rPr>
        <w:t>九、注意事项</w:t>
      </w:r>
    </w:p>
    <w:p>
      <w:pPr>
        <w:rPr>
          <w:rFonts w:hint="eastAsia"/>
          <w:color w:val="auto"/>
        </w:rPr>
      </w:pPr>
      <w:r>
        <w:rPr>
          <w:rFonts w:hint="eastAsia" w:ascii="宋体" w:hAnsi="宋体" w:eastAsia="宋体" w:cs="Times New Roman"/>
          <w:bCs w:val="0"/>
          <w:color w:val="auto"/>
          <w:kern w:val="2"/>
          <w:sz w:val="24"/>
          <w:szCs w:val="22"/>
          <w:lang w:val="en-US" w:eastAsia="zh-CN" w:bidi="ar-SA"/>
        </w:rPr>
        <w:t>1.</w:t>
      </w:r>
      <w:r>
        <w:rPr>
          <w:rFonts w:hint="eastAsia"/>
          <w:color w:val="auto"/>
        </w:rPr>
        <w:t>纳税人对报送资料的真实性和合法性承担责任。</w:t>
      </w:r>
    </w:p>
    <w:p>
      <w:pPr>
        <w:rPr>
          <w:rFonts w:hint="eastAsia"/>
          <w:color w:val="auto"/>
        </w:rPr>
      </w:pPr>
      <w:r>
        <w:rPr>
          <w:rFonts w:hint="eastAsia"/>
          <w:color w:val="auto"/>
          <w:lang w:val="en-US" w:eastAsia="zh-CN"/>
        </w:rPr>
        <w:t>2</w:t>
      </w:r>
      <w:r>
        <w:rPr>
          <w:rFonts w:hint="eastAsia"/>
          <w:color w:val="auto"/>
        </w:rPr>
        <w:t>.最多跑一次是在资料完整且符合法定受理条件的前提下，最多只需要到税务机关跑一次。</w:t>
      </w:r>
    </w:p>
    <w:p>
      <w:pPr>
        <w:ind w:firstLine="472"/>
        <w:rPr>
          <w:rFonts w:hint="default" w:ascii="宋体" w:hAnsi="宋体" w:eastAsia="宋体" w:cs="Times New Roman"/>
          <w:bCs w:val="0"/>
          <w:color w:val="auto"/>
          <w:kern w:val="2"/>
          <w:sz w:val="24"/>
          <w:szCs w:val="22"/>
          <w:lang w:val="en-US" w:eastAsia="zh-CN" w:bidi="ar-SA"/>
        </w:rPr>
      </w:pPr>
      <w:r>
        <w:rPr>
          <w:rFonts w:hint="eastAsia" w:cs="Times New Roman"/>
          <w:bCs w:val="0"/>
          <w:color w:val="auto"/>
          <w:kern w:val="2"/>
          <w:sz w:val="24"/>
          <w:szCs w:val="22"/>
          <w:lang w:val="en-US" w:eastAsia="zh-CN" w:bidi="ar-SA"/>
        </w:rPr>
        <w:t>3.</w:t>
      </w:r>
      <w:r>
        <w:rPr>
          <w:rFonts w:hint="eastAsia" w:ascii="宋体" w:hAnsi="宋体" w:eastAsia="宋体" w:cs="Times New Roman"/>
          <w:bCs w:val="0"/>
          <w:color w:val="auto"/>
          <w:kern w:val="2"/>
          <w:sz w:val="24"/>
          <w:szCs w:val="22"/>
          <w:lang w:val="en-US" w:eastAsia="zh-CN" w:bidi="ar-SA"/>
        </w:rPr>
        <w:t>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rFonts w:hint="eastAsia"/>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rFonts w:hint="eastAsia"/>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ind w:firstLine="472"/>
        <w:rPr>
          <w:color w:val="auto"/>
        </w:rPr>
      </w:pP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2BEDF6B7"/>
    <w:multiLevelType w:val="singleLevel"/>
    <w:tmpl w:val="2BEDF6B7"/>
    <w:lvl w:ilvl="0" w:tentative="0">
      <w:start w:val="6"/>
      <w:numFmt w:val="chineseCounting"/>
      <w:suff w:val="nothing"/>
      <w:lvlText w:val="%1、"/>
      <w:lvlJc w:val="left"/>
      <w:rPr>
        <w:rFonts w:hint="eastAsia"/>
      </w:rPr>
    </w:lvl>
  </w:abstractNum>
  <w:abstractNum w:abstractNumId="2">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9A6704"/>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2019-10-31T04:50:38Z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