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2" w:name="_GoBack"/>
      <w:bookmarkEnd w:id="2"/>
      <w:bookmarkStart w:id="0" w:name="_Toc18102"/>
      <w:r>
        <w:rPr>
          <w:rFonts w:hint="eastAsia" w:ascii="黑体" w:hAnsi="黑体"/>
          <w:color w:val="auto"/>
        </w:rPr>
        <w:t>2.5.1.</w:t>
      </w:r>
      <w:r>
        <w:rPr>
          <w:rFonts w:hint="eastAsia" w:ascii="黑体" w:hAnsi="黑体"/>
          <w:color w:val="auto"/>
          <w:lang w:val="en-US" w:eastAsia="zh-CN"/>
        </w:rPr>
        <w:t>7</w:t>
      </w:r>
      <w:r>
        <w:rPr>
          <w:rFonts w:hint="eastAsia" w:ascii="黑体" w:hAnsi="黑体"/>
          <w:color w:val="auto"/>
        </w:rPr>
        <w:t>增值税期末留抵税额退税</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增值税期末留抵税额退税</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办结方式：限时</w:t>
      </w:r>
      <w:r>
        <w:rPr>
          <w:color w:val="auto"/>
        </w:rPr>
        <w:t>办结</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w:t>
      </w:r>
      <w:r>
        <w:rPr>
          <w:rFonts w:hint="eastAsia"/>
          <w:color w:val="auto"/>
          <w:lang w:eastAsia="zh-CN"/>
        </w:rPr>
        <w:t>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rFonts w:hint="eastAsia"/>
          <w:color w:val="auto"/>
        </w:rPr>
      </w:pPr>
      <w:r>
        <w:rPr>
          <w:rFonts w:hint="eastAsia"/>
          <w:color w:val="auto"/>
        </w:rPr>
        <w:t>增值增值税留抵税额退税，是指对符合条件的增值税一般纳税人，由于特定事项产生的留抵税额，按照一定的计算公式予以计算退还，具体包括：</w:t>
      </w:r>
    </w:p>
    <w:p>
      <w:pPr>
        <w:ind w:firstLine="472"/>
        <w:rPr>
          <w:rFonts w:hint="eastAsia"/>
          <w:color w:val="auto"/>
        </w:rPr>
      </w:pPr>
      <w:r>
        <w:rPr>
          <w:rFonts w:hint="eastAsia"/>
          <w:color w:val="auto"/>
        </w:rPr>
        <w:t>（一）对外购用于生产乙烯、芳烃类化工产品的石脑油、燃料油价格中消费税部分对应的增值税额退税</w:t>
      </w:r>
    </w:p>
    <w:p>
      <w:pPr>
        <w:ind w:firstLine="472"/>
        <w:rPr>
          <w:rFonts w:hint="eastAsia"/>
          <w:color w:val="auto"/>
        </w:rPr>
      </w:pPr>
      <w:r>
        <w:rPr>
          <w:rFonts w:hint="eastAsia"/>
          <w:color w:val="auto"/>
        </w:rPr>
        <w:t>自2014年3月1日起，对外购用于生产乙烯、芳烃类化工产品（以下称特定化工产品）的石脑油、燃料油（以下称2类油品），且使用2类油品生产特定化工产品的产量占本企业用石脑油、燃料油生产各类产品总量的50％（含）以上的企业，其外购2类油品的价格中消费税部分对应的增值税额，予以退还。企业在2014年2月28日前形成的增值税期末留抵税额，可在不超过其购进2类油品的价格中消费税部分对应的增值税的规模下，申请一次性退还。</w:t>
      </w:r>
    </w:p>
    <w:p>
      <w:pPr>
        <w:ind w:firstLine="472"/>
        <w:rPr>
          <w:rFonts w:hint="eastAsia"/>
          <w:color w:val="auto"/>
        </w:rPr>
      </w:pPr>
      <w:r>
        <w:rPr>
          <w:rFonts w:hint="eastAsia"/>
          <w:color w:val="auto"/>
        </w:rPr>
        <w:t>（二）自2018年7月27日起，对实行增值税期末留抵退税的纳税人，允许其从城市维护建设税、教育费附加和地方教育附加的计税（征）依据中扣除退还的增值税税额。</w:t>
      </w:r>
    </w:p>
    <w:p>
      <w:pPr>
        <w:ind w:firstLine="472"/>
        <w:rPr>
          <w:rFonts w:hint="eastAsia"/>
          <w:color w:val="auto"/>
        </w:rPr>
      </w:pPr>
      <w:r>
        <w:rPr>
          <w:rFonts w:hint="eastAsia"/>
          <w:color w:val="auto"/>
        </w:rPr>
        <w:t>（三）自2019年4月1日起，试行增值税期末留抵税额退税制度。　</w:t>
      </w:r>
    </w:p>
    <w:p>
      <w:pPr>
        <w:ind w:firstLine="472"/>
        <w:rPr>
          <w:rFonts w:hint="eastAsia"/>
          <w:color w:val="auto"/>
        </w:rPr>
      </w:pPr>
      <w:r>
        <w:rPr>
          <w:rFonts w:hint="eastAsia"/>
          <w:color w:val="auto"/>
        </w:rPr>
        <w:t>符合以下条件的纳税人，可以向主管税务机关申请退还增量留抵税额：自2019年4月税款所属期起，连续六个月（按季纳税的，连续两个季度）增量留抵税额均大于零，且第六个月增量留抵税额不低于50万元；纳税信用等级为A级或者B级；申请退税前36个月未发生骗取留抵退税、出口退税或虚开增值税专用发票情形的；申请退税前36个月未因偷税被税务机关处罚两次及以上的；自2019年4月1日起未享受即征即退、先征后返（退）政策的。</w:t>
      </w:r>
    </w:p>
    <w:p>
      <w:pPr>
        <w:ind w:firstLine="472"/>
        <w:rPr>
          <w:rFonts w:hint="eastAsia" w:eastAsia="宋体"/>
          <w:color w:val="auto"/>
          <w:lang w:eastAsia="zh-CN"/>
        </w:rPr>
      </w:pPr>
      <w:r>
        <w:rPr>
          <w:rFonts w:hint="eastAsia"/>
          <w:color w:val="auto"/>
        </w:rPr>
        <w:t>（四）自2019年6月1日起,同时符合以下条件的部分先进制造业纳税人,可以自2019年7月及以后纳税申报期向主管税务机关申请退还增量留抵税额:</w:t>
      </w:r>
    </w:p>
    <w:p>
      <w:pPr>
        <w:ind w:firstLine="472"/>
        <w:rPr>
          <w:rFonts w:hint="eastAsia" w:eastAsia="宋体"/>
          <w:color w:val="auto"/>
          <w:lang w:eastAsia="zh-CN"/>
        </w:rPr>
      </w:pPr>
      <w:r>
        <w:rPr>
          <w:rFonts w:hint="eastAsia"/>
          <w:color w:val="auto"/>
        </w:rPr>
        <w:t>1.增量留抵税额大于零;</w:t>
      </w:r>
    </w:p>
    <w:p>
      <w:pPr>
        <w:ind w:firstLine="472"/>
        <w:rPr>
          <w:rFonts w:hint="eastAsia" w:eastAsia="宋体"/>
          <w:color w:val="auto"/>
          <w:lang w:eastAsia="zh-CN"/>
        </w:rPr>
      </w:pPr>
      <w:r>
        <w:rPr>
          <w:rFonts w:hint="eastAsia"/>
          <w:color w:val="auto"/>
        </w:rPr>
        <w:t>2.纳税信用等级为A级或者B级;</w:t>
      </w:r>
    </w:p>
    <w:p>
      <w:pPr>
        <w:ind w:firstLine="472"/>
        <w:rPr>
          <w:rFonts w:hint="eastAsia" w:eastAsia="宋体"/>
          <w:color w:val="auto"/>
          <w:lang w:eastAsia="zh-CN"/>
        </w:rPr>
      </w:pPr>
      <w:r>
        <w:rPr>
          <w:rFonts w:hint="eastAsia"/>
          <w:color w:val="auto"/>
        </w:rPr>
        <w:t>3.申请退税前36个月未发生骗取留抵退税、出口退税或虚开增值税专用发票情形;</w:t>
      </w:r>
    </w:p>
    <w:p>
      <w:pPr>
        <w:ind w:firstLine="472"/>
        <w:rPr>
          <w:rFonts w:hint="eastAsia" w:eastAsia="宋体"/>
          <w:color w:val="auto"/>
          <w:lang w:eastAsia="zh-CN"/>
        </w:rPr>
      </w:pPr>
      <w:r>
        <w:rPr>
          <w:rFonts w:hint="eastAsia"/>
          <w:color w:val="auto"/>
        </w:rPr>
        <w:t>4.申请退税前36个月未因偷税被税务机关处罚两次及以上;</w:t>
      </w:r>
    </w:p>
    <w:p>
      <w:pPr>
        <w:ind w:firstLine="472"/>
        <w:rPr>
          <w:rFonts w:hint="eastAsia"/>
          <w:color w:val="auto"/>
        </w:rPr>
      </w:pPr>
      <w:r>
        <w:rPr>
          <w:rFonts w:hint="eastAsia"/>
          <w:color w:val="auto"/>
        </w:rPr>
        <w:t>5.自2019年4月1日起未享受即征即退、先征后返(退)政策。</w:t>
      </w:r>
    </w:p>
    <w:p>
      <w:pPr>
        <w:ind w:firstLine="472"/>
        <w:rPr>
          <w:rFonts w:hint="eastAsia" w:eastAsia="宋体"/>
          <w:color w:val="auto"/>
          <w:lang w:eastAsia="zh-CN"/>
        </w:rPr>
      </w:pPr>
      <w:r>
        <w:rPr>
          <w:rFonts w:hint="eastAsia"/>
          <w:color w:val="auto"/>
        </w:rPr>
        <w:t>部分先进制造业纳税人,是指按照《国民经济行业分类》,生产并销售非金属矿物制品、通用设备、专用设备及计算机、通信和其他电子设备销售额占全部销售额的比重超过50%的纳税人。</w:t>
      </w:r>
    </w:p>
    <w:p>
      <w:pPr>
        <w:ind w:firstLine="472"/>
        <w:rPr>
          <w:rFonts w:hint="eastAsia"/>
          <w:color w:val="auto"/>
        </w:rPr>
      </w:pPr>
      <w:r>
        <w:rPr>
          <w:rFonts w:hint="eastAsia"/>
          <w:color w:val="auto"/>
        </w:rPr>
        <w:t>上述销售额比重根据纳税人申请退税前连续12个月的销售额计算确定;申请退税前经营期不满12个月但满3个月的,按照实际经营期的销售额计算确定。</w:t>
      </w:r>
    </w:p>
    <w:p>
      <w:pPr>
        <w:ind w:firstLine="472"/>
        <w:rPr>
          <w:color w:val="auto"/>
        </w:rPr>
      </w:pPr>
      <w:r>
        <w:rPr>
          <w:rFonts w:hint="eastAsia"/>
          <w:color w:val="auto"/>
        </w:rPr>
        <w:t>除部分先进制造业纳税人以外的其他纳税人申请退还增量留抵税额的规定,继续按照《财政部　税务总局　海关总署关于深化增值税改革有关政策的公告》（财政部税务总局海关总署公告2019年第39号）执行。</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1.《中华人民共和国税收征收管理法》第五十一条</w:t>
      </w:r>
    </w:p>
    <w:p>
      <w:pPr>
        <w:ind w:firstLine="472"/>
        <w:rPr>
          <w:rFonts w:hint="eastAsia"/>
          <w:color w:val="auto"/>
        </w:rPr>
      </w:pPr>
      <w:r>
        <w:rPr>
          <w:rFonts w:hint="eastAsia"/>
          <w:color w:val="auto"/>
          <w:lang w:eastAsia="zh-CN"/>
        </w:rPr>
        <w:t>“</w:t>
      </w:r>
      <w:r>
        <w:rPr>
          <w:rFonts w:hint="eastAsia"/>
          <w:color w:val="auto"/>
        </w:rPr>
        <w:t>纳税人超过应纳税额缴纳的税款，税务机关发现后应当立即退还；纳税人自结算缴纳税款之日起三年内发现的，可以向税务机关要求退还多缴的税款并加算银行同期存款利息，税务机关及时查实后应当立即退还；涉及从国库中退库的，依照法律、行政法规有关国库管理的规定退还。</w:t>
      </w:r>
      <w:r>
        <w:rPr>
          <w:rFonts w:hint="eastAsia"/>
          <w:color w:val="auto"/>
          <w:lang w:eastAsia="zh-CN"/>
        </w:rPr>
        <w:t>”</w:t>
      </w:r>
    </w:p>
    <w:p>
      <w:pPr>
        <w:numPr>
          <w:ilvl w:val="0"/>
          <w:numId w:val="4"/>
        </w:numPr>
        <w:ind w:firstLine="472"/>
        <w:rPr>
          <w:rFonts w:hint="eastAsia"/>
          <w:color w:val="auto"/>
        </w:rPr>
      </w:pPr>
      <w:r>
        <w:rPr>
          <w:rFonts w:hint="eastAsia"/>
          <w:color w:val="auto"/>
        </w:rPr>
        <w:t>《中华人民共和国税收征收管理法实施细则》第七十八条、第七十九条</w:t>
      </w:r>
    </w:p>
    <w:p>
      <w:pPr>
        <w:numPr>
          <w:ilvl w:val="0"/>
          <w:numId w:val="0"/>
        </w:numPr>
        <w:ind w:firstLine="472" w:firstLineChars="200"/>
        <w:rPr>
          <w:rFonts w:hint="eastAsia"/>
          <w:color w:val="auto"/>
        </w:rPr>
      </w:pPr>
      <w:r>
        <w:rPr>
          <w:rFonts w:hint="eastAsia"/>
          <w:color w:val="auto"/>
          <w:lang w:eastAsia="zh-CN"/>
        </w:rPr>
        <w:t>“</w:t>
      </w:r>
      <w:r>
        <w:rPr>
          <w:rFonts w:hint="eastAsia"/>
          <w:color w:val="auto"/>
        </w:rPr>
        <w:t>第七十八条税务机关发现纳税人多缴税款的，应当自发现之日起10日内办理退还手续；纳税人发现多缴税款，要求退还的，税务机关应当自接到纳税人退还申请之日起30日内查实并办理退还手续。</w:t>
      </w:r>
    </w:p>
    <w:p>
      <w:pPr>
        <w:ind w:firstLine="472"/>
        <w:rPr>
          <w:rFonts w:hint="eastAsia"/>
          <w:color w:val="auto"/>
        </w:rPr>
      </w:pPr>
      <w:r>
        <w:rPr>
          <w:rFonts w:hint="eastAsia"/>
          <w:color w:val="auto"/>
        </w:rPr>
        <w:t>税收征管法第五十一条规定的加算银行同期存款利息的多缴税款退税，不包括依法预缴税款形成的结算退税、出口退税和各种减免退税。</w:t>
      </w:r>
    </w:p>
    <w:p>
      <w:pPr>
        <w:ind w:firstLine="472"/>
        <w:rPr>
          <w:rFonts w:hint="eastAsia"/>
          <w:color w:val="auto"/>
        </w:rPr>
      </w:pPr>
      <w:r>
        <w:rPr>
          <w:rFonts w:hint="eastAsia"/>
          <w:color w:val="auto"/>
        </w:rPr>
        <w:t>退税利息按照税务机关办理退税手续当天中国人民银行规定的活期存款利率计算。</w:t>
      </w:r>
    </w:p>
    <w:p>
      <w:pPr>
        <w:ind w:firstLine="472"/>
        <w:rPr>
          <w:color w:val="auto"/>
        </w:rPr>
      </w:pPr>
      <w:r>
        <w:rPr>
          <w:rFonts w:hint="eastAsia"/>
          <w:color w:val="auto"/>
        </w:rPr>
        <w:t>第七十九条当纳税人既有应退税款又有欠缴税款的，税务机关可以将应退税款和利息先抵扣欠缴税款；抵扣后有余额的，退还纳税人。</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《增值税期末留抵税额退税申请表》</w:t>
            </w:r>
          </w:p>
        </w:tc>
        <w:tc>
          <w:tcPr>
            <w:tcW w:w="709" w:type="dxa"/>
            <w:shd w:val="clear" w:color="auto" w:fill="auto"/>
            <w:vAlign w:val="center"/>
          </w:tcPr>
          <w:p>
            <w:pPr>
              <w:spacing w:line="280" w:lineRule="exact"/>
              <w:ind w:firstLine="0" w:firstLineChars="0"/>
              <w:jc w:val="center"/>
              <w:rPr>
                <w:rFonts w:cs="宋体"/>
                <w:color w:val="auto"/>
                <w:kern w:val="0"/>
                <w:sz w:val="18"/>
                <w:szCs w:val="18"/>
              </w:rPr>
            </w:pPr>
            <w:r>
              <w:rPr>
                <w:rStyle w:val="17"/>
                <w:rFonts w:ascii="宋体" w:hAnsi="宋体" w:eastAsia="宋体" w:cs="微软雅黑"/>
                <w:b w:val="0"/>
                <w:bCs/>
                <w:color w:val="auto"/>
                <w:kern w:val="0"/>
                <w:sz w:val="18"/>
                <w:szCs w:val="18"/>
              </w:rPr>
              <w:t>4</w:t>
            </w:r>
          </w:p>
        </w:tc>
        <w:tc>
          <w:tcPr>
            <w:tcW w:w="992" w:type="dxa"/>
            <w:shd w:val="clear" w:color="auto" w:fill="auto"/>
            <w:vAlign w:val="center"/>
          </w:tcPr>
          <w:p>
            <w:pPr>
              <w:spacing w:line="280" w:lineRule="exact"/>
              <w:ind w:firstLine="0" w:firstLineChars="0"/>
              <w:jc w:val="center"/>
              <w:rPr>
                <w:rFonts w:cs="宋体"/>
                <w:color w:val="auto"/>
                <w:kern w:val="0"/>
                <w:sz w:val="18"/>
                <w:szCs w:val="18"/>
              </w:rPr>
            </w:pPr>
            <w:r>
              <w:rPr>
                <w:rStyle w:val="17"/>
                <w:rFonts w:hint="eastAsia" w:ascii="宋体" w:hAnsi="宋体" w:eastAsia="宋体" w:cs="微软雅黑"/>
                <w:b w:val="0"/>
                <w:bCs/>
                <w:color w:val="auto"/>
                <w:kern w:val="0"/>
                <w:sz w:val="18"/>
                <w:szCs w:val="18"/>
              </w:rPr>
              <w:t>条件报送</w:t>
            </w:r>
          </w:p>
        </w:tc>
        <w:tc>
          <w:tcPr>
            <w:tcW w:w="1134" w:type="dxa"/>
            <w:shd w:val="clear" w:color="auto" w:fill="auto"/>
            <w:vAlign w:val="center"/>
          </w:tcPr>
          <w:p>
            <w:pPr>
              <w:spacing w:line="280" w:lineRule="exact"/>
              <w:ind w:firstLine="0" w:firstLineChars="0"/>
              <w:rPr>
                <w:rFonts w:cs="宋体"/>
                <w:color w:val="auto"/>
                <w:kern w:val="0"/>
                <w:sz w:val="18"/>
                <w:szCs w:val="18"/>
              </w:rPr>
            </w:pPr>
            <w:r>
              <w:rPr>
                <w:rStyle w:val="17"/>
                <w:rFonts w:hint="eastAsia" w:ascii="宋体" w:hAnsi="宋体" w:eastAsia="宋体" w:cs="微软雅黑"/>
                <w:b w:val="0"/>
                <w:bCs/>
                <w:color w:val="auto"/>
                <w:kern w:val="0"/>
                <w:sz w:val="18"/>
                <w:szCs w:val="18"/>
              </w:rPr>
              <w:t>外购用于生产乙烯、芳烃类化工产品的石脑油、燃料油价格中消费税部分对应的增值税额退税</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hint="eastAsia" w:cs="宋体"/>
                <w:color w:val="auto"/>
                <w:kern w:val="0"/>
                <w:sz w:val="18"/>
                <w:szCs w:val="18"/>
                <w:lang w:val="en-US" w:eastAsia="zh-CN"/>
              </w:rPr>
              <w:t>3</w:t>
            </w:r>
            <w:r>
              <w:rPr>
                <w:rFonts w:hint="eastAsia" w:cs="宋体"/>
                <w:color w:val="auto"/>
                <w:kern w:val="0"/>
                <w:sz w:val="18"/>
                <w:szCs w:val="18"/>
              </w:rPr>
              <w:t>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sz w:val="18"/>
                <w:szCs w:val="18"/>
              </w:rPr>
            </w:pPr>
            <w:r>
              <w:rPr>
                <w:rFonts w:hint="eastAsia" w:cs="宋体"/>
                <w:color w:val="auto"/>
                <w:kern w:val="0"/>
                <w:sz w:val="18"/>
                <w:szCs w:val="18"/>
              </w:rPr>
              <w:t>《退（抵）税申请表》</w:t>
            </w:r>
          </w:p>
        </w:tc>
        <w:tc>
          <w:tcPr>
            <w:tcW w:w="709" w:type="dxa"/>
            <w:shd w:val="clear" w:color="auto" w:fill="auto"/>
            <w:vAlign w:val="center"/>
          </w:tcPr>
          <w:p>
            <w:pPr>
              <w:spacing w:line="280" w:lineRule="exact"/>
              <w:ind w:firstLine="0" w:firstLineChars="0"/>
              <w:jc w:val="center"/>
              <w:rPr>
                <w:rFonts w:ascii="宋体" w:hAnsi="宋体" w:eastAsia="宋体" w:cs="宋体"/>
                <w:color w:val="auto"/>
                <w:sz w:val="18"/>
                <w:szCs w:val="18"/>
              </w:rPr>
            </w:pPr>
            <w:r>
              <w:rPr>
                <w:rStyle w:val="17"/>
                <w:rFonts w:ascii="宋体" w:hAnsi="宋体" w:eastAsia="宋体" w:cs="微软雅黑"/>
                <w:b w:val="0"/>
                <w:bCs/>
                <w:color w:val="auto"/>
                <w:kern w:val="0"/>
                <w:sz w:val="18"/>
                <w:szCs w:val="18"/>
              </w:rPr>
              <w:t>4</w:t>
            </w:r>
          </w:p>
        </w:tc>
        <w:tc>
          <w:tcPr>
            <w:tcW w:w="992" w:type="dxa"/>
            <w:shd w:val="clear" w:color="auto" w:fill="auto"/>
            <w:vAlign w:val="center"/>
          </w:tcPr>
          <w:p>
            <w:pPr>
              <w:spacing w:line="280" w:lineRule="exact"/>
              <w:ind w:firstLine="0" w:firstLineChars="0"/>
              <w:jc w:val="center"/>
              <w:rPr>
                <w:rFonts w:hint="eastAsia" w:ascii="宋体" w:hAnsi="宋体" w:eastAsia="宋体" w:cs="宋体"/>
                <w:color w:val="auto"/>
                <w:sz w:val="18"/>
                <w:szCs w:val="18"/>
              </w:rPr>
            </w:pPr>
            <w:r>
              <w:rPr>
                <w:rStyle w:val="17"/>
                <w:rFonts w:hint="eastAsia" w:ascii="宋体" w:hAnsi="宋体" w:eastAsia="宋体" w:cs="微软雅黑"/>
                <w:b w:val="0"/>
                <w:bCs/>
                <w:color w:val="auto"/>
                <w:kern w:val="0"/>
                <w:sz w:val="18"/>
                <w:szCs w:val="18"/>
              </w:rPr>
              <w:t>条件</w:t>
            </w:r>
            <w:r>
              <w:rPr>
                <w:rStyle w:val="17"/>
                <w:rFonts w:ascii="宋体" w:hAnsi="宋体" w:eastAsia="宋体" w:cs="微软雅黑"/>
                <w:b w:val="0"/>
                <w:bCs/>
                <w:color w:val="auto"/>
                <w:kern w:val="0"/>
                <w:sz w:val="18"/>
                <w:szCs w:val="18"/>
              </w:rPr>
              <w:t>报送</w:t>
            </w:r>
          </w:p>
        </w:tc>
        <w:tc>
          <w:tcPr>
            <w:tcW w:w="1134" w:type="dxa"/>
            <w:shd w:val="clear" w:color="auto" w:fill="auto"/>
            <w:vAlign w:val="center"/>
          </w:tcPr>
          <w:p>
            <w:pPr>
              <w:spacing w:line="280" w:lineRule="exact"/>
              <w:ind w:firstLine="0" w:firstLineChars="0"/>
              <w:rPr>
                <w:rFonts w:cs="宋体"/>
                <w:color w:val="auto"/>
                <w:kern w:val="0"/>
                <w:sz w:val="18"/>
                <w:szCs w:val="18"/>
              </w:rPr>
            </w:pPr>
            <w:r>
              <w:rPr>
                <w:rStyle w:val="17"/>
                <w:rFonts w:hint="eastAsia" w:ascii="宋体" w:hAnsi="宋体" w:eastAsia="宋体" w:cs="微软雅黑"/>
                <w:b w:val="0"/>
                <w:bCs/>
                <w:color w:val="auto"/>
                <w:kern w:val="0"/>
                <w:sz w:val="18"/>
                <w:szCs w:val="18"/>
              </w:rPr>
              <w:t>自</w:t>
            </w:r>
            <w:r>
              <w:rPr>
                <w:rStyle w:val="17"/>
                <w:rFonts w:ascii="宋体" w:hAnsi="宋体" w:eastAsia="宋体" w:cs="微软雅黑"/>
                <w:b w:val="0"/>
                <w:bCs/>
                <w:color w:val="auto"/>
                <w:kern w:val="0"/>
                <w:sz w:val="18"/>
                <w:szCs w:val="18"/>
              </w:rPr>
              <w:t>2019年4月1日起，试行增值税期末留抵税额退税制度的纳税人适用。</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r>
              <w:rPr>
                <w:rFonts w:hint="eastAsia" w:cs="宋体"/>
                <w:color w:val="auto"/>
                <w:kern w:val="0"/>
                <w:sz w:val="18"/>
                <w:szCs w:val="18"/>
                <w:lang w:val="en-US" w:eastAsia="zh-CN"/>
              </w:rPr>
              <w:t>3</w:t>
            </w:r>
            <w:r>
              <w:rPr>
                <w:rFonts w:hint="eastAsia" w:cs="宋体"/>
                <w:color w:val="auto"/>
                <w:kern w:val="0"/>
                <w:sz w:val="18"/>
                <w:szCs w:val="18"/>
              </w:rPr>
              <w:t>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3</w:t>
            </w:r>
          </w:p>
        </w:tc>
        <w:tc>
          <w:tcPr>
            <w:tcW w:w="2551"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s="宋体"/>
                <w:color w:val="auto"/>
                <w:kern w:val="0"/>
                <w:sz w:val="18"/>
                <w:szCs w:val="18"/>
              </w:rPr>
              <w:t>增值税专用发票、海关进口增值税专用缴款书、购进合同及进口货物报关单等</w:t>
            </w:r>
            <w:r>
              <w:rPr>
                <w:rFonts w:cs="宋体"/>
                <w:color w:val="auto"/>
                <w:kern w:val="0"/>
                <w:sz w:val="18"/>
                <w:szCs w:val="18"/>
              </w:rPr>
              <w:t>材料复印件</w:t>
            </w:r>
          </w:p>
        </w:tc>
        <w:tc>
          <w:tcPr>
            <w:tcW w:w="709" w:type="dxa"/>
            <w:shd w:val="clear" w:color="auto" w:fill="auto"/>
            <w:vAlign w:val="center"/>
          </w:tcPr>
          <w:p>
            <w:pPr>
              <w:spacing w:line="280" w:lineRule="exact"/>
              <w:ind w:firstLine="0" w:firstLineChars="0"/>
              <w:jc w:val="center"/>
              <w:rPr>
                <w:rFonts w:hint="eastAsia" w:cs="宋体"/>
                <w:color w:val="auto"/>
                <w:kern w:val="0"/>
                <w:sz w:val="18"/>
                <w:szCs w:val="18"/>
              </w:rPr>
            </w:pPr>
            <w:r>
              <w:rPr>
                <w:rStyle w:val="17"/>
                <w:rFonts w:ascii="宋体" w:hAnsi="宋体" w:eastAsia="宋体" w:cs="微软雅黑"/>
                <w:b w:val="0"/>
                <w:bCs/>
                <w:color w:val="auto"/>
                <w:kern w:val="0"/>
                <w:sz w:val="18"/>
                <w:szCs w:val="18"/>
              </w:rPr>
              <w:t>1</w:t>
            </w:r>
          </w:p>
        </w:tc>
        <w:tc>
          <w:tcPr>
            <w:tcW w:w="992" w:type="dxa"/>
            <w:shd w:val="clear" w:color="auto" w:fill="auto"/>
            <w:vAlign w:val="center"/>
          </w:tcPr>
          <w:p>
            <w:pPr>
              <w:spacing w:line="280" w:lineRule="exact"/>
              <w:ind w:firstLine="0" w:firstLineChars="0"/>
              <w:jc w:val="center"/>
              <w:rPr>
                <w:rFonts w:hint="eastAsia" w:cs="宋体"/>
                <w:color w:val="auto"/>
                <w:kern w:val="0"/>
                <w:sz w:val="18"/>
                <w:szCs w:val="18"/>
              </w:rPr>
            </w:pPr>
            <w:r>
              <w:rPr>
                <w:rStyle w:val="17"/>
                <w:rFonts w:hint="eastAsia" w:ascii="宋体" w:hAnsi="宋体" w:eastAsia="宋体" w:cs="微软雅黑"/>
                <w:b w:val="0"/>
                <w:bCs/>
                <w:color w:val="auto"/>
                <w:kern w:val="0"/>
                <w:sz w:val="18"/>
                <w:szCs w:val="18"/>
              </w:rPr>
              <w:t>条件</w:t>
            </w:r>
            <w:r>
              <w:rPr>
                <w:rStyle w:val="17"/>
                <w:rFonts w:ascii="宋体" w:hAnsi="宋体" w:eastAsia="宋体" w:cs="微软雅黑"/>
                <w:b w:val="0"/>
                <w:bCs/>
                <w:color w:val="auto"/>
                <w:kern w:val="0"/>
                <w:sz w:val="18"/>
                <w:szCs w:val="18"/>
              </w:rPr>
              <w:t>报送</w:t>
            </w:r>
          </w:p>
        </w:tc>
        <w:tc>
          <w:tcPr>
            <w:tcW w:w="1134" w:type="dxa"/>
            <w:shd w:val="clear" w:color="auto" w:fill="auto"/>
            <w:vAlign w:val="center"/>
          </w:tcPr>
          <w:p>
            <w:pPr>
              <w:spacing w:line="280" w:lineRule="exact"/>
              <w:ind w:firstLine="0" w:firstLineChars="0"/>
              <w:rPr>
                <w:rFonts w:cs="宋体"/>
                <w:color w:val="auto"/>
                <w:kern w:val="0"/>
                <w:sz w:val="18"/>
                <w:szCs w:val="18"/>
              </w:rPr>
            </w:pPr>
            <w:r>
              <w:rPr>
                <w:rStyle w:val="17"/>
                <w:rFonts w:hint="eastAsia" w:ascii="宋体" w:hAnsi="宋体" w:eastAsia="宋体" w:cs="微软雅黑"/>
                <w:b w:val="0"/>
                <w:bCs/>
                <w:color w:val="auto"/>
                <w:kern w:val="0"/>
                <w:sz w:val="18"/>
                <w:szCs w:val="18"/>
              </w:rPr>
              <w:t>对外购用于生产乙烯、芳烃类化工产品的石脑油、燃料油价格中消费税部分对应的增值税额退税</w:t>
            </w:r>
          </w:p>
        </w:tc>
        <w:tc>
          <w:tcPr>
            <w:tcW w:w="1134" w:type="dxa"/>
            <w:vAlign w:val="center"/>
          </w:tcPr>
          <w:p>
            <w:pPr>
              <w:widowControl/>
              <w:spacing w:line="280" w:lineRule="exact"/>
              <w:ind w:firstLine="0" w:firstLineChars="0"/>
              <w:jc w:val="center"/>
              <w:rPr>
                <w:rFonts w:hint="eastAsia" w:ascii="宋体" w:hAnsi="宋体" w:eastAsia="宋体" w:cs="微软雅黑"/>
                <w:color w:val="auto"/>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352" w:firstLineChars="200"/>
              <w:jc w:val="center"/>
              <w:rPr>
                <w:rFonts w:hint="eastAsia" w:eastAsia="宋体" w:cs="宋体"/>
                <w:color w:val="auto"/>
                <w:kern w:val="0"/>
                <w:sz w:val="18"/>
                <w:szCs w:val="18"/>
                <w:lang w:eastAsia="zh-CN"/>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4</w:t>
            </w:r>
          </w:p>
        </w:tc>
        <w:tc>
          <w:tcPr>
            <w:tcW w:w="2551"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s="宋体"/>
                <w:color w:val="auto"/>
                <w:kern w:val="0"/>
                <w:sz w:val="18"/>
                <w:szCs w:val="18"/>
              </w:rPr>
              <w:t>由于特殊情况不能退至纳税人、扣缴义务人原缴款账户的书面说明，证明资料，和指定接受退税的账户及接受退税单位（人）名称的资料</w:t>
            </w:r>
          </w:p>
        </w:tc>
        <w:tc>
          <w:tcPr>
            <w:tcW w:w="709" w:type="dxa"/>
            <w:shd w:val="clear" w:color="auto" w:fill="auto"/>
            <w:vAlign w:val="center"/>
          </w:tcPr>
          <w:p>
            <w:pPr>
              <w:spacing w:line="280" w:lineRule="exact"/>
              <w:ind w:firstLine="0" w:firstLineChars="0"/>
              <w:jc w:val="center"/>
              <w:rPr>
                <w:rFonts w:hint="eastAsia" w:cs="宋体"/>
                <w:color w:val="auto"/>
                <w:kern w:val="0"/>
                <w:sz w:val="18"/>
                <w:szCs w:val="18"/>
              </w:rPr>
            </w:pPr>
            <w:r>
              <w:rPr>
                <w:rStyle w:val="17"/>
                <w:rFonts w:ascii="宋体" w:hAnsi="宋体" w:eastAsia="宋体" w:cs="微软雅黑"/>
                <w:b w:val="0"/>
                <w:bCs/>
                <w:color w:val="auto"/>
                <w:kern w:val="0"/>
                <w:sz w:val="18"/>
                <w:szCs w:val="18"/>
              </w:rPr>
              <w:t>1</w:t>
            </w:r>
          </w:p>
        </w:tc>
        <w:tc>
          <w:tcPr>
            <w:tcW w:w="992" w:type="dxa"/>
            <w:shd w:val="clear" w:color="auto" w:fill="auto"/>
            <w:vAlign w:val="center"/>
          </w:tcPr>
          <w:p>
            <w:pPr>
              <w:spacing w:line="280" w:lineRule="exact"/>
              <w:ind w:firstLine="0" w:firstLineChars="0"/>
              <w:jc w:val="center"/>
              <w:rPr>
                <w:rFonts w:hint="eastAsia" w:cs="宋体"/>
                <w:color w:val="auto"/>
                <w:kern w:val="0"/>
                <w:sz w:val="18"/>
                <w:szCs w:val="18"/>
              </w:rPr>
            </w:pPr>
            <w:r>
              <w:rPr>
                <w:rStyle w:val="17"/>
                <w:rFonts w:hint="eastAsia" w:ascii="宋体" w:hAnsi="宋体" w:eastAsia="宋体" w:cs="微软雅黑"/>
                <w:b w:val="0"/>
                <w:bCs/>
                <w:color w:val="auto"/>
                <w:kern w:val="0"/>
                <w:sz w:val="18"/>
                <w:szCs w:val="18"/>
              </w:rPr>
              <w:t>条件</w:t>
            </w:r>
            <w:r>
              <w:rPr>
                <w:rStyle w:val="17"/>
                <w:rFonts w:ascii="宋体" w:hAnsi="宋体" w:eastAsia="宋体" w:cs="微软雅黑"/>
                <w:b w:val="0"/>
                <w:bCs/>
                <w:color w:val="auto"/>
                <w:kern w:val="0"/>
                <w:sz w:val="18"/>
                <w:szCs w:val="18"/>
              </w:rPr>
              <w:t>报送</w:t>
            </w:r>
          </w:p>
        </w:tc>
        <w:tc>
          <w:tcPr>
            <w:tcW w:w="1134" w:type="dxa"/>
            <w:shd w:val="clear" w:color="auto" w:fill="auto"/>
            <w:vAlign w:val="center"/>
          </w:tcPr>
          <w:p>
            <w:pPr>
              <w:spacing w:line="280" w:lineRule="exact"/>
              <w:ind w:firstLine="0" w:firstLineChars="0"/>
              <w:rPr>
                <w:rFonts w:cs="宋体"/>
                <w:color w:val="auto"/>
                <w:kern w:val="0"/>
                <w:sz w:val="18"/>
                <w:szCs w:val="18"/>
              </w:rPr>
            </w:pPr>
            <w:r>
              <w:rPr>
                <w:rStyle w:val="17"/>
                <w:rFonts w:hint="eastAsia" w:ascii="宋体" w:hAnsi="宋体" w:eastAsia="宋体" w:cs="微软雅黑"/>
                <w:b w:val="0"/>
                <w:bCs/>
                <w:color w:val="auto"/>
                <w:kern w:val="0"/>
                <w:sz w:val="18"/>
                <w:szCs w:val="18"/>
              </w:rPr>
              <w:t>因特殊情况不能退至纳税人、扣缴义务人原缴款账户</w:t>
            </w:r>
          </w:p>
        </w:tc>
        <w:tc>
          <w:tcPr>
            <w:tcW w:w="1134" w:type="dxa"/>
            <w:vAlign w:val="center"/>
          </w:tcPr>
          <w:p>
            <w:pPr>
              <w:widowControl/>
              <w:spacing w:line="280" w:lineRule="exact"/>
              <w:ind w:firstLine="0" w:firstLineChars="0"/>
              <w:jc w:val="center"/>
              <w:rPr>
                <w:rFonts w:hint="eastAsia" w:ascii="宋体" w:hAnsi="宋体" w:eastAsia="宋体" w:cs="微软雅黑"/>
                <w:color w:val="auto"/>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352" w:firstLineChars="200"/>
              <w:jc w:val="center"/>
              <w:rPr>
                <w:rFonts w:hint="eastAsia" w:eastAsia="宋体" w:cs="宋体"/>
                <w:color w:val="auto"/>
                <w:kern w:val="0"/>
                <w:sz w:val="18"/>
                <w:szCs w:val="18"/>
                <w:lang w:eastAsia="zh-CN"/>
              </w:rPr>
            </w:pPr>
            <w:r>
              <w:rPr>
                <w:rFonts w:hint="eastAsia" w:cs="宋体"/>
                <w:color w:val="auto"/>
                <w:kern w:val="0"/>
                <w:sz w:val="18"/>
                <w:szCs w:val="18"/>
              </w:rPr>
              <w:t>是</w:t>
            </w:r>
          </w:p>
        </w:tc>
      </w:tr>
    </w:tbl>
    <w:p>
      <w:pPr>
        <w:pStyle w:val="3"/>
        <w:ind w:firstLine="552"/>
        <w:rPr>
          <w:rFonts w:hint="eastAsia"/>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bookmarkStart w:id="1" w:name="_Hlk15391692"/>
      <w:r>
        <w:rPr>
          <w:rFonts w:ascii="楷体" w:hAnsi="楷体" w:cs="楷体"/>
          <w:color w:val="auto"/>
          <w:szCs w:val="28"/>
        </w:rPr>
        <w:object>
          <v:shape id="_x0000_i1169" o:spt="75" type="#_x0000_t75" style="height:124.4pt;width:438.7pt;" o:ole="t" filled="f" o:preferrelative="t" stroked="f" coordsize="21600,21600">
            <v:path/>
            <v:fill on="f" focussize="0,0"/>
            <v:stroke on="f"/>
            <v:imagedata r:id="rId11" o:title=""/>
            <o:lock v:ext="edit" aspectratio="f"/>
            <w10:wrap type="none"/>
            <w10:anchorlock/>
          </v:shape>
          <o:OLEObject Type="Embed" ProgID="Visio.Drawing.11" ShapeID="_x0000_i1169" DrawAspect="Content" ObjectID="_1468075725" r:id="rId10">
            <o:LockedField>false</o:LockedField>
          </o:OLEObject>
        </w:object>
      </w:r>
      <w:bookmarkEnd w:id="1"/>
    </w:p>
    <w:p>
      <w:pPr>
        <w:pStyle w:val="3"/>
        <w:ind w:firstLine="552"/>
        <w:rPr>
          <w:color w:val="auto"/>
        </w:rPr>
      </w:pPr>
      <w:r>
        <w:rPr>
          <w:rFonts w:hint="eastAsia"/>
          <w:color w:val="auto"/>
        </w:rPr>
        <w:t>七、办理时限</w:t>
      </w:r>
    </w:p>
    <w:p>
      <w:pPr>
        <w:ind w:firstLine="471" w:firstLineChars="0"/>
        <w:rPr>
          <w:rFonts w:hint="eastAsia"/>
          <w:color w:val="auto"/>
        </w:rPr>
      </w:pPr>
      <w:r>
        <w:rPr>
          <w:rFonts w:hint="eastAsia"/>
          <w:color w:val="auto"/>
        </w:rPr>
        <w:t>资料齐全、符合法定形式的，税务机关受理后</w:t>
      </w:r>
      <w:r>
        <w:rPr>
          <w:rFonts w:hint="eastAsia"/>
          <w:color w:val="auto"/>
          <w:lang w:val="en-US" w:eastAsia="zh-CN"/>
        </w:rPr>
        <w:t>7</w:t>
      </w:r>
      <w:r>
        <w:rPr>
          <w:rFonts w:hint="eastAsia"/>
          <w:color w:val="auto"/>
        </w:rPr>
        <w:t>个工作日办结。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1.A07089《增值税期末留抵税额退税申请表》（A07089《增值税期末留抵税额退税申请表》（填写样例））</w:t>
      </w:r>
    </w:p>
    <w:p>
      <w:pPr>
        <w:ind w:firstLine="472"/>
        <w:rPr>
          <w:rFonts w:hint="default" w:eastAsia="宋体"/>
          <w:color w:val="auto"/>
          <w:lang w:val="en-US" w:eastAsia="zh-CN"/>
        </w:rPr>
      </w:pPr>
      <w:r>
        <w:rPr>
          <w:rFonts w:hint="eastAsia"/>
          <w:color w:val="auto"/>
          <w:lang w:val="en-US" w:eastAsia="zh-CN"/>
        </w:rPr>
        <w:t>2.A07112《退（抵）税申请表》（A07112《退（抵）税申请表》（填写样例））</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纳税人既有应退税款又有欠缴税款的，税务机关可以将纳税人的应退税款和利息先抵扣欠缴的税款；抵扣后有余额的，办理应退余额的退库。所以纳税人有欠税（不包括呆账）的，退抵税（费）方式应选择先抵欠税，办理完抵欠后仍有余额的，才选择退库处理。增值税期末留抵税额退税的提退税金类型固定为“汇算清缴、结算清缴退税（费）”。</w:t>
      </w:r>
    </w:p>
    <w:p>
      <w:pPr>
        <w:ind w:firstLine="472"/>
        <w:rPr>
          <w:rFonts w:hint="eastAsia"/>
          <w:color w:val="auto"/>
        </w:rPr>
      </w:pPr>
      <w:r>
        <w:rPr>
          <w:rFonts w:hint="eastAsia"/>
          <w:color w:val="auto"/>
        </w:rPr>
        <w:t>2.税务人员在收到国库返回的收入退还书后，办理“缴（退）库凭证销号”,进行收入退还书销号。</w:t>
      </w:r>
    </w:p>
    <w:p>
      <w:pPr>
        <w:ind w:firstLine="472"/>
        <w:rPr>
          <w:rFonts w:hint="eastAsia"/>
          <w:color w:val="auto"/>
        </w:rPr>
      </w:pPr>
      <w:r>
        <w:rPr>
          <w:rFonts w:hint="eastAsia"/>
          <w:color w:val="auto"/>
        </w:rPr>
        <w:t>3.企业收到退税款项的当月，应将退税额从增值税进项税额中转出，未按规定转出的，按《中华人民共和国税收征收管理法》有关规定承担相应法律责任。</w:t>
      </w:r>
    </w:p>
    <w:p>
      <w:pPr>
        <w:ind w:firstLine="472"/>
        <w:rPr>
          <w:color w:val="auto"/>
        </w:rPr>
      </w:pPr>
      <w:r>
        <w:rPr>
          <w:rFonts w:hint="eastAsia"/>
          <w:color w:val="auto"/>
          <w:lang w:val="en-US" w:eastAsia="zh-CN"/>
        </w:rPr>
        <w:t>4</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5</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6</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7.</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33EF54A3"/>
    <w:multiLevelType w:val="singleLevel"/>
    <w:tmpl w:val="33EF54A3"/>
    <w:lvl w:ilvl="0" w:tentative="0">
      <w:start w:val="2"/>
      <w:numFmt w:val="decimal"/>
      <w:lvlText w:val="%1."/>
      <w:lvlJc w:val="left"/>
      <w:pPr>
        <w:tabs>
          <w:tab w:val="left" w:pos="312"/>
        </w:tabs>
      </w:p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4F37679"/>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2019-10-31T05:10:10Z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