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16118"/>
      <w:r>
        <w:rPr>
          <w:rFonts w:hint="default" w:ascii="黑体" w:hAnsi="黑体"/>
          <w:color w:val="auto"/>
        </w:rPr>
        <w:t>12.1.3第三方涉税保密信息查询</w:t>
      </w:r>
      <w:bookmarkEnd w:id="0"/>
    </w:p>
    <w:p>
      <w:pPr>
        <w:pStyle w:val="3"/>
        <w:spacing w:line="360" w:lineRule="auto"/>
        <w:ind w:firstLine="552" w:firstLineChars="200"/>
        <w:rPr>
          <w:rFonts w:eastAsia="黑体" w:asciiTheme="majorHAnsi" w:hAnsiTheme="majorHAnsi" w:cstheme="majorBidi"/>
          <w:bCs/>
          <w:color w:val="auto"/>
          <w:sz w:val="28"/>
          <w:szCs w:val="32"/>
          <w:highlight w:val="none"/>
        </w:rPr>
      </w:pPr>
      <w:r>
        <w:rPr>
          <w:rFonts w:hint="default" w:eastAsia="黑体" w:asciiTheme="majorHAnsi" w:hAnsiTheme="majorHAnsi" w:cstheme="majorBidi"/>
          <w:bCs/>
          <w:color w:val="auto"/>
          <w:sz w:val="28"/>
          <w:szCs w:val="32"/>
          <w:highlight w:val="none"/>
        </w:rPr>
        <w:t>【事项名称】</w:t>
      </w:r>
    </w:p>
    <w:p>
      <w:pPr>
        <w:ind w:firstLine="472"/>
        <w:rPr>
          <w:rFonts w:hint="eastAsia"/>
          <w:color w:val="auto"/>
        </w:rPr>
      </w:pPr>
      <w:r>
        <w:rPr>
          <w:rFonts w:hint="eastAsia"/>
          <w:color w:val="auto"/>
        </w:rPr>
        <w:t>第三方涉税保密信息查询</w:t>
      </w:r>
    </w:p>
    <w:p>
      <w:pPr>
        <w:pStyle w:val="3"/>
        <w:spacing w:line="360" w:lineRule="auto"/>
        <w:ind w:firstLine="552" w:firstLineChars="200"/>
        <w:rPr>
          <w:rFonts w:eastAsia="黑体" w:asciiTheme="majorHAnsi" w:hAnsiTheme="majorHAnsi" w:cstheme="majorBidi"/>
          <w:bCs/>
          <w:color w:val="auto"/>
          <w:sz w:val="28"/>
          <w:szCs w:val="32"/>
          <w:highlight w:val="none"/>
        </w:rPr>
      </w:pPr>
      <w:r>
        <w:rPr>
          <w:rFonts w:hint="default" w:eastAsia="黑体" w:asciiTheme="majorHAnsi" w:hAnsiTheme="majorHAnsi" w:cstheme="majorBidi"/>
          <w:bCs/>
          <w:color w:val="auto"/>
          <w:sz w:val="28"/>
          <w:szCs w:val="32"/>
          <w:highlight w:val="none"/>
        </w:rPr>
        <w:t>【申请条件】</w:t>
      </w:r>
    </w:p>
    <w:p>
      <w:pPr>
        <w:ind w:firstLine="472"/>
        <w:rPr>
          <w:rFonts w:hint="eastAsia"/>
          <w:color w:val="auto"/>
        </w:rPr>
      </w:pPr>
      <w:r>
        <w:rPr>
          <w:rFonts w:hint="eastAsia"/>
          <w:color w:val="auto"/>
        </w:rPr>
        <w:t>税务机关根据法律法规规定，依申请向人民法院、人民检察院、公安机关、审计机关、抵押权人、质权人等单位和个人提供的涉税保密信息查询服务。</w:t>
      </w:r>
    </w:p>
    <w:p>
      <w:pPr>
        <w:pStyle w:val="3"/>
        <w:wordWrap w:val="0"/>
        <w:spacing w:line="360" w:lineRule="auto"/>
        <w:ind w:firstLine="552"/>
        <w:rPr>
          <w:rFonts w:eastAsia="黑体" w:asciiTheme="majorHAnsi" w:hAnsiTheme="majorHAnsi" w:cstheme="majorBidi"/>
          <w:bCs/>
          <w:color w:val="auto"/>
          <w:sz w:val="28"/>
          <w:szCs w:val="32"/>
          <w:highlight w:val="none"/>
        </w:rPr>
      </w:pPr>
      <w:r>
        <w:rPr>
          <w:rFonts w:eastAsia="黑体" w:asciiTheme="majorHAnsi" w:hAnsiTheme="majorHAnsi" w:cstheme="majorBidi"/>
          <w:bCs/>
          <w:color w:val="auto"/>
          <w:sz w:val="28"/>
          <w:szCs w:val="32"/>
          <w:highlight w:val="none"/>
        </w:rPr>
        <w:t>【设定依据】</w:t>
      </w:r>
    </w:p>
    <w:p>
      <w:pPr>
        <w:ind w:firstLine="472"/>
        <w:rPr>
          <w:rFonts w:hint="eastAsia"/>
          <w:color w:val="auto"/>
          <w:lang w:val="en-US" w:eastAsia="zh-CN"/>
        </w:rPr>
      </w:pPr>
      <w:r>
        <w:rPr>
          <w:rFonts w:hint="eastAsia"/>
          <w:color w:val="auto"/>
        </w:rPr>
        <w:t>1.《国家税务总局关于印发〈纳税人涉税保密信息管理暂行办法〉的通知》（国税发〔2008〕93号）</w:t>
      </w:r>
      <w:r>
        <w:rPr>
          <w:rFonts w:hint="eastAsia"/>
          <w:color w:val="auto"/>
          <w:lang w:val="en-US" w:eastAsia="zh-CN"/>
        </w:rPr>
        <w:t>全文</w:t>
      </w:r>
    </w:p>
    <w:p>
      <w:pPr>
        <w:ind w:firstLine="472"/>
        <w:rPr>
          <w:rFonts w:hint="eastAsia"/>
          <w:color w:val="auto"/>
          <w:lang w:val="en-US" w:eastAsia="zh-CN"/>
        </w:rPr>
      </w:pPr>
      <w:r>
        <w:rPr>
          <w:rFonts w:hint="eastAsia"/>
          <w:color w:val="auto"/>
        </w:rPr>
        <w:t>2.中共中央办公厅国务院办公厅印发《关于完善审计制度若干重大问题的框架意见》及相关配套文件</w:t>
      </w:r>
      <w:r>
        <w:rPr>
          <w:rFonts w:hint="eastAsia"/>
          <w:color w:val="auto"/>
          <w:lang w:val="en-US" w:eastAsia="zh-CN"/>
        </w:rPr>
        <w:t>全文</w:t>
      </w:r>
    </w:p>
    <w:p>
      <w:pPr>
        <w:pStyle w:val="3"/>
        <w:wordWrap w:val="0"/>
        <w:spacing w:line="360" w:lineRule="auto"/>
        <w:ind w:firstLine="552"/>
        <w:rPr>
          <w:rFonts w:eastAsia="黑体" w:asciiTheme="majorHAnsi" w:hAnsiTheme="majorHAnsi" w:cstheme="majorBidi"/>
          <w:bCs/>
          <w:color w:val="auto"/>
          <w:sz w:val="28"/>
          <w:szCs w:val="32"/>
          <w:highlight w:val="none"/>
        </w:rPr>
      </w:pPr>
      <w:r>
        <w:rPr>
          <w:rFonts w:eastAsia="黑体" w:asciiTheme="majorHAnsi" w:hAnsiTheme="majorHAnsi" w:cstheme="majorBidi"/>
          <w:bCs/>
          <w:color w:val="auto"/>
          <w:sz w:val="28"/>
          <w:szCs w:val="32"/>
          <w:highlight w:val="none"/>
        </w:rPr>
        <w:t>【办理材料】</w:t>
      </w:r>
    </w:p>
    <w:p>
      <w:pPr>
        <w:ind w:firstLine="472"/>
        <w:rPr>
          <w:rFonts w:hint="eastAsia"/>
          <w:color w:val="auto"/>
        </w:rPr>
      </w:pPr>
      <w:r>
        <w:rPr>
          <w:rFonts w:hint="eastAsia"/>
          <w:color w:val="auto"/>
        </w:rPr>
        <w:t>1.人民法院、人民检察院、公安机关和审计机关向税务机关提出查询申请：</w:t>
      </w:r>
    </w:p>
    <w:tbl>
      <w:tblPr>
        <w:tblStyle w:val="15"/>
        <w:tblW w:w="8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1178"/>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680" w:type="dxa"/>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序号</w:t>
            </w:r>
          </w:p>
        </w:tc>
        <w:tc>
          <w:tcPr>
            <w:tcW w:w="4535" w:type="dxa"/>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材料名称</w:t>
            </w:r>
          </w:p>
        </w:tc>
        <w:tc>
          <w:tcPr>
            <w:tcW w:w="1178" w:type="dxa"/>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数量</w:t>
            </w:r>
          </w:p>
        </w:tc>
        <w:tc>
          <w:tcPr>
            <w:tcW w:w="1770" w:type="dxa"/>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exact"/>
          <w:jc w:val="center"/>
        </w:trPr>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1</w:t>
            </w:r>
          </w:p>
        </w:tc>
        <w:tc>
          <w:tcPr>
            <w:tcW w:w="4535"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《纳税人、扣缴义务人涉税保密信息查询申请表》</w:t>
            </w:r>
          </w:p>
        </w:tc>
        <w:tc>
          <w:tcPr>
            <w:tcW w:w="1178"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1份</w:t>
            </w:r>
          </w:p>
        </w:tc>
        <w:tc>
          <w:tcPr>
            <w:tcW w:w="177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exact"/>
          <w:jc w:val="center"/>
        </w:trPr>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2</w:t>
            </w:r>
          </w:p>
        </w:tc>
        <w:tc>
          <w:tcPr>
            <w:tcW w:w="4535"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单位介绍信</w:t>
            </w:r>
          </w:p>
        </w:tc>
        <w:tc>
          <w:tcPr>
            <w:tcW w:w="1178"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1份</w:t>
            </w:r>
          </w:p>
        </w:tc>
        <w:tc>
          <w:tcPr>
            <w:tcW w:w="177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exact"/>
          <w:jc w:val="center"/>
        </w:trPr>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3</w:t>
            </w:r>
          </w:p>
        </w:tc>
        <w:tc>
          <w:tcPr>
            <w:tcW w:w="4535"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查询人有效身份证明原件</w:t>
            </w:r>
          </w:p>
        </w:tc>
        <w:tc>
          <w:tcPr>
            <w:tcW w:w="1178"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1份</w:t>
            </w:r>
          </w:p>
        </w:tc>
        <w:tc>
          <w:tcPr>
            <w:tcW w:w="177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查验后退回</w:t>
            </w:r>
          </w:p>
        </w:tc>
      </w:tr>
    </w:tbl>
    <w:p>
      <w:pPr>
        <w:ind w:firstLine="472"/>
        <w:rPr>
          <w:rFonts w:hint="eastAsia"/>
          <w:color w:val="auto"/>
        </w:rPr>
      </w:pPr>
      <w:r>
        <w:rPr>
          <w:rFonts w:hint="eastAsia"/>
          <w:color w:val="auto"/>
        </w:rPr>
        <w:t>2.抵押权人、质权人申请查询纳税人欠税有关情况：</w:t>
      </w:r>
    </w:p>
    <w:tbl>
      <w:tblPr>
        <w:tblStyle w:val="15"/>
        <w:tblW w:w="81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701"/>
        <w:gridCol w:w="28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680" w:type="dxa"/>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序号</w:t>
            </w:r>
          </w:p>
        </w:tc>
        <w:tc>
          <w:tcPr>
            <w:tcW w:w="4536" w:type="dxa"/>
            <w:gridSpan w:val="2"/>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材料名称</w:t>
            </w:r>
          </w:p>
        </w:tc>
        <w:tc>
          <w:tcPr>
            <w:tcW w:w="680" w:type="dxa"/>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数量</w:t>
            </w:r>
          </w:p>
        </w:tc>
        <w:tc>
          <w:tcPr>
            <w:tcW w:w="2268" w:type="dxa"/>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1</w:t>
            </w:r>
          </w:p>
        </w:tc>
        <w:tc>
          <w:tcPr>
            <w:tcW w:w="4536" w:type="dxa"/>
            <w:gridSpan w:val="2"/>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《纳税人、扣缴义务人涉税保密信息查询申请表》</w:t>
            </w:r>
          </w:p>
        </w:tc>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1份</w:t>
            </w:r>
          </w:p>
        </w:tc>
        <w:tc>
          <w:tcPr>
            <w:tcW w:w="2268"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2</w:t>
            </w:r>
          </w:p>
        </w:tc>
        <w:tc>
          <w:tcPr>
            <w:tcW w:w="4536" w:type="dxa"/>
            <w:gridSpan w:val="2"/>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合法有效的抵押合同或者质押合同的原件</w:t>
            </w:r>
          </w:p>
        </w:tc>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1份</w:t>
            </w:r>
          </w:p>
        </w:tc>
        <w:tc>
          <w:tcPr>
            <w:tcW w:w="2268"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3</w:t>
            </w:r>
          </w:p>
        </w:tc>
        <w:tc>
          <w:tcPr>
            <w:tcW w:w="4536" w:type="dxa"/>
            <w:gridSpan w:val="2"/>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查询人本人有效身份证明原件</w:t>
            </w:r>
          </w:p>
        </w:tc>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1份</w:t>
            </w:r>
          </w:p>
        </w:tc>
        <w:tc>
          <w:tcPr>
            <w:tcW w:w="2268"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查验后退回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jc w:val="center"/>
        </w:trPr>
        <w:tc>
          <w:tcPr>
            <w:tcW w:w="8164" w:type="dxa"/>
            <w:gridSpan w:val="5"/>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lang w:val="zh-CN"/>
              </w:rPr>
            </w:pPr>
            <w:r>
              <w:rPr>
                <w:rStyle w:val="17"/>
                <w:rFonts w:hint="eastAsia" w:ascii="宋体" w:hAnsi="宋体" w:eastAsia="宋体" w:cs="微软雅黑"/>
                <w:color w:val="auto"/>
                <w:sz w:val="18"/>
                <w:szCs w:val="18"/>
                <w:lang w:val="zh-CN"/>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exact"/>
          <w:jc w:val="center"/>
        </w:trPr>
        <w:tc>
          <w:tcPr>
            <w:tcW w:w="2381" w:type="dxa"/>
            <w:gridSpan w:val="2"/>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适用情形</w:t>
            </w:r>
          </w:p>
        </w:tc>
        <w:tc>
          <w:tcPr>
            <w:tcW w:w="2835" w:type="dxa"/>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材料名称</w:t>
            </w:r>
          </w:p>
        </w:tc>
        <w:tc>
          <w:tcPr>
            <w:tcW w:w="680" w:type="dxa"/>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数量</w:t>
            </w:r>
          </w:p>
        </w:tc>
        <w:tc>
          <w:tcPr>
            <w:tcW w:w="2268" w:type="dxa"/>
            <w:shd w:val="clear" w:color="auto" w:fill="D9D9D9"/>
            <w:vAlign w:val="center"/>
          </w:tcPr>
          <w:p>
            <w:pPr>
              <w:pStyle w:val="13"/>
              <w:widowControl/>
              <w:spacing w:before="100" w:after="100"/>
              <w:jc w:val="center"/>
              <w:rPr>
                <w:rStyle w:val="17"/>
                <w:rFonts w:hint="eastAsia" w:ascii="宋体" w:hAnsi="宋体" w:eastAsia="宋体" w:cs="微软雅黑"/>
                <w:color w:val="auto"/>
                <w:sz w:val="18"/>
                <w:szCs w:val="18"/>
              </w:rPr>
            </w:pPr>
            <w:r>
              <w:rPr>
                <w:rStyle w:val="17"/>
                <w:rFonts w:hint="eastAsia" w:ascii="宋体" w:hAnsi="宋体" w:eastAsia="宋体" w:cs="微软雅黑"/>
                <w:color w:val="auto"/>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381" w:type="dxa"/>
            <w:gridSpan w:val="2"/>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授权其他人员代为查询</w:t>
            </w:r>
          </w:p>
        </w:tc>
        <w:tc>
          <w:tcPr>
            <w:tcW w:w="2835"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委托人本人签字的委托授权书</w:t>
            </w:r>
          </w:p>
        </w:tc>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1份</w:t>
            </w:r>
          </w:p>
        </w:tc>
        <w:tc>
          <w:tcPr>
            <w:tcW w:w="2268"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381" w:type="dxa"/>
            <w:gridSpan w:val="2"/>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授权其他人员代为查询</w:t>
            </w:r>
          </w:p>
        </w:tc>
        <w:tc>
          <w:tcPr>
            <w:tcW w:w="2835"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代理人的有效身份证明原件</w:t>
            </w:r>
          </w:p>
        </w:tc>
        <w:tc>
          <w:tcPr>
            <w:tcW w:w="680"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1份</w:t>
            </w:r>
          </w:p>
        </w:tc>
        <w:tc>
          <w:tcPr>
            <w:tcW w:w="2268"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查验后退回</w:t>
            </w:r>
          </w:p>
        </w:tc>
      </w:tr>
    </w:tbl>
    <w:p>
      <w:pPr>
        <w:wordWrap w:val="0"/>
        <w:spacing w:line="360" w:lineRule="auto"/>
        <w:ind w:firstLine="480"/>
        <w:contextualSpacing/>
        <w:rPr>
          <w:rFonts w:ascii="黑体" w:hAnsi="黑体" w:eastAsia="黑体" w:cs="宋体"/>
          <w:color w:val="auto"/>
          <w:sz w:val="24"/>
          <w:szCs w:val="24"/>
          <w:highlight w:val="none"/>
        </w:rPr>
      </w:pPr>
      <w:r>
        <w:rPr>
          <w:rFonts w:ascii="黑体" w:hAnsi="黑体" w:eastAsia="黑体" w:cs="宋体"/>
          <w:color w:val="auto"/>
          <w:sz w:val="24"/>
          <w:szCs w:val="24"/>
          <w:highlight w:val="none"/>
        </w:rPr>
        <w:t>【办理地点】</w:t>
      </w:r>
    </w:p>
    <w:p>
      <w:pPr>
        <w:ind w:firstLine="472"/>
        <w:rPr>
          <w:rFonts w:hint="eastAsia"/>
          <w:color w:val="auto"/>
        </w:rPr>
      </w:pPr>
      <w:r>
        <w:rPr>
          <w:rFonts w:hint="eastAsia"/>
          <w:color w:val="auto"/>
        </w:rPr>
        <w:t>抵押权人、质权人申请查询纳税人欠税有关情况，可以通过办税服务厅（场所）提出书面申请；</w:t>
      </w:r>
    </w:p>
    <w:p>
      <w:pPr>
        <w:ind w:firstLine="472"/>
        <w:rPr>
          <w:rFonts w:hint="eastAsia"/>
          <w:color w:val="auto"/>
        </w:rPr>
      </w:pPr>
      <w:r>
        <w:rPr>
          <w:rFonts w:hint="eastAsia"/>
          <w:color w:val="auto"/>
        </w:rPr>
        <w:t>人民法院、人民检察院和公安机关依法查询纳税人涉税保密信息的，应有两名以上工作人员向被查询纳税人所在地的县级或县级以上税务机关提出查询申请。</w:t>
      </w:r>
    </w:p>
    <w:p>
      <w:pPr>
        <w:pStyle w:val="3"/>
        <w:wordWrap w:val="0"/>
        <w:spacing w:line="360" w:lineRule="auto"/>
        <w:ind w:firstLine="552"/>
        <w:rPr>
          <w:rFonts w:eastAsia="黑体" w:asciiTheme="majorHAnsi" w:hAnsiTheme="majorHAnsi" w:cstheme="majorBidi"/>
          <w:bCs/>
          <w:color w:val="auto"/>
          <w:sz w:val="28"/>
          <w:szCs w:val="32"/>
          <w:highlight w:val="none"/>
        </w:rPr>
      </w:pPr>
      <w:r>
        <w:rPr>
          <w:rFonts w:eastAsia="黑体" w:asciiTheme="majorHAnsi" w:hAnsiTheme="majorHAnsi" w:cstheme="majorBidi"/>
          <w:bCs/>
          <w:color w:val="auto"/>
          <w:sz w:val="28"/>
          <w:szCs w:val="32"/>
          <w:highlight w:val="none"/>
        </w:rPr>
        <w:t>【办理机构】</w:t>
      </w:r>
    </w:p>
    <w:p>
      <w:pPr>
        <w:ind w:firstLine="472"/>
        <w:rPr>
          <w:rFonts w:hint="eastAsia"/>
          <w:color w:val="auto"/>
        </w:rPr>
      </w:pPr>
      <w:r>
        <w:rPr>
          <w:rFonts w:hint="eastAsia"/>
          <w:color w:val="auto"/>
        </w:rPr>
        <w:t>主管税务机关</w:t>
      </w:r>
    </w:p>
    <w:p>
      <w:pPr>
        <w:pStyle w:val="3"/>
        <w:wordWrap w:val="0"/>
        <w:spacing w:line="360" w:lineRule="auto"/>
        <w:ind w:firstLine="552"/>
        <w:rPr>
          <w:rFonts w:eastAsia="黑体" w:asciiTheme="majorHAnsi" w:hAnsiTheme="majorHAnsi" w:cstheme="majorBidi"/>
          <w:bCs/>
          <w:color w:val="auto"/>
          <w:sz w:val="28"/>
          <w:szCs w:val="32"/>
          <w:highlight w:val="none"/>
        </w:rPr>
      </w:pPr>
      <w:r>
        <w:rPr>
          <w:rFonts w:eastAsia="黑体" w:asciiTheme="majorHAnsi" w:hAnsiTheme="majorHAnsi" w:cstheme="majorBidi"/>
          <w:bCs/>
          <w:color w:val="auto"/>
          <w:sz w:val="28"/>
          <w:szCs w:val="32"/>
          <w:highlight w:val="none"/>
        </w:rPr>
        <w:t>【收费标准】</w:t>
      </w:r>
    </w:p>
    <w:p>
      <w:pPr>
        <w:ind w:firstLine="472"/>
        <w:rPr>
          <w:rFonts w:hint="eastAsia"/>
          <w:color w:val="auto"/>
        </w:rPr>
      </w:pPr>
      <w:r>
        <w:rPr>
          <w:rFonts w:hint="eastAsia"/>
          <w:color w:val="auto"/>
        </w:rPr>
        <w:t>不收费</w:t>
      </w:r>
    </w:p>
    <w:p>
      <w:pPr>
        <w:pStyle w:val="3"/>
        <w:wordWrap w:val="0"/>
        <w:spacing w:line="360" w:lineRule="auto"/>
        <w:ind w:firstLine="552"/>
        <w:rPr>
          <w:rFonts w:eastAsia="黑体" w:asciiTheme="majorHAnsi" w:hAnsiTheme="majorHAnsi" w:cstheme="majorBidi"/>
          <w:bCs/>
          <w:color w:val="auto"/>
          <w:sz w:val="28"/>
          <w:szCs w:val="32"/>
          <w:highlight w:val="none"/>
        </w:rPr>
      </w:pPr>
      <w:r>
        <w:rPr>
          <w:rFonts w:eastAsia="黑体" w:asciiTheme="majorHAnsi" w:hAnsiTheme="majorHAnsi" w:cstheme="majorBidi"/>
          <w:bCs/>
          <w:color w:val="auto"/>
          <w:sz w:val="28"/>
          <w:szCs w:val="32"/>
          <w:highlight w:val="none"/>
        </w:rPr>
        <w:t>【办理</w:t>
      </w:r>
      <w:r>
        <w:rPr>
          <w:rFonts w:hint="eastAsia" w:cstheme="majorBidi"/>
          <w:bCs/>
          <w:color w:val="auto"/>
          <w:sz w:val="28"/>
          <w:szCs w:val="32"/>
          <w:highlight w:val="none"/>
          <w:lang w:val="en-US" w:eastAsia="zh-CN"/>
        </w:rPr>
        <w:t>时限</w:t>
      </w:r>
      <w:r>
        <w:rPr>
          <w:rFonts w:eastAsia="黑体" w:asciiTheme="majorHAnsi" w:hAnsiTheme="majorHAnsi" w:cstheme="majorBidi"/>
          <w:bCs/>
          <w:color w:val="auto"/>
          <w:sz w:val="28"/>
          <w:szCs w:val="32"/>
          <w:highlight w:val="none"/>
        </w:rPr>
        <w:t>】</w:t>
      </w:r>
    </w:p>
    <w:p>
      <w:pPr>
        <w:ind w:firstLine="472"/>
        <w:rPr>
          <w:rFonts w:hint="eastAsia"/>
          <w:color w:val="auto"/>
        </w:rPr>
      </w:pPr>
      <w:r>
        <w:rPr>
          <w:rFonts w:hint="eastAsia"/>
          <w:color w:val="auto"/>
        </w:rPr>
        <w:t>20个工作日内办结</w:t>
      </w:r>
    </w:p>
    <w:p>
      <w:pPr>
        <w:pStyle w:val="3"/>
        <w:wordWrap w:val="0"/>
        <w:spacing w:line="360" w:lineRule="auto"/>
        <w:ind w:firstLine="552"/>
        <w:rPr>
          <w:rFonts w:eastAsia="黑体" w:asciiTheme="majorHAnsi" w:hAnsiTheme="majorHAnsi" w:cstheme="majorBidi"/>
          <w:bCs/>
          <w:color w:val="auto"/>
          <w:sz w:val="28"/>
          <w:szCs w:val="32"/>
          <w:highlight w:val="none"/>
        </w:rPr>
      </w:pPr>
      <w:r>
        <w:rPr>
          <w:rFonts w:eastAsia="黑体" w:asciiTheme="majorHAnsi" w:hAnsiTheme="majorHAnsi" w:cstheme="majorBidi"/>
          <w:bCs/>
          <w:color w:val="auto"/>
          <w:sz w:val="28"/>
          <w:szCs w:val="32"/>
          <w:highlight w:val="none"/>
        </w:rPr>
        <w:t>【办理时间】</w:t>
      </w:r>
    </w:p>
    <w:p>
      <w:pPr>
        <w:ind w:firstLine="472"/>
        <w:rPr>
          <w:rFonts w:hint="eastAsia"/>
          <w:color w:val="auto"/>
        </w:rPr>
      </w:pPr>
      <w:r>
        <w:rPr>
          <w:rFonts w:hint="eastAsia"/>
          <w:color w:val="auto"/>
        </w:rPr>
        <w:t>20个工作日内办结</w:t>
      </w:r>
    </w:p>
    <w:p>
      <w:pPr>
        <w:pStyle w:val="3"/>
        <w:wordWrap w:val="0"/>
        <w:spacing w:line="360" w:lineRule="auto"/>
        <w:ind w:firstLine="552"/>
        <w:rPr>
          <w:rFonts w:eastAsia="黑体" w:asciiTheme="majorHAnsi" w:hAnsiTheme="majorHAnsi" w:cstheme="majorBidi"/>
          <w:bCs/>
          <w:color w:val="auto"/>
          <w:sz w:val="28"/>
          <w:szCs w:val="32"/>
          <w:highlight w:val="none"/>
        </w:rPr>
      </w:pPr>
      <w:r>
        <w:rPr>
          <w:rFonts w:eastAsia="黑体" w:asciiTheme="majorHAnsi" w:hAnsiTheme="majorHAnsi" w:cstheme="majorBidi"/>
          <w:bCs/>
          <w:color w:val="auto"/>
          <w:sz w:val="28"/>
          <w:szCs w:val="32"/>
          <w:highlight w:val="none"/>
        </w:rPr>
        <w:t>【联系电话】</w:t>
      </w:r>
    </w:p>
    <w:p>
      <w:pPr>
        <w:ind w:firstLine="472"/>
        <w:rPr>
          <w:rFonts w:hint="eastAsia"/>
          <w:color w:val="auto"/>
        </w:rPr>
      </w:pPr>
      <w:r>
        <w:rPr>
          <w:rFonts w:hint="eastAsia"/>
          <w:color w:val="auto"/>
        </w:rPr>
        <w:t>各级税务机关对外公开的联系电话，可从省（自治区、直辖市和计划单列市）税务局网站“纳税服务”栏目查询。</w:t>
      </w:r>
    </w:p>
    <w:p>
      <w:pPr>
        <w:pStyle w:val="3"/>
        <w:wordWrap w:val="0"/>
        <w:spacing w:line="360" w:lineRule="auto"/>
        <w:ind w:firstLine="552"/>
        <w:rPr>
          <w:rFonts w:eastAsia="黑体" w:asciiTheme="majorHAnsi" w:hAnsiTheme="majorHAnsi" w:cstheme="majorBidi"/>
          <w:bCs/>
          <w:color w:val="auto"/>
          <w:sz w:val="28"/>
          <w:szCs w:val="32"/>
          <w:highlight w:val="none"/>
        </w:rPr>
      </w:pPr>
      <w:r>
        <w:rPr>
          <w:rFonts w:eastAsia="黑体" w:asciiTheme="majorHAnsi" w:hAnsiTheme="majorHAnsi" w:cstheme="majorBidi"/>
          <w:bCs/>
          <w:color w:val="auto"/>
          <w:sz w:val="28"/>
          <w:szCs w:val="32"/>
          <w:highlight w:val="none"/>
        </w:rPr>
        <w:t>【办理流程】</w:t>
      </w:r>
    </w:p>
    <w:p>
      <w:pPr>
        <w:wordWrap w:val="0"/>
        <w:spacing w:line="360" w:lineRule="auto"/>
        <w:rPr>
          <w:rFonts w:ascii="宋体" w:hAnsi="宋体" w:cs="Times New Roman"/>
          <w:b/>
          <w:bCs/>
          <w:color w:val="auto"/>
          <w:highlight w:val="none"/>
        </w:rPr>
      </w:pPr>
      <w:r>
        <w:rPr>
          <w:rFonts w:cs="Times New Roman"/>
          <w:color w:val="auto"/>
          <w:highlight w:val="none"/>
        </w:rPr>
        <w:drawing>
          <wp:inline distT="0" distB="0" distL="114300" distR="114300">
            <wp:extent cx="5184140" cy="1925955"/>
            <wp:effectExtent l="0" t="0" r="16510" b="17145"/>
            <wp:docPr id="33" name="图片 33" descr="C:\Users\baoqianyu\Desktop\涉税保密查询.png涉税保密查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C:\Users\baoqianyu\Desktop\涉税保密查询.png涉税保密查询"/>
                    <pic:cNvPicPr>
                      <a:picLocks noChangeAspect="1"/>
                    </pic:cNvPicPr>
                  </pic:nvPicPr>
                  <pic:blipFill>
                    <a:blip r:embed="rId10"/>
                    <a:srcRect/>
                    <a:stretch>
                      <a:fillRect/>
                    </a:stretch>
                  </pic:blipFill>
                  <pic:spPr>
                    <a:xfrm>
                      <a:off x="0" y="0"/>
                      <a:ext cx="5184140" cy="1925955"/>
                    </a:xfrm>
                    <a:prstGeom prst="rect">
                      <a:avLst/>
                    </a:prstGeom>
                    <a:noFill/>
                    <a:ln>
                      <a:noFill/>
                    </a:ln>
                  </pic:spPr>
                </pic:pic>
              </a:graphicData>
            </a:graphic>
          </wp:inline>
        </w:drawing>
      </w:r>
    </w:p>
    <w:p>
      <w:pPr>
        <w:pStyle w:val="3"/>
        <w:wordWrap w:val="0"/>
        <w:spacing w:line="360" w:lineRule="auto"/>
        <w:ind w:firstLine="552"/>
        <w:rPr>
          <w:rFonts w:eastAsia="黑体" w:asciiTheme="majorHAnsi" w:hAnsiTheme="majorHAnsi" w:cstheme="majorBidi"/>
          <w:bCs/>
          <w:color w:val="auto"/>
          <w:sz w:val="28"/>
          <w:szCs w:val="32"/>
          <w:highlight w:val="none"/>
        </w:rPr>
      </w:pPr>
      <w:r>
        <w:rPr>
          <w:rFonts w:eastAsia="黑体" w:asciiTheme="majorHAnsi" w:hAnsiTheme="majorHAnsi" w:cstheme="majorBidi"/>
          <w:bCs/>
          <w:color w:val="auto"/>
          <w:sz w:val="28"/>
          <w:szCs w:val="32"/>
          <w:highlight w:val="none"/>
        </w:rPr>
        <w:t>【查询人注意事项】</w:t>
      </w:r>
    </w:p>
    <w:p>
      <w:pPr>
        <w:ind w:firstLine="472"/>
        <w:rPr>
          <w:rFonts w:hint="eastAsia"/>
          <w:color w:val="auto"/>
        </w:rPr>
      </w:pPr>
      <w:r>
        <w:rPr>
          <w:rFonts w:hint="eastAsia"/>
          <w:color w:val="auto"/>
        </w:rPr>
        <w:t>查询人对报送材料的真实性和合法性承担责任。</w:t>
      </w:r>
    </w:p>
    <w:p>
      <w:pPr>
        <w:wordWrap w:val="0"/>
        <w:spacing w:line="360" w:lineRule="auto"/>
        <w:ind w:firstLine="480"/>
        <w:contextualSpacing/>
        <w:rPr>
          <w:rFonts w:ascii="宋体" w:hAnsi="宋体" w:cs="宋体"/>
          <w:color w:val="auto"/>
          <w:sz w:val="24"/>
          <w:szCs w:val="24"/>
          <w:highlight w:val="none"/>
        </w:rPr>
      </w:pPr>
    </w:p>
    <w:p>
      <w:pPr>
        <w:rPr>
          <w:rFonts w:hint="eastAsia"/>
          <w:color w:val="auto"/>
          <w:lang w:val="en-US" w:eastAsia="zh-CN"/>
        </w:rPr>
      </w:pPr>
      <w:r>
        <w:rPr>
          <w:rFonts w:hint="eastAsia"/>
          <w:color w:val="auto"/>
          <w:lang w:val="en-US" w:eastAsia="zh-CN"/>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4970DCF"/>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2019-10-31T05:21:38Z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