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18970"/>
      <w:r>
        <w:rPr>
          <w:rFonts w:hint="eastAsia" w:ascii="黑体" w:hAnsi="黑体" w:cs="黑体"/>
          <w:color w:val="auto"/>
          <w:lang w:val="en-US" w:eastAsia="zh-CN"/>
        </w:rPr>
        <w:t>1.1.2.10</w:t>
      </w:r>
      <w:r>
        <w:rPr>
          <w:rFonts w:hint="eastAsia" w:ascii="黑体" w:hAnsi="黑体" w:cs="黑体"/>
          <w:color w:val="auto"/>
        </w:rPr>
        <w:t>退税商店资格信息报告</w:t>
      </w:r>
      <w:bookmarkEnd w:id="0"/>
    </w:p>
    <w:p>
      <w:pPr>
        <w:pStyle w:val="3"/>
        <w:ind w:firstLine="552"/>
        <w:rPr>
          <w:color w:val="auto"/>
        </w:rPr>
      </w:pPr>
      <w:r>
        <w:rPr>
          <w:color w:val="auto"/>
        </w:rPr>
        <w:t>一、事项名称</w:t>
      </w:r>
    </w:p>
    <w:p>
      <w:pPr>
        <w:ind w:firstLine="471" w:firstLineChars="0"/>
        <w:rPr>
          <w:rFonts w:hint="eastAsia"/>
          <w:color w:val="auto"/>
        </w:rPr>
      </w:pPr>
      <w:r>
        <w:rPr>
          <w:rFonts w:hint="eastAsia"/>
          <w:color w:val="auto"/>
        </w:rPr>
        <w:t>退税商店资格信息报告</w:t>
      </w:r>
    </w:p>
    <w:p>
      <w:pPr>
        <w:pStyle w:val="3"/>
        <w:ind w:firstLine="552"/>
        <w:rPr>
          <w:color w:val="auto"/>
        </w:rPr>
      </w:pPr>
      <w:r>
        <w:rPr>
          <w:color w:val="auto"/>
        </w:rPr>
        <w:t>二、事项类别</w:t>
      </w:r>
    </w:p>
    <w:p>
      <w:pPr>
        <w:pStyle w:val="47"/>
        <w:numPr>
          <w:ilvl w:val="0"/>
          <w:numId w:val="3"/>
        </w:numPr>
        <w:ind w:firstLineChars="0"/>
        <w:rPr>
          <w:rFonts w:cs="Times New Roman"/>
          <w:color w:val="auto"/>
        </w:rPr>
      </w:pPr>
      <w:r>
        <w:rPr>
          <w:rFonts w:hint="eastAsia"/>
          <w:color w:val="auto"/>
        </w:rPr>
        <w:t>发起方式：人工发起（纳税人）</w:t>
      </w:r>
    </w:p>
    <w:p>
      <w:pPr>
        <w:pStyle w:val="47"/>
        <w:numPr>
          <w:ilvl w:val="0"/>
          <w:numId w:val="3"/>
        </w:numPr>
        <w:ind w:firstLineChars="0"/>
        <w:rPr>
          <w:rFonts w:cs="Times New Roman"/>
          <w:color w:val="auto"/>
        </w:rPr>
      </w:pPr>
      <w:r>
        <w:rPr>
          <w:rFonts w:hint="eastAsia"/>
          <w:color w:val="auto"/>
        </w:rPr>
        <w:t>办结方式：限时办结</w:t>
      </w:r>
    </w:p>
    <w:p>
      <w:pPr>
        <w:pStyle w:val="47"/>
        <w:numPr>
          <w:ilvl w:val="0"/>
          <w:numId w:val="3"/>
        </w:numPr>
        <w:ind w:firstLineChars="0"/>
        <w:rPr>
          <w:rFonts w:cs="Times New Roman"/>
          <w:color w:val="auto"/>
        </w:rPr>
      </w:pPr>
      <w:r>
        <w:rPr>
          <w:rFonts w:hint="eastAsia"/>
          <w:color w:val="auto"/>
        </w:rPr>
        <w:t>全省通办：否</w:t>
      </w:r>
    </w:p>
    <w:p>
      <w:pPr>
        <w:pStyle w:val="47"/>
        <w:numPr>
          <w:ilvl w:val="0"/>
          <w:numId w:val="3"/>
        </w:numPr>
        <w:ind w:firstLineChars="0"/>
        <w:rPr>
          <w:rFonts w:cs="Times New Roman"/>
          <w:color w:val="auto"/>
        </w:rPr>
      </w:pPr>
      <w:r>
        <w:rPr>
          <w:rFonts w:hint="eastAsia"/>
          <w:color w:val="auto"/>
        </w:rPr>
        <w:t>网上办理：否</w:t>
      </w:r>
    </w:p>
    <w:p>
      <w:pPr>
        <w:pStyle w:val="47"/>
        <w:numPr>
          <w:ilvl w:val="0"/>
          <w:numId w:val="3"/>
        </w:numPr>
        <w:ind w:firstLineChars="0"/>
        <w:rPr>
          <w:rFonts w:cs="Times New Roman"/>
          <w:color w:val="auto"/>
        </w:rPr>
      </w:pPr>
      <w:r>
        <w:rPr>
          <w:rFonts w:hint="eastAsia"/>
          <w:color w:val="auto"/>
        </w:rPr>
        <w:t>适用层级：省、市、县</w:t>
      </w:r>
      <w:r>
        <w:rPr>
          <w:color w:val="auto"/>
        </w:rPr>
        <w:t>(</w:t>
      </w:r>
      <w:r>
        <w:rPr>
          <w:rFonts w:hint="eastAsia"/>
          <w:color w:val="auto"/>
        </w:rPr>
        <w:t>市、区</w:t>
      </w:r>
      <w:r>
        <w:rPr>
          <w:color w:val="auto"/>
        </w:rPr>
        <w:t>)</w:t>
      </w:r>
      <w:r>
        <w:rPr>
          <w:rFonts w:hint="eastAsia"/>
          <w:color w:val="auto"/>
        </w:rPr>
        <w:t>级</w:t>
      </w:r>
    </w:p>
    <w:p>
      <w:pPr>
        <w:pStyle w:val="47"/>
        <w:numPr>
          <w:ilvl w:val="0"/>
          <w:numId w:val="4"/>
        </w:numPr>
        <w:ind w:firstLineChars="0"/>
        <w:rPr>
          <w:color w:val="auto"/>
        </w:rPr>
      </w:pPr>
      <w:r>
        <w:rPr>
          <w:rFonts w:hint="eastAsia"/>
          <w:color w:val="auto"/>
        </w:rPr>
        <w:t>最多跑一次：</w:t>
      </w:r>
      <w:r>
        <w:rPr>
          <w:rFonts w:hint="eastAsia"/>
          <w:color w:val="auto"/>
          <w:lang w:eastAsia="zh-CN"/>
        </w:rPr>
        <w:t>是</w:t>
      </w:r>
    </w:p>
    <w:p>
      <w:pPr>
        <w:pStyle w:val="3"/>
        <w:ind w:firstLine="552"/>
        <w:rPr>
          <w:color w:val="auto"/>
        </w:rPr>
      </w:pPr>
      <w:r>
        <w:rPr>
          <w:color w:val="auto"/>
        </w:rPr>
        <w:t>三、</w:t>
      </w:r>
      <w:r>
        <w:rPr>
          <w:rFonts w:hint="eastAsia"/>
          <w:color w:val="auto"/>
        </w:rPr>
        <w:t>办理条件</w:t>
      </w:r>
    </w:p>
    <w:p>
      <w:pPr>
        <w:ind w:firstLine="471" w:firstLineChars="0"/>
        <w:rPr>
          <w:rFonts w:hint="eastAsia"/>
          <w:color w:val="auto"/>
        </w:rPr>
      </w:pPr>
      <w:r>
        <w:rPr>
          <w:rFonts w:hint="eastAsia"/>
          <w:color w:val="auto"/>
        </w:rPr>
        <w:t>符合规定条件且有意向备案的企业可以直接或委托退税代理机构到主管税务机关申请退税商店备案。主管税务机关应结合其提供的《境外旅客购物离境退税商店备案表》及相关资料，受理其申请后逐级上报至省税务局，省税务局核准后予以备案。</w:t>
      </w:r>
    </w:p>
    <w:p>
      <w:pPr>
        <w:pStyle w:val="3"/>
        <w:ind w:firstLine="552"/>
        <w:rPr>
          <w:color w:val="auto"/>
        </w:rPr>
      </w:pPr>
      <w:r>
        <w:rPr>
          <w:rFonts w:hint="eastAsia"/>
          <w:color w:val="auto"/>
        </w:rPr>
        <w:t>四、设定依据</w:t>
      </w:r>
    </w:p>
    <w:p>
      <w:pPr>
        <w:ind w:firstLine="471" w:firstLineChars="0"/>
        <w:rPr>
          <w:rFonts w:hint="eastAsia"/>
          <w:color w:val="auto"/>
        </w:rPr>
      </w:pPr>
      <w:r>
        <w:rPr>
          <w:rFonts w:hint="eastAsia"/>
          <w:color w:val="auto"/>
          <w:lang w:val="en-US" w:eastAsia="zh-CN"/>
        </w:rPr>
        <w:t>1.</w:t>
      </w:r>
      <w:r>
        <w:rPr>
          <w:rFonts w:hint="eastAsia"/>
          <w:color w:val="auto"/>
        </w:rPr>
        <w:t>《国家税务总局关于发布〈境外旅客购物离境退税管理办法（试行）〉的公告》（国家税务总局公告2015年第41号）第二章第四条</w:t>
      </w:r>
    </w:p>
    <w:p>
      <w:pPr>
        <w:ind w:firstLine="471" w:firstLineChars="0"/>
        <w:rPr>
          <w:rFonts w:hint="eastAsia"/>
          <w:color w:val="auto"/>
        </w:rPr>
      </w:pPr>
      <w:r>
        <w:rPr>
          <w:rFonts w:hint="eastAsia"/>
          <w:color w:val="auto"/>
          <w:lang w:eastAsia="zh-CN"/>
        </w:rPr>
        <w:t>“</w:t>
      </w:r>
      <w:r>
        <w:rPr>
          <w:rFonts w:hint="eastAsia"/>
          <w:color w:val="auto"/>
        </w:rPr>
        <w:t>第四条　符合条件且有意向备案的企业，填写《境外旅客购物离境退税商店备案表》(附件1)并附以下资料直接或委托退税代理机构向主管国税机关报送：</w:t>
      </w:r>
    </w:p>
    <w:p>
      <w:pPr>
        <w:ind w:firstLine="471" w:firstLineChars="0"/>
        <w:rPr>
          <w:rFonts w:hint="eastAsia"/>
          <w:color w:val="auto"/>
        </w:rPr>
      </w:pPr>
      <w:r>
        <w:rPr>
          <w:rFonts w:hint="eastAsia"/>
          <w:color w:val="auto"/>
        </w:rPr>
        <w:t>(一)主管国税机关出具的符合第三条第(一)、(二)和(四)款的书面证明；</w:t>
      </w:r>
    </w:p>
    <w:p>
      <w:pPr>
        <w:ind w:firstLine="471" w:firstLineChars="0"/>
        <w:rPr>
          <w:rFonts w:hint="eastAsia"/>
          <w:color w:val="auto"/>
        </w:rPr>
      </w:pPr>
      <w:r>
        <w:rPr>
          <w:rFonts w:hint="eastAsia"/>
          <w:color w:val="auto"/>
        </w:rPr>
        <w:t>(二)同意做到第三条第(三)、(五)款的书面同意书。</w:t>
      </w:r>
    </w:p>
    <w:p>
      <w:pPr>
        <w:ind w:firstLine="471" w:firstLineChars="0"/>
        <w:rPr>
          <w:rFonts w:hint="eastAsia"/>
          <w:color w:val="auto"/>
        </w:rPr>
      </w:pPr>
      <w:r>
        <w:rPr>
          <w:rFonts w:hint="eastAsia"/>
          <w:color w:val="auto"/>
        </w:rPr>
        <w:t>主管国税机关受理后应当在5个工作日内逐级报送至省国税局备案。省国税局应在收到备案资料15个工作日内审核备案条件，并对不符合备案条件的企业通知主管国税机关告知申请备案的企业。</w:t>
      </w:r>
      <w:r>
        <w:rPr>
          <w:rFonts w:hint="eastAsia"/>
          <w:color w:val="auto"/>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color w:val="auto"/>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《境外旅客购物离境退税商店备案表》及电子数据</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color w:val="auto"/>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“同意安装、使用离境退税管理系统，并保证系统应当具备的运行条件，能够及时、准确地向主管税务机关报送相关信息”及“同意单独设置退税物品销售明细账，并准确核算”的书面同意书</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color w:val="auto"/>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pStyle w:val="3"/>
        <w:pageBreakBefore w:val="0"/>
        <w:widowControl w:val="0"/>
        <w:numPr>
          <w:ilvl w:val="0"/>
          <w:numId w:val="5"/>
        </w:numPr>
        <w:kinsoku/>
        <w:wordWrap/>
        <w:overflowPunct/>
        <w:topLinePunct w:val="0"/>
        <w:autoSpaceDE/>
        <w:autoSpaceDN/>
        <w:bidi w:val="0"/>
        <w:adjustRightInd/>
        <w:snapToGrid/>
        <w:spacing w:line="240" w:lineRule="auto"/>
        <w:ind w:firstLine="552"/>
        <w:textAlignment w:val="auto"/>
        <w:rPr>
          <w:color w:val="auto"/>
        </w:rPr>
      </w:pPr>
      <w:r>
        <w:rPr>
          <w:color w:val="auto"/>
        </w:rPr>
        <w:t>办理流程</w:t>
      </w:r>
    </w:p>
    <w:p>
      <w:pPr>
        <w:pageBreakBefore w:val="0"/>
        <w:widowControl w:val="0"/>
        <w:numPr>
          <w:ilvl w:val="0"/>
          <w:numId w:val="0"/>
        </w:numPr>
        <w:kinsoku/>
        <w:wordWrap/>
        <w:overflowPunct/>
        <w:topLinePunct w:val="0"/>
        <w:autoSpaceDE/>
        <w:autoSpaceDN/>
        <w:bidi w:val="0"/>
        <w:adjustRightInd/>
        <w:snapToGrid/>
        <w:spacing w:line="240" w:lineRule="auto"/>
        <w:textAlignment w:val="auto"/>
        <w:rPr>
          <w:color w:val="auto"/>
        </w:rPr>
      </w:pPr>
      <w:r>
        <w:rPr>
          <w:color w:val="auto"/>
        </w:rPr>
        <w:object>
          <v:shape id="_x0000_i1033" o:spt="75" type="#_x0000_t75" style="height:158.85pt;width:417.9pt;" o:ole="t" filled="f" o:preferrelative="t" stroked="f" coordsize="21600,21600">
            <v:path/>
            <v:fill on="f" focussize="0,0"/>
            <v:stroke on="f"/>
            <v:imagedata r:id="rId11" o:title=""/>
            <o:lock v:ext="edit" aspectratio="t"/>
            <w10:wrap type="none"/>
            <w10:anchorlock/>
          </v:shape>
          <o:OLEObject Type="Embed" ProgID="Visio.Drawing.11" ShapeID="_x0000_i1033" DrawAspect="Content" ObjectID="_1468075725" r:id="rId10">
            <o:LockedField>false</o:LockedField>
          </o:OLEObject>
        </w:object>
      </w:r>
    </w:p>
    <w:p>
      <w:pPr>
        <w:pStyle w:val="3"/>
        <w:ind w:left="0" w:leftChars="0" w:firstLine="552" w:firstLineChars="200"/>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w:t>
      </w:r>
      <w:r>
        <w:rPr>
          <w:rFonts w:hint="eastAsia"/>
          <w:color w:val="auto"/>
          <w:lang w:val="en-US" w:eastAsia="zh-CN"/>
        </w:rPr>
        <w:t>20个工作日</w:t>
      </w:r>
      <w:r>
        <w:rPr>
          <w:rFonts w:hint="eastAsia"/>
          <w:color w:val="auto"/>
        </w:rPr>
        <w:t>办结。</w:t>
      </w:r>
    </w:p>
    <w:p>
      <w:pPr>
        <w:pStyle w:val="3"/>
        <w:ind w:firstLine="552"/>
        <w:rPr>
          <w:color w:val="auto"/>
        </w:rPr>
      </w:pPr>
      <w:r>
        <w:rPr>
          <w:rFonts w:hint="eastAsia"/>
          <w:color w:val="auto"/>
        </w:rPr>
        <w:t>八、表证单书</w:t>
      </w:r>
    </w:p>
    <w:p>
      <w:pPr>
        <w:ind w:firstLine="471" w:firstLineChars="0"/>
        <w:rPr>
          <w:rFonts w:hint="default"/>
          <w:color w:val="auto"/>
          <w:lang w:val="en-US" w:eastAsia="zh-CN"/>
        </w:rPr>
      </w:pPr>
      <w:r>
        <w:rPr>
          <w:rFonts w:hint="eastAsia"/>
          <w:color w:val="auto"/>
        </w:rPr>
        <w:t>1.</w:t>
      </w:r>
      <w:r>
        <w:rPr>
          <w:rFonts w:hint="eastAsia"/>
          <w:color w:val="auto"/>
          <w:lang w:val="en-US" w:eastAsia="zh-CN"/>
        </w:rPr>
        <w:t>A04034</w:t>
      </w:r>
      <w:r>
        <w:rPr>
          <w:rFonts w:hint="eastAsia"/>
          <w:color w:val="auto"/>
        </w:rPr>
        <w:t>《境外旅客购物离境退税商店备案表》</w:t>
      </w:r>
      <w:r>
        <w:rPr>
          <w:rFonts w:hint="eastAsia"/>
          <w:color w:val="auto"/>
          <w:lang w:val="en-US" w:eastAsia="zh-CN"/>
        </w:rPr>
        <w:t>(A04034</w:t>
      </w:r>
      <w:r>
        <w:rPr>
          <w:rFonts w:hint="eastAsia"/>
          <w:color w:val="auto"/>
        </w:rPr>
        <w:t>《境外旅客购物离境退税商店备案表》</w:t>
      </w:r>
      <w:r>
        <w:rPr>
          <w:rFonts w:hint="eastAsia"/>
          <w:color w:val="auto"/>
          <w:lang w:val="en-US" w:eastAsia="zh-CN"/>
        </w:rPr>
        <w:t>(填写样例))</w:t>
      </w:r>
    </w:p>
    <w:p>
      <w:pPr>
        <w:pStyle w:val="3"/>
        <w:ind w:firstLine="552"/>
        <w:rPr>
          <w:color w:val="auto"/>
        </w:rPr>
      </w:pPr>
      <w:r>
        <w:rPr>
          <w:rFonts w:hint="eastAsia"/>
          <w:color w:val="auto"/>
        </w:rPr>
        <w:t>九、注意事项</w:t>
      </w:r>
    </w:p>
    <w:p>
      <w:pPr>
        <w:ind w:firstLine="472"/>
        <w:rPr>
          <w:color w:val="auto"/>
        </w:rPr>
      </w:pPr>
      <w:r>
        <w:rPr>
          <w:rFonts w:hint="eastAsia"/>
          <w:color w:val="auto"/>
        </w:rPr>
        <w:t>1.符合以下条件的企业，可申请成为退税商店：</w:t>
      </w:r>
    </w:p>
    <w:p>
      <w:pPr>
        <w:ind w:firstLine="472"/>
        <w:rPr>
          <w:color w:val="auto"/>
        </w:rPr>
      </w:pPr>
      <w:r>
        <w:rPr>
          <w:rFonts w:hint="eastAsia"/>
          <w:color w:val="auto"/>
        </w:rPr>
        <w:t>（1）具有增值税一般纳税人资格；</w:t>
      </w:r>
    </w:p>
    <w:p>
      <w:pPr>
        <w:ind w:firstLine="472"/>
        <w:rPr>
          <w:color w:val="auto"/>
        </w:rPr>
      </w:pPr>
      <w:r>
        <w:rPr>
          <w:rFonts w:hint="eastAsia"/>
          <w:color w:val="auto"/>
        </w:rPr>
        <w:t>（2）纳税信用等级在B级以上；</w:t>
      </w:r>
    </w:p>
    <w:p>
      <w:pPr>
        <w:ind w:firstLine="472"/>
        <w:rPr>
          <w:color w:val="auto"/>
        </w:rPr>
      </w:pPr>
      <w:r>
        <w:rPr>
          <w:rFonts w:hint="eastAsia"/>
          <w:color w:val="auto"/>
        </w:rPr>
        <w:t>（3）同意安装、使用离境退税管理系统，并保证系统应当具备的运行条件，能够及时、准确地向主管税务机关报送相关信息；</w:t>
      </w:r>
    </w:p>
    <w:p>
      <w:pPr>
        <w:ind w:firstLine="472"/>
        <w:rPr>
          <w:color w:val="auto"/>
        </w:rPr>
      </w:pPr>
      <w:r>
        <w:rPr>
          <w:rFonts w:hint="eastAsia"/>
          <w:color w:val="auto"/>
        </w:rPr>
        <w:t>（4）已经安装并使用增值税发票系统升级版；</w:t>
      </w:r>
    </w:p>
    <w:p>
      <w:pPr>
        <w:ind w:firstLine="472"/>
        <w:rPr>
          <w:color w:val="auto"/>
        </w:rPr>
      </w:pPr>
      <w:r>
        <w:rPr>
          <w:rFonts w:hint="eastAsia"/>
          <w:color w:val="auto"/>
        </w:rPr>
        <w:t>（5）同意单独设置退税物品销售明细账，并准确核算。</w:t>
      </w:r>
    </w:p>
    <w:p>
      <w:pPr>
        <w:ind w:firstLine="472"/>
        <w:rPr>
          <w:color w:val="auto"/>
        </w:rPr>
      </w:pPr>
      <w:r>
        <w:rPr>
          <w:rFonts w:hint="eastAsia"/>
          <w:color w:val="auto"/>
        </w:rPr>
        <w:t>2.税务机关内部核查增值税一般纳税人资格、纳税信用等级在B级以上、已经安装并使用增值税发票系统升级版情况。</w:t>
      </w:r>
    </w:p>
    <w:p>
      <w:pPr>
        <w:ind w:firstLine="472"/>
        <w:rPr>
          <w:color w:val="auto"/>
        </w:rPr>
      </w:pPr>
      <w:r>
        <w:rPr>
          <w:rFonts w:hint="eastAsia"/>
          <w:color w:val="auto"/>
        </w:rPr>
        <w:t>3.退税商店备案资料所载内容发生变化的，应自有关变更之日起10日内，持相关证件及资料向主管税务机关办理变更手续。主管税务机关办理变更手续后，应在5个工作日内将变更情况逐级报省税务局。</w:t>
      </w:r>
    </w:p>
    <w:p>
      <w:pPr>
        <w:ind w:firstLine="472"/>
        <w:rPr>
          <w:rFonts w:hint="eastAsia"/>
          <w:color w:val="auto"/>
        </w:rPr>
      </w:pPr>
      <w:r>
        <w:rPr>
          <w:rFonts w:hint="eastAsia"/>
          <w:color w:val="auto"/>
        </w:rPr>
        <w:t>4.退税商店发生解散、破产、撤销以及其他情形，应持相关证件及资料向主管税务机关申请办理税务登记注销手续，由省税务局终止其退税商店备案，并收回退税商店标识，注销其境外旅客购物离境退税管理系统用户。</w:t>
      </w:r>
    </w:p>
    <w:p>
      <w:pPr>
        <w:ind w:firstLine="472"/>
        <w:rPr>
          <w:rFonts w:hint="eastAsia"/>
          <w:color w:val="auto"/>
          <w:lang w:val="en-US" w:eastAsia="zh-CN"/>
        </w:rPr>
      </w:pPr>
      <w:r>
        <w:rPr>
          <w:rFonts w:hint="eastAsia"/>
          <w:color w:val="auto"/>
          <w:lang w:val="en-US" w:eastAsia="zh-CN"/>
        </w:rPr>
        <w:t>5.纳税人对报送资料的真实性和合法性承担责任。</w:t>
      </w:r>
    </w:p>
    <w:p>
      <w:pPr>
        <w:ind w:firstLine="472"/>
        <w:rPr>
          <w:rFonts w:hint="eastAsia"/>
          <w:color w:val="auto"/>
          <w:lang w:val="en-US" w:eastAsia="zh-CN"/>
        </w:rPr>
      </w:pPr>
      <w:r>
        <w:rPr>
          <w:rFonts w:hint="eastAsia"/>
          <w:color w:val="auto"/>
          <w:lang w:val="en-US" w:eastAsia="zh-CN"/>
        </w:rPr>
        <w:t>6.最多跑一次是在资料完整且符合法定受理条件的前提下，最多只需要到税务机关跑一次。</w:t>
      </w:r>
    </w:p>
    <w:p>
      <w:pPr>
        <w:ind w:firstLine="472"/>
        <w:rPr>
          <w:rFonts w:hint="default" w:eastAsia="宋体"/>
          <w:color w:val="auto"/>
          <w:lang w:val="en-US" w:eastAsia="zh-CN"/>
        </w:rPr>
      </w:pPr>
      <w:r>
        <w:rPr>
          <w:rFonts w:hint="eastAsia"/>
          <w:color w:val="auto"/>
          <w:lang w:val="en-US" w:eastAsia="zh-CN"/>
        </w:rPr>
        <w:t>7.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r>
        <w:rPr>
          <w:rFonts w:hint="eastAsia"/>
          <w:color w:val="auto"/>
        </w:rPr>
        <w:t>。</w:t>
      </w:r>
    </w:p>
    <w:p>
      <w:pPr>
        <w:pStyle w:val="3"/>
        <w:ind w:left="0" w:leftChars="0" w:firstLine="552" w:firstLineChars="200"/>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119BB2"/>
    <w:multiLevelType w:val="singleLevel"/>
    <w:tmpl w:val="27119BB2"/>
    <w:lvl w:ilvl="0" w:tentative="0">
      <w:start w:val="6"/>
      <w:numFmt w:val="chineseCounting"/>
      <w:suff w:val="nothing"/>
      <w:lvlText w:val="%1、"/>
      <w:lvlJc w:val="left"/>
      <w:rPr>
        <w:rFonts w:hint="eastAsia"/>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5F3B1978"/>
    <w:multiLevelType w:val="multilevel"/>
    <w:tmpl w:val="5F3B1978"/>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cs="Wingdings"/>
      </w:rPr>
    </w:lvl>
    <w:lvl w:ilvl="2" w:tentative="0">
      <w:start w:val="1"/>
      <w:numFmt w:val="bullet"/>
      <w:lvlText w:val=""/>
      <w:lvlJc w:val="left"/>
      <w:pPr>
        <w:ind w:left="1732" w:hanging="420"/>
      </w:pPr>
      <w:rPr>
        <w:rFonts w:hint="default" w:ascii="Wingdings" w:hAnsi="Wingdings" w:cs="Wingdings"/>
      </w:rPr>
    </w:lvl>
    <w:lvl w:ilvl="3" w:tentative="0">
      <w:start w:val="1"/>
      <w:numFmt w:val="bullet"/>
      <w:lvlText w:val=""/>
      <w:lvlJc w:val="left"/>
      <w:pPr>
        <w:ind w:left="2152" w:hanging="420"/>
      </w:pPr>
      <w:rPr>
        <w:rFonts w:hint="default" w:ascii="Wingdings" w:hAnsi="Wingdings" w:cs="Wingdings"/>
      </w:rPr>
    </w:lvl>
    <w:lvl w:ilvl="4" w:tentative="0">
      <w:start w:val="1"/>
      <w:numFmt w:val="bullet"/>
      <w:lvlText w:val=""/>
      <w:lvlJc w:val="left"/>
      <w:pPr>
        <w:ind w:left="2572" w:hanging="420"/>
      </w:pPr>
      <w:rPr>
        <w:rFonts w:hint="default" w:ascii="Wingdings" w:hAnsi="Wingdings" w:cs="Wingdings"/>
      </w:rPr>
    </w:lvl>
    <w:lvl w:ilvl="5" w:tentative="0">
      <w:start w:val="1"/>
      <w:numFmt w:val="bullet"/>
      <w:lvlText w:val=""/>
      <w:lvlJc w:val="left"/>
      <w:pPr>
        <w:ind w:left="2992" w:hanging="420"/>
      </w:pPr>
      <w:rPr>
        <w:rFonts w:hint="default" w:ascii="Wingdings" w:hAnsi="Wingdings" w:cs="Wingdings"/>
      </w:rPr>
    </w:lvl>
    <w:lvl w:ilvl="6" w:tentative="0">
      <w:start w:val="1"/>
      <w:numFmt w:val="bullet"/>
      <w:lvlText w:val=""/>
      <w:lvlJc w:val="left"/>
      <w:pPr>
        <w:ind w:left="3412" w:hanging="420"/>
      </w:pPr>
      <w:rPr>
        <w:rFonts w:hint="default" w:ascii="Wingdings" w:hAnsi="Wingdings" w:cs="Wingdings"/>
      </w:rPr>
    </w:lvl>
    <w:lvl w:ilvl="7" w:tentative="0">
      <w:start w:val="1"/>
      <w:numFmt w:val="bullet"/>
      <w:lvlText w:val=""/>
      <w:lvlJc w:val="left"/>
      <w:pPr>
        <w:ind w:left="3832" w:hanging="420"/>
      </w:pPr>
      <w:rPr>
        <w:rFonts w:hint="default" w:ascii="Wingdings" w:hAnsi="Wingdings" w:cs="Wingdings"/>
      </w:rPr>
    </w:lvl>
    <w:lvl w:ilvl="8" w:tentative="0">
      <w:start w:val="1"/>
      <w:numFmt w:val="bullet"/>
      <w:lvlText w:val=""/>
      <w:lvlJc w:val="left"/>
      <w:pPr>
        <w:ind w:left="4252" w:hanging="420"/>
      </w:pPr>
      <w:rPr>
        <w:rFonts w:hint="default" w:ascii="Wingdings" w:hAnsi="Wingdings" w:cs="Wingdings"/>
      </w:rPr>
    </w:lvl>
  </w:abstractNum>
  <w:abstractNum w:abstractNumId="3">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D75233"/>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2019-10-31T03:29:53Z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