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4358"/>
      <w:r>
        <w:rPr>
          <w:rFonts w:hint="eastAsia" w:ascii="黑体" w:hAnsi="黑体"/>
          <w:color w:val="auto"/>
        </w:rPr>
        <w:t>1.3.1.4增值税小规模纳税人申报</w:t>
      </w:r>
      <w:bookmarkEnd w:id="0"/>
    </w:p>
    <w:p>
      <w:pPr>
        <w:pStyle w:val="3"/>
        <w:ind w:firstLine="552"/>
        <w:rPr>
          <w:color w:val="auto"/>
        </w:rPr>
      </w:pPr>
      <w:r>
        <w:rPr>
          <w:rFonts w:hint="eastAsia"/>
          <w:color w:val="auto"/>
        </w:rPr>
        <w:t>一、事项名称</w:t>
      </w:r>
    </w:p>
    <w:p>
      <w:pPr>
        <w:pStyle w:val="47"/>
        <w:numPr>
          <w:ilvl w:val="0"/>
          <w:numId w:val="0"/>
        </w:numPr>
        <w:ind w:firstLine="472" w:firstLineChars="200"/>
        <w:rPr>
          <w:rFonts w:hint="eastAsia"/>
          <w:color w:val="auto"/>
        </w:rPr>
      </w:pPr>
      <w:r>
        <w:rPr>
          <w:rFonts w:hint="eastAsia"/>
          <w:color w:val="auto"/>
        </w:rPr>
        <w:t>增值税小规模纳税人申报</w:t>
      </w:r>
    </w:p>
    <w:p>
      <w:pPr>
        <w:pStyle w:val="3"/>
        <w:ind w:firstLine="552"/>
        <w:rPr>
          <w:color w:val="auto"/>
        </w:rPr>
      </w:pPr>
      <w:r>
        <w:rPr>
          <w:rFonts w:hint="eastAsia"/>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rFonts w:hint="eastAsia"/>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numPr>
          <w:ilvl w:val="0"/>
          <w:numId w:val="4"/>
        </w:numPr>
        <w:ind w:firstLine="552"/>
        <w:rPr>
          <w:rFonts w:hint="eastAsia"/>
          <w:color w:val="auto"/>
        </w:rPr>
      </w:pPr>
      <w:r>
        <w:rPr>
          <w:rFonts w:hint="eastAsia"/>
          <w:color w:val="auto"/>
          <w:lang w:val="en-US" w:eastAsia="zh-CN"/>
        </w:rPr>
        <w:t>办理条件</w:t>
      </w:r>
    </w:p>
    <w:p>
      <w:pPr>
        <w:numPr>
          <w:ilvl w:val="0"/>
          <w:numId w:val="0"/>
        </w:numPr>
        <w:rPr>
          <w:rFonts w:hint="eastAsia"/>
          <w:color w:val="auto"/>
          <w:lang w:val="en-US" w:eastAsia="zh-CN"/>
        </w:rPr>
      </w:pPr>
      <w:r>
        <w:rPr>
          <w:rFonts w:hint="eastAsia"/>
          <w:color w:val="auto"/>
          <w:lang w:val="en-US" w:eastAsia="zh-CN"/>
        </w:rPr>
        <w:t>增值税小规模纳税人依据相关税收法律、法规的规定依法履行纳税义务，按照税收法律、法规、规章及其他有关规定，在规定的纳税期限内填报《增值税纳税申报表（小规模纳税人适用》及附表、其他相关资料，向税务机关进行纳税申报。</w:t>
      </w:r>
    </w:p>
    <w:p>
      <w:pPr>
        <w:numPr>
          <w:ilvl w:val="0"/>
          <w:numId w:val="0"/>
        </w:numPr>
        <w:ind w:firstLine="472" w:firstLineChars="200"/>
        <w:rPr>
          <w:rFonts w:hint="eastAsia"/>
          <w:color w:val="auto"/>
          <w:lang w:val="en-US" w:eastAsia="zh-CN"/>
        </w:rPr>
      </w:pPr>
      <w:r>
        <w:rPr>
          <w:rFonts w:hint="eastAsia"/>
          <w:color w:val="auto"/>
          <w:lang w:val="en-US" w:eastAsia="zh-CN"/>
        </w:rPr>
        <w:t>（一）年应税销售额超过小规模纳税人标准的其他个人按小规模纳税人纳税；原增值税纳税人中非企业性单位、不经常发生应税行为的企业可选择按小规模纳税人规定申报缴纳增值税；营改增纳税人中年应税销售额超过规定标准但不经常发生应税行为的单位和个体工商户可选择按照小规模纳税人纳税。</w:t>
      </w:r>
    </w:p>
    <w:p>
      <w:pPr>
        <w:numPr>
          <w:ilvl w:val="0"/>
          <w:numId w:val="0"/>
        </w:numPr>
        <w:ind w:firstLine="472" w:firstLineChars="200"/>
        <w:rPr>
          <w:rFonts w:hint="eastAsia"/>
          <w:color w:val="auto"/>
          <w:lang w:val="en-US" w:eastAsia="zh-CN"/>
        </w:rPr>
      </w:pPr>
      <w:r>
        <w:rPr>
          <w:rFonts w:hint="eastAsia"/>
          <w:color w:val="auto"/>
          <w:lang w:val="en-US" w:eastAsia="zh-CN"/>
        </w:rPr>
        <w:t>（二）增值税的纳税期限分别为1日、3日、5日、10日、15日、1个月或者1个季度。纳税人的具体纳税期限，由主管税务机关根据纳税人应纳税额的大小分别核定；不能按照固定期限纳税的，可以按次纳税。纳税人以1个月或者1个季度为1个纳税期的，自期满之日起15日内申报纳税；以1日、3日、5日、10日或者15日为1个纳税期的，自期满之日起5日内预缴税款，于次月1日起15日内申报纳税并结清上月应纳税款。纳税人进口货物，应当自海关填发海关进口增值税专用缴款书之日起15日内缴纳税款。遇最后一日是法定休假日的，以休假日期满的次日为期限的最后一日；在期限内有连续3日以上法定休假日的，按休假日天数顺延。</w:t>
      </w:r>
    </w:p>
    <w:p>
      <w:pPr>
        <w:numPr>
          <w:ilvl w:val="0"/>
          <w:numId w:val="0"/>
        </w:numPr>
        <w:ind w:firstLine="472" w:firstLineChars="200"/>
        <w:rPr>
          <w:rFonts w:hint="eastAsia"/>
          <w:color w:val="auto"/>
          <w:lang w:val="en-US" w:eastAsia="zh-CN"/>
        </w:rPr>
      </w:pPr>
      <w:r>
        <w:rPr>
          <w:rFonts w:hint="eastAsia"/>
          <w:color w:val="auto"/>
          <w:lang w:val="en-US" w:eastAsia="zh-CN"/>
        </w:rPr>
        <w:t>按固定期限纳税的小规模纳税人可以选择以1个月或1个季度为纳税期限，一经选择，一个会计年度内不得变更。</w:t>
      </w:r>
    </w:p>
    <w:p>
      <w:pPr>
        <w:numPr>
          <w:ilvl w:val="0"/>
          <w:numId w:val="0"/>
        </w:numPr>
        <w:rPr>
          <w:rFonts w:hint="eastAsia" w:eastAsia="宋体"/>
          <w:color w:val="auto"/>
          <w:lang w:val="en-US" w:eastAsia="zh-CN"/>
        </w:rPr>
      </w:pPr>
      <w:r>
        <w:rPr>
          <w:rFonts w:hint="eastAsia"/>
          <w:color w:val="auto"/>
          <w:lang w:val="en-US" w:eastAsia="zh-CN"/>
        </w:rPr>
        <w:t>（三）增值税小规模纳税人缴纳增值税、消费税、文化事业建设费，以及随增值税、消费税附征的城市维护建设税、教育费附加等税费，原则上实行按季申报。纳税人要求不实行按季申报的，由主管税务机关根据其应纳税额大小核定纳税期限。</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《中华人民共和国税收征收管理法》第二十五条第一款</w:t>
      </w:r>
    </w:p>
    <w:p>
      <w:pPr>
        <w:ind w:firstLine="472"/>
        <w:rPr>
          <w:rFonts w:hint="eastAsia" w:eastAsia="宋体"/>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spacing w:line="280" w:lineRule="exact"/>
              <w:ind w:firstLine="0" w:firstLineChars="0"/>
              <w:jc w:val="center"/>
              <w:rPr>
                <w:rFonts w:cs="宋体"/>
                <w:color w:val="auto"/>
                <w:kern w:val="0"/>
                <w:sz w:val="18"/>
                <w:szCs w:val="18"/>
              </w:rPr>
            </w:pPr>
            <w:r>
              <w:rPr>
                <w:color w:val="auto"/>
                <w:sz w:val="18"/>
                <w:szCs w:val="18"/>
              </w:rPr>
              <w:t>1</w:t>
            </w:r>
          </w:p>
        </w:tc>
        <w:tc>
          <w:tcPr>
            <w:tcW w:w="2551" w:type="dxa"/>
            <w:vAlign w:val="center"/>
          </w:tcPr>
          <w:p>
            <w:pPr>
              <w:spacing w:line="280" w:lineRule="exact"/>
              <w:ind w:firstLine="0" w:firstLineChars="0"/>
              <w:jc w:val="left"/>
              <w:rPr>
                <w:rFonts w:cs="宋体"/>
                <w:color w:val="auto"/>
                <w:kern w:val="0"/>
                <w:sz w:val="18"/>
                <w:szCs w:val="18"/>
              </w:rPr>
            </w:pPr>
            <w:r>
              <w:rPr>
                <w:rFonts w:hint="eastAsia"/>
                <w:color w:val="auto"/>
                <w:sz w:val="18"/>
                <w:szCs w:val="18"/>
              </w:rPr>
              <w:t>《增值税纳税申报表（小规模纳税人适用）》</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vAlign w:val="center"/>
          </w:tcPr>
          <w:p>
            <w:pPr>
              <w:spacing w:line="280" w:lineRule="exact"/>
              <w:ind w:firstLine="0" w:firstLineChars="0"/>
              <w:jc w:val="center"/>
              <w:rPr>
                <w:rFonts w:cs="宋体"/>
                <w:color w:val="auto"/>
                <w:kern w:val="0"/>
                <w:sz w:val="18"/>
                <w:szCs w:val="18"/>
              </w:rPr>
            </w:pP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lang w:eastAsia="zh-CN"/>
              </w:rPr>
              <w:t>税务机关</w:t>
            </w:r>
            <w:r>
              <w:rPr>
                <w:rFonts w:hint="eastAsia"/>
                <w:color w:val="auto"/>
                <w:sz w:val="18"/>
                <w:szCs w:val="18"/>
              </w:rPr>
              <w:t>留存1份</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color w:val="auto"/>
                <w:sz w:val="18"/>
                <w:szCs w:val="18"/>
              </w:rPr>
              <w:t>2</w:t>
            </w:r>
          </w:p>
        </w:tc>
        <w:tc>
          <w:tcPr>
            <w:tcW w:w="2551" w:type="dxa"/>
            <w:vAlign w:val="center"/>
          </w:tcPr>
          <w:p>
            <w:pPr>
              <w:spacing w:line="280" w:lineRule="exact"/>
              <w:ind w:firstLine="0" w:firstLineChars="0"/>
              <w:jc w:val="left"/>
              <w:rPr>
                <w:rFonts w:cs="宋体"/>
                <w:color w:val="auto"/>
                <w:kern w:val="0"/>
                <w:sz w:val="18"/>
                <w:szCs w:val="18"/>
              </w:rPr>
            </w:pPr>
            <w:r>
              <w:rPr>
                <w:rFonts w:hint="eastAsia"/>
                <w:color w:val="auto"/>
                <w:sz w:val="18"/>
                <w:szCs w:val="18"/>
              </w:rPr>
              <w:t>《增值税纳税申报表（小规模纳税人适用）附列资料》</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小规模纳税人销售服务、不动产和无形资产，在确定销售额时，按照有关规定可以从取得的全部价款和价外费用中扣除价款的</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lang w:eastAsia="zh-CN"/>
              </w:rPr>
              <w:t>税务机关</w:t>
            </w:r>
            <w:r>
              <w:rPr>
                <w:rFonts w:hint="eastAsia"/>
                <w:color w:val="auto"/>
                <w:sz w:val="18"/>
                <w:szCs w:val="18"/>
              </w:rPr>
              <w:t>留存1份</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color w:val="auto"/>
                <w:sz w:val="18"/>
                <w:szCs w:val="18"/>
              </w:rPr>
              <w:t>3</w:t>
            </w:r>
          </w:p>
        </w:tc>
        <w:tc>
          <w:tcPr>
            <w:tcW w:w="2551" w:type="dxa"/>
            <w:vAlign w:val="center"/>
          </w:tcPr>
          <w:p>
            <w:pPr>
              <w:spacing w:line="280" w:lineRule="exact"/>
              <w:ind w:firstLine="0" w:firstLineChars="0"/>
              <w:jc w:val="left"/>
              <w:rPr>
                <w:rFonts w:hint="eastAsia" w:cs="宋体"/>
                <w:color w:val="auto"/>
                <w:kern w:val="0"/>
                <w:sz w:val="18"/>
                <w:szCs w:val="18"/>
              </w:rPr>
            </w:pPr>
            <w:r>
              <w:rPr>
                <w:rFonts w:hint="eastAsia"/>
                <w:color w:val="auto"/>
                <w:sz w:val="18"/>
                <w:szCs w:val="18"/>
              </w:rPr>
              <w:t>《增值税减免税申报明细表》</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享受增值税减免税优惠政策的小规模纳税人，不包括仅享受月销售额不超过</w:t>
            </w:r>
            <w:r>
              <w:rPr>
                <w:color w:val="auto"/>
                <w:sz w:val="18"/>
                <w:szCs w:val="18"/>
              </w:rPr>
              <w:t>10万元（按季纳税30万元）免征增值税政策或未达起征点的增值税小规模纳税人</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lang w:eastAsia="zh-CN"/>
              </w:rPr>
              <w:t>税务机关</w:t>
            </w:r>
            <w:r>
              <w:rPr>
                <w:rFonts w:hint="eastAsia"/>
                <w:color w:val="auto"/>
                <w:sz w:val="18"/>
                <w:szCs w:val="18"/>
              </w:rPr>
              <w:t>留存1份</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color w:val="auto"/>
                <w:sz w:val="18"/>
                <w:szCs w:val="18"/>
              </w:rPr>
              <w:t>4</w:t>
            </w:r>
          </w:p>
        </w:tc>
        <w:tc>
          <w:tcPr>
            <w:tcW w:w="2551" w:type="dxa"/>
            <w:vAlign w:val="center"/>
          </w:tcPr>
          <w:p>
            <w:pPr>
              <w:spacing w:line="280" w:lineRule="exact"/>
              <w:ind w:firstLine="0" w:firstLineChars="0"/>
              <w:jc w:val="left"/>
              <w:rPr>
                <w:rFonts w:hint="eastAsia" w:cs="宋体"/>
                <w:color w:val="auto"/>
                <w:kern w:val="0"/>
                <w:sz w:val="18"/>
                <w:szCs w:val="18"/>
              </w:rPr>
            </w:pPr>
            <w:r>
              <w:rPr>
                <w:rFonts w:hint="eastAsia"/>
                <w:color w:val="auto"/>
                <w:sz w:val="18"/>
                <w:szCs w:val="18"/>
              </w:rPr>
              <w:t>金税盘或税控盘</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color w:val="auto"/>
                <w:sz w:val="18"/>
                <w:szCs w:val="18"/>
              </w:rPr>
              <w:t>2015年4月1日起使用增值税发票系统升级版的，按照有关规定不使用网络办税或不具备网络条件的特定纳税人提供</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查验后返还</w:t>
            </w:r>
          </w:p>
        </w:tc>
        <w:tc>
          <w:tcPr>
            <w:tcW w:w="1134" w:type="dxa"/>
            <w:vAlign w:val="center"/>
          </w:tcPr>
          <w:p>
            <w:pPr>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color w:val="auto"/>
                <w:sz w:val="18"/>
                <w:szCs w:val="18"/>
              </w:rPr>
              <w:t>5</w:t>
            </w:r>
          </w:p>
        </w:tc>
        <w:tc>
          <w:tcPr>
            <w:tcW w:w="2551" w:type="dxa"/>
            <w:vAlign w:val="center"/>
          </w:tcPr>
          <w:p>
            <w:pPr>
              <w:spacing w:line="280" w:lineRule="exact"/>
              <w:ind w:firstLine="0" w:firstLineChars="0"/>
              <w:jc w:val="left"/>
              <w:rPr>
                <w:rFonts w:hint="eastAsia" w:cs="宋体"/>
                <w:color w:val="auto"/>
                <w:kern w:val="0"/>
                <w:sz w:val="18"/>
                <w:szCs w:val="18"/>
              </w:rPr>
            </w:pPr>
            <w:r>
              <w:rPr>
                <w:rFonts w:hint="eastAsia"/>
                <w:color w:val="auto"/>
                <w:sz w:val="18"/>
                <w:szCs w:val="18"/>
              </w:rPr>
              <w:t>《机动车辆经销企业销售明细表》及电子信息</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机动车经销企业</w:t>
            </w:r>
          </w:p>
        </w:tc>
        <w:tc>
          <w:tcPr>
            <w:tcW w:w="1134" w:type="dxa"/>
            <w:vAlign w:val="center"/>
          </w:tcPr>
          <w:p>
            <w:pPr>
              <w:spacing w:line="280" w:lineRule="exact"/>
              <w:ind w:firstLine="0" w:firstLineChars="0"/>
              <w:jc w:val="center"/>
              <w:rPr>
                <w:rFonts w:hint="eastAsia" w:eastAsia="宋体" w:cs="宋体"/>
                <w:color w:val="auto"/>
                <w:kern w:val="0"/>
                <w:sz w:val="18"/>
                <w:szCs w:val="18"/>
                <w:lang w:val="en-US" w:eastAsia="zh-CN"/>
              </w:rPr>
            </w:pPr>
            <w:r>
              <w:rPr>
                <w:rFonts w:hint="eastAsia"/>
                <w:color w:val="auto"/>
                <w:sz w:val="18"/>
                <w:szCs w:val="18"/>
                <w:lang w:eastAsia="zh-CN"/>
              </w:rPr>
              <w:t>税务机关</w:t>
            </w:r>
            <w:r>
              <w:rPr>
                <w:rFonts w:hint="eastAsia"/>
                <w:color w:val="auto"/>
                <w:sz w:val="18"/>
                <w:szCs w:val="18"/>
              </w:rPr>
              <w:t>留存</w:t>
            </w:r>
            <w:r>
              <w:rPr>
                <w:rFonts w:hint="eastAsia"/>
                <w:color w:val="auto"/>
                <w:sz w:val="18"/>
                <w:szCs w:val="18"/>
                <w:lang w:val="en-US" w:eastAsia="zh-CN"/>
              </w:rPr>
              <w:t>1份</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6</w:t>
            </w:r>
          </w:p>
        </w:tc>
        <w:tc>
          <w:tcPr>
            <w:tcW w:w="2551" w:type="dxa"/>
            <w:vAlign w:val="center"/>
          </w:tcPr>
          <w:p>
            <w:pPr>
              <w:spacing w:line="280" w:lineRule="exact"/>
              <w:ind w:firstLine="0" w:firstLineChars="0"/>
              <w:jc w:val="left"/>
              <w:rPr>
                <w:rFonts w:hint="eastAsia" w:cs="宋体"/>
                <w:color w:val="auto"/>
                <w:kern w:val="0"/>
                <w:sz w:val="18"/>
                <w:szCs w:val="18"/>
              </w:rPr>
            </w:pPr>
            <w:r>
              <w:rPr>
                <w:color w:val="auto"/>
                <w:sz w:val="18"/>
                <w:szCs w:val="18"/>
              </w:rPr>
              <w:t>《机动车销售统一发票清单》及电子信息</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机动车经销企业</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lang w:eastAsia="zh-CN"/>
              </w:rPr>
              <w:t>税务机关</w:t>
            </w:r>
            <w:r>
              <w:rPr>
                <w:rFonts w:hint="eastAsia"/>
                <w:color w:val="auto"/>
                <w:sz w:val="18"/>
                <w:szCs w:val="18"/>
              </w:rPr>
              <w:t>留存</w:t>
            </w:r>
            <w:r>
              <w:rPr>
                <w:rFonts w:hint="eastAsia"/>
                <w:color w:val="auto"/>
                <w:sz w:val="18"/>
                <w:szCs w:val="18"/>
                <w:lang w:val="en-US" w:eastAsia="zh-CN"/>
              </w:rPr>
              <w:t>1份</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7</w:t>
            </w:r>
          </w:p>
        </w:tc>
        <w:tc>
          <w:tcPr>
            <w:tcW w:w="2551" w:type="dxa"/>
            <w:vAlign w:val="center"/>
          </w:tcPr>
          <w:p>
            <w:pPr>
              <w:spacing w:line="280" w:lineRule="exact"/>
              <w:ind w:firstLine="0" w:firstLineChars="0"/>
              <w:jc w:val="left"/>
              <w:rPr>
                <w:rFonts w:hint="eastAsia" w:cs="宋体"/>
                <w:color w:val="auto"/>
                <w:kern w:val="0"/>
                <w:sz w:val="18"/>
                <w:szCs w:val="18"/>
              </w:rPr>
            </w:pPr>
            <w:r>
              <w:rPr>
                <w:color w:val="auto"/>
                <w:sz w:val="18"/>
                <w:szCs w:val="18"/>
              </w:rPr>
              <w:t>《机动车销售统一发票领用存月报表》</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机动车经销企业</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lang w:eastAsia="zh-CN"/>
              </w:rPr>
              <w:t>税务机关</w:t>
            </w:r>
            <w:r>
              <w:rPr>
                <w:rFonts w:hint="eastAsia"/>
                <w:color w:val="auto"/>
                <w:sz w:val="18"/>
                <w:szCs w:val="18"/>
              </w:rPr>
              <w:t>留存</w:t>
            </w:r>
            <w:r>
              <w:rPr>
                <w:rFonts w:hint="eastAsia"/>
                <w:color w:val="auto"/>
                <w:sz w:val="18"/>
                <w:szCs w:val="18"/>
                <w:lang w:val="en-US" w:eastAsia="zh-CN"/>
              </w:rPr>
              <w:t>1份</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8</w:t>
            </w:r>
          </w:p>
        </w:tc>
        <w:tc>
          <w:tcPr>
            <w:tcW w:w="2551" w:type="dxa"/>
            <w:vAlign w:val="center"/>
          </w:tcPr>
          <w:p>
            <w:pPr>
              <w:spacing w:line="280" w:lineRule="exact"/>
              <w:ind w:firstLine="0" w:firstLineChars="0"/>
              <w:jc w:val="left"/>
              <w:rPr>
                <w:rFonts w:hint="eastAsia" w:cs="宋体"/>
                <w:color w:val="auto"/>
                <w:kern w:val="0"/>
                <w:sz w:val="18"/>
                <w:szCs w:val="18"/>
              </w:rPr>
            </w:pPr>
            <w:r>
              <w:rPr>
                <w:rFonts w:hint="eastAsia"/>
                <w:color w:val="auto"/>
                <w:sz w:val="18"/>
                <w:szCs w:val="18"/>
              </w:rPr>
              <w:t>已开具的机动车统一销售发票存根联</w:t>
            </w:r>
          </w:p>
        </w:tc>
        <w:tc>
          <w:tcPr>
            <w:tcW w:w="709"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vAlign w:val="center"/>
          </w:tcPr>
          <w:p>
            <w:pPr>
              <w:spacing w:line="280" w:lineRule="exact"/>
              <w:ind w:firstLine="0" w:firstLineChars="0"/>
              <w:jc w:val="center"/>
              <w:rPr>
                <w:rFonts w:cs="宋体"/>
                <w:color w:val="auto"/>
                <w:kern w:val="0"/>
                <w:sz w:val="18"/>
                <w:szCs w:val="18"/>
              </w:rPr>
            </w:pPr>
            <w:r>
              <w:rPr>
                <w:rFonts w:hint="eastAsia"/>
                <w:color w:val="auto"/>
                <w:sz w:val="18"/>
                <w:szCs w:val="18"/>
              </w:rPr>
              <w:t>机动车经销企业</w:t>
            </w:r>
          </w:p>
        </w:tc>
        <w:tc>
          <w:tcPr>
            <w:tcW w:w="1134" w:type="dxa"/>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查验后返还</w:t>
            </w:r>
          </w:p>
        </w:tc>
        <w:tc>
          <w:tcPr>
            <w:tcW w:w="1134" w:type="dxa"/>
            <w:vAlign w:val="center"/>
          </w:tcPr>
          <w:p>
            <w:pPr>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spacing w:line="280" w:lineRule="exact"/>
              <w:ind w:firstLine="0" w:firstLineChars="0"/>
              <w:jc w:val="center"/>
              <w:rPr>
                <w:rFonts w:cs="宋体"/>
                <w:color w:val="auto"/>
                <w:kern w:val="0"/>
                <w:sz w:val="18"/>
                <w:szCs w:val="18"/>
              </w:rPr>
            </w:pPr>
            <w:r>
              <w:rPr>
                <w:rFonts w:hint="eastAsia"/>
                <w:color w:val="auto"/>
                <w:sz w:val="18"/>
                <w:szCs w:val="18"/>
              </w:rPr>
              <w:t>9</w:t>
            </w:r>
          </w:p>
        </w:tc>
        <w:tc>
          <w:tcPr>
            <w:tcW w:w="2551" w:type="dxa"/>
            <w:tcBorders>
              <w:bottom w:val="single" w:color="auto" w:sz="12" w:space="0"/>
            </w:tcBorders>
            <w:vAlign w:val="center"/>
          </w:tcPr>
          <w:p>
            <w:pPr>
              <w:spacing w:line="280" w:lineRule="exact"/>
              <w:ind w:firstLine="0" w:firstLineChars="0"/>
              <w:jc w:val="left"/>
              <w:rPr>
                <w:rFonts w:hint="eastAsia" w:cs="宋体"/>
                <w:color w:val="auto"/>
                <w:kern w:val="0"/>
                <w:sz w:val="18"/>
                <w:szCs w:val="18"/>
              </w:rPr>
            </w:pPr>
            <w:r>
              <w:rPr>
                <w:rFonts w:hint="eastAsia"/>
                <w:color w:val="auto"/>
                <w:sz w:val="18"/>
                <w:szCs w:val="18"/>
              </w:rPr>
              <w:t>电力企业增值税销项税额和进项税额传递单</w:t>
            </w:r>
          </w:p>
        </w:tc>
        <w:tc>
          <w:tcPr>
            <w:tcW w:w="709" w:type="dxa"/>
            <w:tcBorders>
              <w:bottom w:val="single" w:color="auto" w:sz="12" w:space="0"/>
            </w:tcBorders>
            <w:vAlign w:val="center"/>
          </w:tcPr>
          <w:p>
            <w:pPr>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tcBorders>
              <w:bottom w:val="single" w:color="auto" w:sz="12" w:space="0"/>
            </w:tcBorders>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tcBorders>
              <w:bottom w:val="single" w:color="auto" w:sz="12" w:space="0"/>
            </w:tcBorders>
            <w:vAlign w:val="center"/>
          </w:tcPr>
          <w:p>
            <w:pPr>
              <w:spacing w:line="280" w:lineRule="exact"/>
              <w:ind w:firstLine="0" w:firstLineChars="0"/>
              <w:jc w:val="center"/>
              <w:rPr>
                <w:rFonts w:cs="宋体"/>
                <w:color w:val="auto"/>
                <w:kern w:val="0"/>
                <w:sz w:val="18"/>
                <w:szCs w:val="18"/>
              </w:rPr>
            </w:pPr>
            <w:r>
              <w:rPr>
                <w:rFonts w:hint="eastAsia"/>
                <w:color w:val="auto"/>
                <w:sz w:val="18"/>
                <w:szCs w:val="18"/>
              </w:rPr>
              <w:t>实行预缴方式缴纳增值税的电力产品增值税纳税人，即生产、销售电力产品的单位和个人</w:t>
            </w:r>
          </w:p>
        </w:tc>
        <w:tc>
          <w:tcPr>
            <w:tcW w:w="1134" w:type="dxa"/>
            <w:tcBorders>
              <w:bottom w:val="single" w:color="auto" w:sz="12" w:space="0"/>
            </w:tcBorders>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lang w:eastAsia="zh-CN"/>
              </w:rPr>
              <w:t>税务机关</w:t>
            </w:r>
            <w:r>
              <w:rPr>
                <w:rFonts w:hint="eastAsia"/>
                <w:color w:val="auto"/>
                <w:sz w:val="18"/>
                <w:szCs w:val="18"/>
              </w:rPr>
              <w:t>留存</w:t>
            </w:r>
          </w:p>
        </w:tc>
        <w:tc>
          <w:tcPr>
            <w:tcW w:w="1134" w:type="dxa"/>
            <w:tcBorders>
              <w:bottom w:val="single" w:color="auto" w:sz="12" w:space="0"/>
            </w:tcBorders>
            <w:vAlign w:val="center"/>
          </w:tcPr>
          <w:p>
            <w:pPr>
              <w:spacing w:line="280" w:lineRule="exact"/>
              <w:ind w:firstLine="0" w:firstLineChars="0"/>
              <w:jc w:val="center"/>
              <w:rPr>
                <w:rFonts w:hint="eastAsia" w:cs="宋体"/>
                <w:color w:val="auto"/>
                <w:kern w:val="0"/>
                <w:sz w:val="18"/>
                <w:szCs w:val="18"/>
              </w:rPr>
            </w:pPr>
            <w:r>
              <w:rPr>
                <w:rFonts w:hint="eastAsia"/>
                <w:color w:val="auto"/>
                <w:sz w:val="18"/>
                <w:szCs w:val="18"/>
              </w:rPr>
              <w:t>是</w:t>
            </w:r>
          </w:p>
        </w:tc>
      </w:tr>
    </w:tbl>
    <w:p>
      <w:pPr>
        <w:pStyle w:val="3"/>
        <w:numPr>
          <w:ilvl w:val="0"/>
          <w:numId w:val="5"/>
        </w:numPr>
        <w:ind w:firstLine="552"/>
        <w:rPr>
          <w:rFonts w:hint="eastAsia"/>
          <w:color w:val="auto"/>
        </w:rPr>
      </w:pPr>
      <w:r>
        <w:rPr>
          <w:rFonts w:hint="eastAsia"/>
          <w:color w:val="auto"/>
        </w:rPr>
        <w:t>办理流程</w:t>
      </w:r>
    </w:p>
    <w:p>
      <w:pPr>
        <w:widowControl w:val="0"/>
        <w:numPr>
          <w:ilvl w:val="0"/>
          <w:numId w:val="0"/>
        </w:numPr>
        <w:spacing w:line="240" w:lineRule="auto"/>
        <w:jc w:val="both"/>
        <w:rPr>
          <w:color w:val="auto"/>
        </w:rPr>
      </w:pPr>
    </w:p>
    <w:p>
      <w:pPr>
        <w:spacing w:line="240" w:lineRule="auto"/>
        <w:ind w:left="0" w:leftChars="0" w:firstLine="0" w:firstLineChars="0"/>
        <w:rPr>
          <w:color w:val="auto"/>
        </w:rPr>
      </w:pPr>
      <w:r>
        <w:rPr>
          <w:color w:val="auto"/>
        </w:rPr>
        <w:object>
          <v:shape id="_x0000_i1085"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085"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rPr>
          <w:rFonts w:hint="eastAsia"/>
          <w:color w:val="auto"/>
        </w:rPr>
      </w:pPr>
      <w:r>
        <w:rPr>
          <w:color w:val="auto"/>
        </w:rPr>
        <w:t>1.</w:t>
      </w:r>
      <w:r>
        <w:rPr>
          <w:rFonts w:hint="eastAsia"/>
          <w:color w:val="auto"/>
        </w:rPr>
        <w:t>A06491《增值税纳税申报表（小规模纳税人适用）》(A06491《增值税纳税申报表（小规模纳税人适用）》（填写样例）)</w:t>
      </w:r>
    </w:p>
    <w:p>
      <w:pPr>
        <w:ind w:firstLine="472"/>
        <w:rPr>
          <w:rFonts w:hint="eastAsia"/>
          <w:color w:val="auto"/>
        </w:rPr>
      </w:pPr>
      <w:r>
        <w:rPr>
          <w:rFonts w:hint="eastAsia"/>
          <w:color w:val="auto"/>
        </w:rPr>
        <w:t>2.A06454</w:t>
      </w:r>
      <w:r>
        <w:rPr>
          <w:rFonts w:hint="eastAsia"/>
          <w:color w:val="auto"/>
        </w:rPr>
        <w:tab/>
      </w:r>
      <w:r>
        <w:rPr>
          <w:rFonts w:hint="eastAsia"/>
          <w:color w:val="auto"/>
        </w:rPr>
        <w:t>增值税纳税申报表（小规模纳税人适用）附列资料》(A06454</w:t>
      </w:r>
      <w:r>
        <w:rPr>
          <w:rFonts w:hint="eastAsia"/>
          <w:color w:val="auto"/>
        </w:rPr>
        <w:tab/>
      </w:r>
      <w:r>
        <w:rPr>
          <w:rFonts w:hint="eastAsia"/>
          <w:color w:val="auto"/>
        </w:rPr>
        <w:t>增值税纳税申报表（小规模纳税人适用）附列资料》（填写样例）)</w:t>
      </w:r>
    </w:p>
    <w:p>
      <w:pPr>
        <w:ind w:firstLine="472"/>
        <w:rPr>
          <w:rFonts w:hint="eastAsia"/>
          <w:color w:val="auto"/>
        </w:rPr>
      </w:pPr>
      <w:r>
        <w:rPr>
          <w:rFonts w:hint="eastAsia"/>
          <w:color w:val="auto"/>
        </w:rPr>
        <w:t>3.A06631《增值税减免税申报明细表》(A06631《增值税减免税申报明细表》（填写样例）)</w:t>
      </w:r>
    </w:p>
    <w:p>
      <w:pPr>
        <w:ind w:firstLine="472"/>
        <w:rPr>
          <w:rFonts w:hint="eastAsia"/>
          <w:color w:val="auto"/>
        </w:rPr>
      </w:pPr>
      <w:r>
        <w:rPr>
          <w:rFonts w:hint="eastAsia"/>
          <w:color w:val="auto"/>
        </w:rPr>
        <w:t>4.A06011《机动车辆经销企业销售明细表》(A06011《机动车辆经销企业销售明细表》（填写样例）)</w:t>
      </w:r>
    </w:p>
    <w:p>
      <w:pPr>
        <w:ind w:firstLine="472"/>
        <w:rPr>
          <w:rFonts w:hint="eastAsia"/>
          <w:color w:val="auto"/>
        </w:rPr>
      </w:pPr>
      <w:r>
        <w:rPr>
          <w:rFonts w:hint="eastAsia"/>
          <w:color w:val="auto"/>
        </w:rPr>
        <w:t>5.A06009《机动车销售统一发票清单》(A06009</w:t>
      </w:r>
      <w:r>
        <w:rPr>
          <w:rFonts w:hint="eastAsia"/>
          <w:color w:val="auto"/>
        </w:rPr>
        <w:tab/>
      </w:r>
      <w:r>
        <w:rPr>
          <w:rFonts w:hint="eastAsia"/>
          <w:color w:val="auto"/>
        </w:rPr>
        <w:t>《机动车销售统一发票清单》（填写样例）)</w:t>
      </w:r>
    </w:p>
    <w:p>
      <w:pPr>
        <w:ind w:firstLine="472"/>
        <w:rPr>
          <w:rFonts w:hint="eastAsia"/>
          <w:color w:val="auto"/>
          <w:lang w:val="en-US" w:eastAsia="zh-CN"/>
        </w:rPr>
      </w:pPr>
      <w:r>
        <w:rPr>
          <w:rFonts w:hint="eastAsia"/>
          <w:color w:val="auto"/>
        </w:rPr>
        <w:t>6.A06010《机动车销售统一发票领用存月报表》(A06010《机动车销售统一发票领用存月报表》（填写样例）)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1.申报完成后，需办理增值税小规模纳税人票表比对业务。</w:t>
      </w:r>
    </w:p>
    <w:p>
      <w:pPr>
        <w:ind w:firstLine="472"/>
        <w:rPr>
          <w:rFonts w:hint="eastAsia"/>
          <w:color w:val="auto"/>
        </w:rPr>
      </w:pPr>
      <w:r>
        <w:rPr>
          <w:rFonts w:hint="eastAsia"/>
          <w:color w:val="auto"/>
        </w:rPr>
        <w:t>2.如需调整前期的申报或对前期申报进行补充申报，则通过申报错误更正业务进行办理；如属于纳税评估自查补报，则通过纳税评估通知书进行办理。</w:t>
      </w:r>
    </w:p>
    <w:p>
      <w:pPr>
        <w:ind w:firstLine="472"/>
        <w:rPr>
          <w:rFonts w:hint="eastAsia"/>
          <w:color w:val="auto"/>
        </w:rPr>
      </w:pPr>
      <w:r>
        <w:rPr>
          <w:rFonts w:hint="eastAsia"/>
          <w:color w:val="auto"/>
        </w:rPr>
        <w:t>3.增值税小规模纳税人自2016年6月1日起不再填报《增值税纳税申报表附列资料（四）》（税额抵减情况表）。自2019年1月1日起，增值税小规模纳税人按规定享受的增值税减征税额在《增值税减免税申报明细表》中反映，该表不包括仅享受月销售额不超过10万元免征增值税政策或未达起征点的增值税小规模纳税人。</w:t>
      </w:r>
    </w:p>
    <w:p>
      <w:pPr>
        <w:ind w:firstLine="472"/>
        <w:rPr>
          <w:color w:val="auto"/>
        </w:rPr>
      </w:pPr>
      <w:r>
        <w:rPr>
          <w:rFonts w:hint="eastAsia"/>
          <w:color w:val="auto"/>
        </w:rPr>
        <w:t>4.依法应当进行处理的涉税违法行为涉及的相关办税事项，不纳入省内同城通办范围。</w:t>
      </w:r>
    </w:p>
    <w:p>
      <w:pPr>
        <w:ind w:firstLine="472"/>
        <w:rPr>
          <w:color w:val="auto"/>
        </w:rPr>
      </w:pPr>
      <w:r>
        <w:rPr>
          <w:rFonts w:hint="eastAsia"/>
          <w:color w:val="auto"/>
          <w:lang w:val="en-US" w:eastAsia="zh-CN"/>
        </w:rPr>
        <w:t>5</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7DB77B"/>
    <w:multiLevelType w:val="singleLevel"/>
    <w:tmpl w:val="CC7DB77B"/>
    <w:lvl w:ilvl="0" w:tentative="0">
      <w:start w:val="6"/>
      <w:numFmt w:val="chineseCounting"/>
      <w:suff w:val="nothing"/>
      <w:lvlText w:val="%1、"/>
      <w:lvlJc w:val="left"/>
      <w:rPr>
        <w:rFonts w:hint="eastAsia"/>
      </w:rPr>
    </w:lvl>
  </w:abstractNum>
  <w:abstractNum w:abstractNumId="1">
    <w:nsid w:val="D84B83E6"/>
    <w:multiLevelType w:val="singleLevel"/>
    <w:tmpl w:val="D84B83E6"/>
    <w:lvl w:ilvl="0" w:tentative="0">
      <w:start w:val="3"/>
      <w:numFmt w:val="chineseCounting"/>
      <w:suff w:val="nothing"/>
      <w:lvlText w:val="%1、"/>
      <w:lvlJc w:val="left"/>
      <w:rPr>
        <w:rFonts w:hint="eastAsia"/>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1F01B1A"/>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2019-10-31T03:44:21Z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