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13775"/>
      <w:r>
        <w:rPr>
          <w:rFonts w:hint="eastAsia" w:ascii="黑体" w:hAnsi="黑体"/>
          <w:color w:val="auto"/>
        </w:rPr>
        <w:t>1.3.9.1印花税申报</w:t>
      </w:r>
      <w:bookmarkEnd w:id="0"/>
    </w:p>
    <w:p>
      <w:pPr>
        <w:pStyle w:val="3"/>
        <w:ind w:firstLine="552"/>
        <w:rPr>
          <w:color w:val="auto"/>
        </w:rPr>
      </w:pPr>
      <w:r>
        <w:rPr>
          <w:color w:val="auto"/>
        </w:rPr>
        <w:t>一、事项名称</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印花税申报</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全省通办：是</w:t>
      </w:r>
    </w:p>
    <w:p>
      <w:pPr>
        <w:pStyle w:val="47"/>
        <w:numPr>
          <w:ilvl w:val="0"/>
          <w:numId w:val="3"/>
        </w:numPr>
        <w:ind w:firstLineChars="0"/>
        <w:rPr>
          <w:color w:val="auto"/>
        </w:rPr>
      </w:pPr>
      <w:r>
        <w:rPr>
          <w:color w:val="auto"/>
        </w:rPr>
        <w:t>网上办理：是</w:t>
      </w:r>
    </w:p>
    <w:p>
      <w:pPr>
        <w:pStyle w:val="47"/>
        <w:numPr>
          <w:ilvl w:val="0"/>
          <w:numId w:val="3"/>
        </w:numPr>
        <w:ind w:firstLineChars="0"/>
        <w:rPr>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pStyle w:val="47"/>
        <w:ind w:firstLineChars="0"/>
        <w:rPr>
          <w:color w:val="auto"/>
        </w:rPr>
      </w:pPr>
      <w:r>
        <w:rPr>
          <w:rFonts w:hint="eastAsia"/>
          <w:bCs/>
          <w:color w:val="auto"/>
        </w:rPr>
        <w:t>1.</w:t>
      </w:r>
      <w:r>
        <w:rPr>
          <w:rFonts w:hint="eastAsia"/>
          <w:color w:val="auto"/>
        </w:rPr>
        <w:t>印花税申报是指在中华人民共和国境内书立、领受印花税暂行条例所列举凭证的单位和个人应依照税收法律、法规、规章及其他有关规定，在规定的纳税期限内，填报《印花税纳税申报（报告）表》向税务机关进行纳税申报的业务活动。</w:t>
      </w:r>
    </w:p>
    <w:p>
      <w:pPr>
        <w:pStyle w:val="47"/>
        <w:ind w:firstLineChars="0"/>
        <w:rPr>
          <w:color w:val="auto"/>
        </w:rPr>
      </w:pPr>
      <w:r>
        <w:rPr>
          <w:rFonts w:hint="eastAsia"/>
          <w:bCs/>
          <w:color w:val="auto"/>
        </w:rPr>
        <w:t>2.</w:t>
      </w:r>
      <w:r>
        <w:rPr>
          <w:rFonts w:hint="eastAsia"/>
          <w:color w:val="auto"/>
        </w:rPr>
        <w:t>自</w:t>
      </w:r>
      <w:r>
        <w:rPr>
          <w:color w:val="auto"/>
        </w:rPr>
        <w:t>2019年1月1日至2021年12月31日，由省、自治区、直辖市人民政府根据本地区实际情况，以及宏观调控需要确定，对增值税小规模纳税人可以在50%的税额幅度内减征印花税（不含证券交易印花税）。纳税人可以叠加享受以前出台的优惠政策和增值税小规模纳税人优惠政策，增值税小规模纳税人优惠政策在计算应纳税额、其他政策减免税额之后叠加。</w:t>
      </w:r>
    </w:p>
    <w:p>
      <w:pPr>
        <w:pStyle w:val="3"/>
        <w:ind w:firstLine="552"/>
        <w:rPr>
          <w:color w:val="auto"/>
        </w:rPr>
      </w:pPr>
      <w:r>
        <w:rPr>
          <w:rFonts w:hint="eastAsia"/>
          <w:color w:val="auto"/>
        </w:rPr>
        <w:t>四、设定依据</w:t>
      </w:r>
    </w:p>
    <w:p>
      <w:pPr>
        <w:ind w:firstLine="472" w:firstLineChars="0"/>
        <w:rPr>
          <w:color w:val="auto"/>
        </w:rPr>
      </w:pPr>
      <w:r>
        <w:rPr>
          <w:color w:val="auto"/>
        </w:rPr>
        <w:t>1.《中华人民共和国税收征收管理法》第二十五条第一款</w:t>
      </w:r>
    </w:p>
    <w:p>
      <w:pPr>
        <w:ind w:firstLine="472" w:firstLineChars="0"/>
        <w:rPr>
          <w:color w:val="auto"/>
        </w:rPr>
      </w:pPr>
      <w:r>
        <w:rPr>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2.《中华人民共和国印花税暂行条例》第一条</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w:t>
      </w:r>
      <w:r>
        <w:rPr>
          <w:rFonts w:ascii="宋体" w:hAnsi="宋体" w:eastAsia="宋体" w:cs="Times New Roman"/>
          <w:bCs w:val="0"/>
          <w:color w:val="auto"/>
          <w:sz w:val="24"/>
          <w:szCs w:val="22"/>
        </w:rPr>
        <w:t>在中华人民共和国境内书立、领受本条例所列举凭证的单位和个人，都是印花税的纳税义务人（以下简称纳税人），应当按照本条例规定缴纳印花税。”</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62"/>
              <w:widowControl/>
              <w:spacing w:line="280" w:lineRule="exact"/>
              <w:ind w:firstLine="352"/>
              <w:rPr>
                <w:rFonts w:ascii="宋体" w:hAnsi="宋体" w:eastAsia="宋体"/>
                <w:color w:val="auto"/>
                <w:sz w:val="18"/>
                <w:szCs w:val="18"/>
              </w:rPr>
            </w:pPr>
            <w:r>
              <w:rPr>
                <w:rFonts w:ascii="宋体" w:hAnsi="宋体" w:eastAsia="宋体" w:cs="微软雅黑"/>
                <w:color w:val="auto"/>
                <w:sz w:val="18"/>
                <w:szCs w:val="18"/>
              </w:rPr>
              <w:t>1</w:t>
            </w:r>
          </w:p>
        </w:tc>
        <w:tc>
          <w:tcPr>
            <w:tcW w:w="2551" w:type="dxa"/>
            <w:shd w:val="clear" w:color="auto" w:fill="auto"/>
            <w:vAlign w:val="center"/>
          </w:tcPr>
          <w:p>
            <w:pPr>
              <w:pStyle w:val="62"/>
              <w:widowControl/>
              <w:spacing w:line="280" w:lineRule="exact"/>
              <w:rPr>
                <w:rFonts w:ascii="宋体" w:hAnsi="宋体" w:eastAsia="宋体"/>
                <w:color w:val="auto"/>
                <w:sz w:val="18"/>
                <w:szCs w:val="18"/>
              </w:rPr>
            </w:pPr>
            <w:r>
              <w:rPr>
                <w:rFonts w:hint="eastAsia" w:ascii="宋体" w:hAnsi="宋体" w:eastAsia="宋体"/>
                <w:color w:val="auto"/>
                <w:sz w:val="18"/>
                <w:szCs w:val="18"/>
              </w:rPr>
              <w:t>《印花税纳税</w:t>
            </w:r>
            <w:r>
              <w:rPr>
                <w:rFonts w:ascii="宋体" w:hAnsi="宋体" w:eastAsia="宋体"/>
                <w:color w:val="auto"/>
                <w:sz w:val="18"/>
                <w:szCs w:val="18"/>
              </w:rPr>
              <w:t>申报</w:t>
            </w:r>
            <w:r>
              <w:rPr>
                <w:rFonts w:hint="eastAsia" w:ascii="宋体" w:hAnsi="宋体" w:eastAsia="宋体"/>
                <w:color w:val="auto"/>
                <w:sz w:val="18"/>
                <w:szCs w:val="18"/>
              </w:rPr>
              <w:t>（报告）表》</w:t>
            </w:r>
          </w:p>
        </w:tc>
        <w:tc>
          <w:tcPr>
            <w:tcW w:w="709" w:type="dxa"/>
            <w:shd w:val="clear" w:color="auto" w:fill="auto"/>
            <w:vAlign w:val="center"/>
          </w:tcPr>
          <w:p>
            <w:pPr>
              <w:pStyle w:val="62"/>
              <w:widowControl/>
              <w:spacing w:line="280" w:lineRule="exact"/>
              <w:ind w:firstLine="352"/>
              <w:rPr>
                <w:rStyle w:val="17"/>
                <w:rFonts w:ascii="宋体" w:hAnsi="宋体" w:eastAsia="宋体" w:cs="微软雅黑"/>
                <w:b w:val="0"/>
                <w:color w:val="auto"/>
                <w:sz w:val="18"/>
                <w:szCs w:val="18"/>
              </w:rPr>
            </w:pPr>
            <w:r>
              <w:rPr>
                <w:rStyle w:val="17"/>
                <w:rFonts w:ascii="宋体" w:hAnsi="宋体" w:eastAsia="宋体" w:cs="微软雅黑"/>
                <w:b w:val="0"/>
                <w:color w:val="auto"/>
                <w:sz w:val="18"/>
                <w:szCs w:val="18"/>
              </w:rPr>
              <w:t>2</w:t>
            </w:r>
          </w:p>
        </w:tc>
        <w:tc>
          <w:tcPr>
            <w:tcW w:w="992" w:type="dxa"/>
            <w:shd w:val="clear" w:color="auto" w:fill="auto"/>
            <w:vAlign w:val="center"/>
          </w:tcPr>
          <w:p>
            <w:pPr>
              <w:pStyle w:val="62"/>
              <w:widowControl/>
              <w:spacing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62"/>
              <w:widowControl/>
              <w:spacing w:line="280" w:lineRule="exact"/>
              <w:ind w:firstLine="352"/>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51" o:spid="_x0000_s1051" o:spt="75" type="#_x0000_t75" style="position:absolute;left:0pt;margin-left:8.6pt;margin-top:16.6pt;height:104.45pt;width:439.3pt;mso-wrap-distance-bottom:0pt;mso-wrap-distance-left:9pt;mso-wrap-distance-right:9pt;mso-wrap-distance-top:0pt;z-index:251742208;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51"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1.</w:t>
      </w:r>
      <w:r>
        <w:rPr>
          <w:rFonts w:ascii="宋体" w:hAnsi="宋体" w:eastAsia="宋体" w:cs="Times New Roman"/>
          <w:bCs w:val="0"/>
          <w:color w:val="auto"/>
          <w:sz w:val="24"/>
          <w:szCs w:val="22"/>
        </w:rPr>
        <w:t>A06111《印花税纳税申报（报告）表》</w:t>
      </w:r>
    </w:p>
    <w:p>
      <w:pPr>
        <w:pStyle w:val="3"/>
        <w:ind w:firstLine="552"/>
        <w:rPr>
          <w:color w:val="auto"/>
        </w:rPr>
      </w:pPr>
      <w:r>
        <w:rPr>
          <w:rFonts w:hint="eastAsia"/>
          <w:color w:val="auto"/>
        </w:rPr>
        <w:t>九、注意事项</w:t>
      </w:r>
    </w:p>
    <w:p>
      <w:pPr>
        <w:ind w:firstLine="472"/>
        <w:rPr>
          <w:color w:val="auto"/>
        </w:rPr>
      </w:pPr>
      <w:r>
        <w:rPr>
          <w:color w:val="auto"/>
        </w:rPr>
        <w:t>1.</w:t>
      </w:r>
      <w:r>
        <w:rPr>
          <w:rFonts w:hint="eastAsia"/>
          <w:color w:val="auto"/>
        </w:rPr>
        <w:t>纳税人既有应退税款又有欠缴税款的，可以办理“抵缴欠税”业务。</w:t>
      </w:r>
    </w:p>
    <w:p>
      <w:pPr>
        <w:ind w:firstLine="472"/>
        <w:rPr>
          <w:color w:val="auto"/>
        </w:rPr>
      </w:pPr>
      <w:r>
        <w:rPr>
          <w:color w:val="auto"/>
        </w:rPr>
        <w:t>2.纳税人对报送资料的真实性和合法性承担责任。</w:t>
      </w:r>
    </w:p>
    <w:p>
      <w:pPr>
        <w:ind w:firstLine="472"/>
        <w:rPr>
          <w:rFonts w:hint="eastAsia"/>
          <w:color w:val="auto"/>
        </w:rPr>
      </w:pPr>
      <w:r>
        <w:rPr>
          <w:rFonts w:hint="eastAsia"/>
          <w:color w:val="auto"/>
        </w:rPr>
        <w:t>3</w:t>
      </w:r>
      <w:r>
        <w:rPr>
          <w:color w:val="auto"/>
        </w:rPr>
        <w:t>.最多跑一次是在资料完整且符合法定受理条件的前提下，最多只需要到税务机关跑一次。</w:t>
      </w:r>
    </w:p>
    <w:p>
      <w:pPr>
        <w:ind w:firstLine="472"/>
        <w:rPr>
          <w:color w:val="auto"/>
        </w:rPr>
      </w:pPr>
      <w:r>
        <w:rPr>
          <w:rFonts w:hint="eastAsia"/>
          <w:color w:val="auto"/>
        </w:rPr>
        <w:t>4.</w:t>
      </w:r>
      <w:r>
        <w:rPr>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CA6442"/>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2019-10-31T06:24:27Z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