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25102"/>
      <w:r>
        <w:rPr>
          <w:rFonts w:hint="eastAsia" w:ascii="黑体" w:hAnsi="黑体" w:cs="黑体"/>
          <w:color w:val="auto"/>
        </w:rPr>
        <w:t>1.2.9.1</w:t>
      </w:r>
      <w:r>
        <w:rPr>
          <w:rFonts w:hint="eastAsia"/>
          <w:color w:val="auto"/>
        </w:rPr>
        <w:t>增值税税控系统专用设备初始发行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1" w:firstLineChars="0"/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</w:rPr>
      </w:pPr>
      <w:r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</w:rPr>
        <w:t>增值税税控系统专用设备初始发行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纳税人在初次使用或重新领购税控设备开具发票之前，税务机关需要对税控设备进行初始化处理，将开票所需的各种信息载入税控设备。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numPr>
          <w:ilvl w:val="0"/>
          <w:numId w:val="4"/>
        </w:numPr>
        <w:wordWrap w:val="0"/>
        <w:spacing w:line="240" w:lineRule="auto"/>
        <w:ind w:left="472" w:leftChars="200" w:firstLine="0" w:firstLineChars="0"/>
        <w:rPr>
          <w:color w:val="auto"/>
        </w:rPr>
      </w:pPr>
      <w:r>
        <w:rPr>
          <w:rFonts w:hint="eastAsia"/>
          <w:color w:val="auto"/>
        </w:rPr>
        <w:t>《中华人民共和国税收征收管理法》第二十三条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“国家根据税收征收管理的需要，积极推广使用税控装置。纳税人应当按照规定安装、使用税控装置，不得损毁或者擅自改动税控装置。”</w:t>
      </w:r>
    </w:p>
    <w:p>
      <w:pPr>
        <w:wordWrap w:val="0"/>
        <w:spacing w:line="240" w:lineRule="auto"/>
        <w:ind w:firstLine="472"/>
        <w:rPr>
          <w:color w:val="auto"/>
        </w:rPr>
      </w:pPr>
      <w:r>
        <w:rPr>
          <w:rFonts w:hint="eastAsia"/>
          <w:color w:val="auto"/>
        </w:rPr>
        <w:t>2.《国家税务总局关于修订&lt;增值税专用发票使用规定&gt;的通知》（国税发〔2006〕156号）第三条</w:t>
      </w:r>
    </w:p>
    <w:p>
      <w:pPr>
        <w:pStyle w:val="13"/>
        <w:widowControl/>
        <w:spacing w:beforeAutospacing="0" w:afterAutospacing="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“一般纳税人应通过增值税防伪税控系统（以下简称防伪税控系统）使用专用发票。使用，包括领购、开具、缴销、认证纸质专用发票及其相应的数据电文。</w:t>
      </w:r>
    </w:p>
    <w:p>
      <w:pPr>
        <w:pStyle w:val="13"/>
        <w:widowControl/>
        <w:spacing w:beforeAutospacing="0" w:afterAutospacing="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本规定所称防伪税控系统，是指经国务院同意推行的，使用专用设备和通用设备、运用数字密码和电子存储技术管理专用发票的计算机管理系统。</w:t>
      </w:r>
      <w:r>
        <w:rPr>
          <w:rFonts w:hint="eastAsia" w:ascii="宋体" w:hAnsi="宋体" w:eastAsia="宋体"/>
          <w:color w:val="auto"/>
          <w:kern w:val="2"/>
          <w:szCs w:val="22"/>
        </w:rPr>
        <w:br w:type="textWrapping"/>
      </w:r>
      <w:r>
        <w:rPr>
          <w:rFonts w:hint="eastAsia" w:ascii="宋体" w:hAnsi="宋体" w:eastAsia="宋体"/>
          <w:color w:val="auto"/>
          <w:kern w:val="2"/>
          <w:szCs w:val="22"/>
        </w:rPr>
        <w:t>本规定所称专用设备，是指金税卡、IC卡、读卡器和其他设备。</w:t>
      </w:r>
      <w:r>
        <w:rPr>
          <w:rFonts w:hint="eastAsia" w:ascii="宋体" w:hAnsi="宋体" w:eastAsia="宋体"/>
          <w:color w:val="auto"/>
          <w:kern w:val="2"/>
          <w:szCs w:val="22"/>
        </w:rPr>
        <w:br w:type="textWrapping"/>
      </w:r>
      <w:r>
        <w:rPr>
          <w:rFonts w:hint="eastAsia" w:ascii="宋体" w:hAnsi="宋体" w:eastAsia="宋体"/>
          <w:color w:val="auto"/>
          <w:kern w:val="2"/>
          <w:szCs w:val="22"/>
        </w:rPr>
        <w:t>本规定所称通用设备，是指计算机、打印机、扫描器具和其他设备。”</w:t>
      </w:r>
    </w:p>
    <w:p>
      <w:pPr>
        <w:pStyle w:val="13"/>
        <w:widowControl/>
        <w:spacing w:beforeAutospacing="0" w:afterAutospacing="0"/>
        <w:ind w:firstLine="472" w:firstLineChars="200"/>
        <w:rPr>
          <w:rFonts w:ascii="宋体" w:hAnsi="宋体" w:eastAsia="宋体"/>
          <w:color w:val="auto"/>
          <w:kern w:val="2"/>
          <w:szCs w:val="22"/>
        </w:rPr>
      </w:pPr>
      <w:r>
        <w:rPr>
          <w:rFonts w:hint="eastAsia" w:ascii="宋体" w:hAnsi="宋体" w:eastAsia="宋体"/>
          <w:color w:val="auto"/>
          <w:kern w:val="2"/>
          <w:szCs w:val="22"/>
        </w:rPr>
        <w:t>3.《国家税务总局关于全面推行增值税发票系统升级版有关问题的公告》（国家税务总局公告2015年第19号）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94"/>
        <w:gridCol w:w="966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352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税控设备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微软雅黑"/>
                <w:color w:val="auto"/>
                <w:sz w:val="18"/>
                <w:szCs w:val="18"/>
              </w:rPr>
              <w:t>调整后返还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352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经办人居民身份证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3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352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发票票种核定通知《税务事项通知书》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4</w:t>
            </w:r>
          </w:p>
        </w:tc>
        <w:tc>
          <w:tcPr>
            <w:tcW w:w="229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352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增值税税控系统最高开票限额《准予税务行政许可决定书》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使用增值税专用发票的纳税人初始发行时提供《准予税务行政许可决定书》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numPr>
          <w:ilvl w:val="0"/>
          <w:numId w:val="5"/>
        </w:numPr>
        <w:spacing w:line="240" w:lineRule="auto"/>
        <w:ind w:firstLine="552"/>
        <w:rPr>
          <w:color w:val="auto"/>
        </w:rPr>
      </w:pPr>
      <w:r>
        <w:rPr>
          <w:color w:val="auto"/>
        </w:rPr>
        <w:t>办理流程</w:t>
      </w:r>
    </w:p>
    <w:p>
      <w:pPr>
        <w:spacing w:line="240" w:lineRule="auto"/>
        <w:ind w:left="472" w:firstLine="0" w:firstLineChars="0"/>
        <w:rPr>
          <w:color w:val="auto"/>
        </w:rPr>
      </w:pPr>
      <w:r>
        <w:rPr>
          <w:color w:val="auto"/>
        </w:rPr>
        <w:object>
          <v:shape id="_x0000_i1080" o:spt="75" type="#_x0000_t75" style="height:86.25pt;width:291.3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80" DrawAspect="Content" ObjectID="_1468075725" r:id="rId10">
            <o:LockedField>false</o:LockedField>
          </o:OLEObject>
        </w:object>
      </w:r>
    </w:p>
    <w:p>
      <w:pPr>
        <w:ind w:firstLine="471" w:firstLineChars="0"/>
        <w:rPr>
          <w:color w:val="auto"/>
        </w:rPr>
      </w:pP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无。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2.最多跑一次是在资料完整且符合法定受理条件的前提下，最多只需要到税务机关跑一次。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firstLine="472"/>
        <w:rPr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F7CE39"/>
    <w:multiLevelType w:val="singleLevel"/>
    <w:tmpl w:val="9DF7CE3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35CF0236"/>
    <w:multiLevelType w:val="singleLevel"/>
    <w:tmpl w:val="35CF02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1142CA5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2019-10-31T03:43:10Z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