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24750"/>
      <w:r>
        <w:rPr>
          <w:rFonts w:hint="eastAsia" w:ascii="黑体" w:hAnsi="黑体" w:cs="黑体"/>
          <w:color w:val="auto"/>
        </w:rPr>
        <w:t>1.2.2.3</w:t>
      </w:r>
      <w:r>
        <w:rPr>
          <w:rFonts w:hint="eastAsia"/>
          <w:color w:val="auto"/>
        </w:rPr>
        <w:t>代开发票作废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代开发票作废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税务机关为纳税人代开发票后，因开具错误、销货退回、销售折让、服务中止等原因，税务机关为纳税人作废已代开的发票，必须在收回原发票并注明“作废”字样后重新开具销售发票或取得对方有效证明后开具红字发票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1.《中华人民共和国发票管理办法实施细则》（国家税务总局令第25号公布，国家税务总局令第37号、第44号、第48号修改）第二十七条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“开具发票后，如发生销货退回需开红字发票的，必须收回原发票并注明“作废”字样或取得对方有效证明。</w:t>
      </w:r>
      <w:r>
        <w:rPr>
          <w:rFonts w:hint="eastAsia"/>
          <w:color w:val="auto"/>
        </w:rPr>
        <w:br w:type="textWrapping"/>
      </w:r>
      <w:r>
        <w:rPr>
          <w:rFonts w:hint="eastAsia"/>
          <w:color w:val="auto"/>
        </w:rPr>
        <w:t>　　开具发票后，如发生销售折让的，必须在收回原发票并注明“作废”字样后重新开具销售发票或取得对方有效证明后开具红字发票。”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已开具发票各联次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经办人居民身份证或其他证明身份的合法证件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ind w:firstLine="352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六、办理流程</w:t>
      </w:r>
    </w:p>
    <w:p>
      <w:pPr>
        <w:spacing w:line="240" w:lineRule="auto"/>
        <w:ind w:left="472" w:firstLine="0" w:firstLineChars="0"/>
        <w:rPr>
          <w:color w:val="auto"/>
        </w:rPr>
      </w:pPr>
      <w:r>
        <w:rPr>
          <w:color w:val="auto"/>
        </w:rPr>
        <w:object>
          <v:shape id="_x0000_i1068" o:spt="75" type="#_x0000_t75" style="height:133.1pt;width:442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68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无。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1.税务机关代开专用发票后发生销货退回或销售折让的，如已跨月，则应按照增值税一般纳税人开具负数专用发票的有关规定进行处理；如未跨月，在收回全部联次后，还必须同时符合以下条件，才能直接按作废处理：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（1）代开岗位未抄税；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（2）购买方未认证或者认证结果为“纳税人识别号认证不符”“专用发票代码、号码认证不符”。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2.作废专用发票须在防伪税控系统中将相应的数据电文按“作废”处理，在纸质专用发票各联次上注明“作废”字样，全联次留存。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3.对需要重新开票的，税务机关应同时进行新开票税额与原开票税额的清算，多退少补；对无需重新开票的，按有关规定退还增值税纳税人已缴的税款或抵顶下期正常申报税款。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4.附报资料中已进行实名认证的不再进行身份证扫描，已提交电子资料的不再报送纸质资料。</w:t>
      </w:r>
    </w:p>
    <w:p>
      <w:pPr>
        <w:ind w:firstLine="472"/>
        <w:rPr>
          <w:color w:val="auto"/>
        </w:rPr>
      </w:pPr>
      <w:r>
        <w:rPr>
          <w:rFonts w:hint="eastAsia" w:cs="微软雅黑"/>
          <w:color w:val="auto"/>
          <w:kern w:val="0"/>
          <w:szCs w:val="24"/>
        </w:rPr>
        <w:t>5.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/>
          <w:color w:val="auto"/>
        </w:rPr>
        <w:t>6.最多跑一次是在资料完整且符合法定受理条件的前提下，最多只需要到税务机关跑一次。</w:t>
      </w:r>
    </w:p>
    <w:p>
      <w:pPr>
        <w:ind w:firstLine="472"/>
        <w:rPr>
          <w:rFonts w:cs="微软雅黑"/>
          <w:color w:val="auto"/>
          <w:kern w:val="0"/>
          <w:szCs w:val="24"/>
        </w:rPr>
      </w:pPr>
      <w:r>
        <w:rPr>
          <w:rFonts w:hint="eastAsia" w:cs="微软雅黑"/>
          <w:color w:val="auto"/>
          <w:kern w:val="0"/>
          <w:szCs w:val="24"/>
        </w:rPr>
        <w:t>7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9DC30E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2019-10-31T03:40:51Z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