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25908"/>
      <w:r>
        <w:rPr>
          <w:rFonts w:hint="eastAsia" w:ascii="黑体" w:hAnsi="黑体"/>
          <w:color w:val="auto"/>
          <w:lang w:val="en-US" w:eastAsia="zh-CN"/>
        </w:rPr>
        <w:t>1.3.19.1定期定额户自行申报</w:t>
      </w:r>
      <w:bookmarkEnd w:id="0"/>
    </w:p>
    <w:p>
      <w:pPr>
        <w:pStyle w:val="3"/>
        <w:ind w:firstLine="552"/>
        <w:rPr>
          <w:color w:val="auto"/>
        </w:rPr>
      </w:pPr>
      <w:r>
        <w:rPr>
          <w:color w:val="auto"/>
        </w:rPr>
        <w:t>一、事项名称</w:t>
      </w:r>
    </w:p>
    <w:p>
      <w:pPr>
        <w:ind w:firstLine="472"/>
        <w:rPr>
          <w:color w:val="auto"/>
        </w:rPr>
      </w:pPr>
      <w:r>
        <w:rPr>
          <w:rFonts w:hint="eastAsia"/>
          <w:color w:val="auto"/>
        </w:rPr>
        <w:t>定期定额户自行申报</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发起方式：人工发起（纳税人）</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w:t>
      </w:r>
      <w:r>
        <w:rPr>
          <w:rFonts w:hint="eastAsia"/>
          <w:color w:val="auto"/>
          <w:lang w:eastAsia="zh-CN"/>
        </w:rPr>
        <w:t>是</w:t>
      </w:r>
    </w:p>
    <w:p>
      <w:pPr>
        <w:pStyle w:val="47"/>
        <w:numPr>
          <w:ilvl w:val="0"/>
          <w:numId w:val="3"/>
        </w:numPr>
        <w:ind w:firstLineChars="0"/>
        <w:rPr>
          <w:color w:val="auto"/>
        </w:rPr>
      </w:pPr>
      <w:r>
        <w:rPr>
          <w:rFonts w:hint="eastAsia"/>
          <w:color w:val="auto"/>
        </w:rPr>
        <w:t>网上办理：</w:t>
      </w:r>
      <w:r>
        <w:rPr>
          <w:rFonts w:hint="eastAsia"/>
          <w:color w:val="auto"/>
          <w:lang w:eastAsia="zh-CN"/>
        </w:rPr>
        <w:t>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rFonts w:hint="eastAsia"/>
          <w:color w:val="auto"/>
        </w:rPr>
        <w:t>三、办理条件</w:t>
      </w:r>
    </w:p>
    <w:p>
      <w:pPr>
        <w:ind w:firstLine="472"/>
        <w:rPr>
          <w:color w:val="auto"/>
        </w:rPr>
      </w:pPr>
      <w:r>
        <w:rPr>
          <w:rFonts w:hint="eastAsia"/>
          <w:color w:val="auto"/>
        </w:rPr>
        <w:t>定期定额户自行申报是指实行定期定额征税的个体工商户依照税收法律法规及相关规定确定的申报期限、申报内容，向税务机关申报缴纳税款的业务活动。</w:t>
      </w:r>
    </w:p>
    <w:p>
      <w:pPr>
        <w:pStyle w:val="3"/>
        <w:ind w:firstLine="552"/>
        <w:rPr>
          <w:color w:val="auto"/>
        </w:rPr>
      </w:pPr>
      <w:r>
        <w:rPr>
          <w:rFonts w:hint="eastAsia"/>
          <w:color w:val="auto"/>
        </w:rPr>
        <w:t>四、设定依据</w:t>
      </w:r>
    </w:p>
    <w:p>
      <w:pPr>
        <w:adjustRightInd w:val="0"/>
        <w:snapToGrid w:val="0"/>
        <w:ind w:firstLine="472"/>
        <w:rPr>
          <w:rFonts w:hint="eastAsia"/>
          <w:color w:val="auto"/>
        </w:rPr>
      </w:pPr>
      <w:r>
        <w:rPr>
          <w:rFonts w:hint="eastAsia"/>
          <w:color w:val="auto"/>
        </w:rPr>
        <w:t>1.《中华人民共和国税收征收管理法》第二十五条第一款</w:t>
      </w:r>
    </w:p>
    <w:p>
      <w:pPr>
        <w:adjustRightInd w:val="0"/>
        <w:snapToGrid w:val="0"/>
        <w:ind w:firstLine="472"/>
        <w:rPr>
          <w:rFonts w:hint="eastAsia" w:eastAsia="宋体"/>
          <w:color w:val="auto"/>
          <w:lang w:eastAsia="zh-CN"/>
        </w:rPr>
      </w:pPr>
      <w:r>
        <w:rPr>
          <w:rFonts w:hint="eastAsia"/>
          <w:color w:val="auto"/>
        </w:rPr>
        <w:t>“纳税人必须依照法律、行政法规规定或者税务机关依照法律、行政法规的规定确定的申报期限、申报内容如实办理纳税申报，报送纳税申报表、财务会计报表以及税务机关根据实际需要要求纳税人报送的其他纳税资料。”</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1969"/>
        <w:gridCol w:w="850"/>
        <w:gridCol w:w="980"/>
        <w:gridCol w:w="1587"/>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196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850"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80"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587"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Autospacing="0" w:afterAutospacing="0" w:line="280" w:lineRule="exact"/>
              <w:ind w:firstLine="352" w:firstLineChars="0"/>
              <w:rPr>
                <w:rFonts w:cs="宋体"/>
                <w:color w:val="auto"/>
                <w:sz w:val="18"/>
                <w:szCs w:val="18"/>
              </w:rPr>
            </w:pPr>
            <w:r>
              <w:rPr>
                <w:rFonts w:ascii="宋体" w:hAnsi="宋体" w:eastAsia="宋体" w:cs="微软雅黑"/>
                <w:color w:val="auto"/>
                <w:sz w:val="18"/>
                <w:szCs w:val="18"/>
              </w:rPr>
              <w:t>1</w:t>
            </w:r>
          </w:p>
        </w:tc>
        <w:tc>
          <w:tcPr>
            <w:tcW w:w="1969" w:type="dxa"/>
            <w:shd w:val="clear" w:color="auto" w:fill="auto"/>
            <w:vAlign w:val="center"/>
          </w:tcPr>
          <w:p>
            <w:pPr>
              <w:pStyle w:val="13"/>
              <w:widowControl/>
              <w:spacing w:beforeAutospacing="0" w:afterAutospacing="0" w:line="280" w:lineRule="exact"/>
              <w:ind w:firstLine="0" w:firstLineChars="0"/>
              <w:rPr>
                <w:rFonts w:cs="宋体"/>
                <w:color w:val="auto"/>
                <w:kern w:val="0"/>
                <w:sz w:val="18"/>
                <w:szCs w:val="18"/>
              </w:rPr>
            </w:pPr>
            <w:r>
              <w:rPr>
                <w:rFonts w:hint="eastAsia" w:eastAsia="宋体" w:cs="宋体"/>
                <w:color w:val="auto"/>
                <w:sz w:val="18"/>
                <w:szCs w:val="18"/>
              </w:rPr>
              <w:t>《定期定额纳税申报表》</w:t>
            </w:r>
          </w:p>
        </w:tc>
        <w:tc>
          <w:tcPr>
            <w:tcW w:w="850" w:type="dxa"/>
            <w:shd w:val="clear" w:color="auto" w:fill="auto"/>
            <w:vAlign w:val="center"/>
          </w:tcPr>
          <w:p>
            <w:pPr>
              <w:pStyle w:val="13"/>
              <w:widowControl/>
              <w:spacing w:beforeAutospacing="0" w:afterAutospacing="0" w:line="280" w:lineRule="exact"/>
              <w:ind w:firstLine="352" w:firstLineChars="0"/>
              <w:rPr>
                <w:rFonts w:cs="宋体"/>
                <w:color w:val="auto"/>
                <w:kern w:val="0"/>
                <w:sz w:val="18"/>
                <w:szCs w:val="18"/>
              </w:rPr>
            </w:pPr>
            <w:r>
              <w:rPr>
                <w:rStyle w:val="17"/>
                <w:rFonts w:ascii="宋体" w:hAnsi="宋体" w:eastAsia="宋体" w:cs="微软雅黑"/>
                <w:b w:val="0"/>
                <w:color w:val="auto"/>
                <w:sz w:val="18"/>
                <w:szCs w:val="18"/>
              </w:rPr>
              <w:t>2</w:t>
            </w:r>
          </w:p>
        </w:tc>
        <w:tc>
          <w:tcPr>
            <w:tcW w:w="980"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eastAsia="宋体" w:cs="宋体"/>
                <w:color w:val="auto"/>
                <w:sz w:val="18"/>
                <w:szCs w:val="18"/>
              </w:rPr>
              <w:t>条件报送</w:t>
            </w:r>
          </w:p>
        </w:tc>
        <w:tc>
          <w:tcPr>
            <w:tcW w:w="1587"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除增值税小规模纳税人（定期定额户）以外的定期定额户自行申报的情形</w:t>
            </w:r>
          </w:p>
        </w:tc>
        <w:tc>
          <w:tcPr>
            <w:tcW w:w="1134" w:type="dxa"/>
            <w:vAlign w:val="center"/>
          </w:tcPr>
          <w:p>
            <w:pPr>
              <w:pStyle w:val="13"/>
              <w:widowControl/>
              <w:spacing w:beforeAutospacing="0" w:afterAutospacing="0" w:line="280" w:lineRule="exact"/>
              <w:ind w:firstLine="0" w:firstLineChars="0"/>
              <w:jc w:val="center"/>
              <w:rPr>
                <w:rFonts w:hint="default" w:cs="宋体" w:eastAsiaTheme="minorEastAsia"/>
                <w:color w:val="auto"/>
                <w:sz w:val="18"/>
                <w:szCs w:val="18"/>
                <w:lang w:val="en-US" w:eastAsia="zh-CN"/>
              </w:rPr>
            </w:pPr>
            <w:r>
              <w:rPr>
                <w:rFonts w:hint="eastAsia" w:ascii="宋体" w:hAnsi="宋体" w:eastAsia="宋体" w:cs="微软雅黑"/>
                <w:color w:val="auto"/>
                <w:sz w:val="18"/>
                <w:szCs w:val="18"/>
                <w:lang w:eastAsia="zh-CN"/>
              </w:rPr>
              <w:t>税务机关留存</w:t>
            </w:r>
            <w:r>
              <w:rPr>
                <w:rFonts w:hint="eastAsia" w:ascii="宋体" w:hAnsi="宋体" w:eastAsia="宋体" w:cs="微软雅黑"/>
                <w:color w:val="auto"/>
                <w:sz w:val="18"/>
                <w:szCs w:val="18"/>
                <w:lang w:val="en-US" w:eastAsia="zh-CN"/>
              </w:rPr>
              <w:t>1份</w:t>
            </w:r>
          </w:p>
        </w:tc>
        <w:tc>
          <w:tcPr>
            <w:tcW w:w="1134"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是</w:t>
            </w:r>
          </w:p>
        </w:tc>
      </w:tr>
    </w:tbl>
    <w:p>
      <w:pPr>
        <w:pStyle w:val="3"/>
        <w:ind w:firstLine="552"/>
        <w:rPr>
          <w:color w:val="auto"/>
        </w:rPr>
      </w:pPr>
      <w:r>
        <w:rPr>
          <w:rFonts w:hint="eastAsia"/>
          <w:color w:val="auto"/>
        </w:rPr>
        <w:t>六</w:t>
      </w:r>
      <w:r>
        <w:rPr>
          <w:color w:val="auto"/>
        </w:rPr>
        <w:t>、办理流程</w:t>
      </w:r>
    </w:p>
    <w:p>
      <w:pPr>
        <w:spacing w:line="240" w:lineRule="auto"/>
        <w:ind w:left="471" w:firstLine="0" w:firstLineChars="0"/>
        <w:rPr>
          <w:color w:val="auto"/>
        </w:rPr>
      </w:pPr>
      <w:r>
        <w:rPr>
          <w:rFonts w:ascii="宋体" w:hAnsi="宋体" w:eastAsia="楷体" w:cs="Times New Roman"/>
          <w:b w:val="0"/>
          <w:bCs w:val="0"/>
          <w:color w:val="auto"/>
          <w:sz w:val="28"/>
        </w:rPr>
        <w:object>
          <v:shape id="_x0000_i1110" o:spt="75" type="#_x0000_t75" style="height:117.75pt;width:440.15pt;" o:ole="t" filled="f" o:preferrelative="t" stroked="f" coordsize="21600,21600">
            <v:path/>
            <v:fill on="f" focussize="0,0"/>
            <v:stroke on="f"/>
            <v:imagedata r:id="rId11" o:title=""/>
            <o:lock v:ext="edit" aspectratio="t"/>
            <w10:wrap type="none"/>
            <w10:anchorlock/>
          </v:shape>
          <o:OLEObject Type="Embed" ProgID="Visio.Drawing.11" ShapeID="_x0000_i1110"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rFonts w:hint="default" w:eastAsia="宋体"/>
          <w:color w:val="auto"/>
          <w:lang w:val="en-US" w:eastAsia="zh-CN"/>
        </w:rPr>
      </w:pPr>
      <w:r>
        <w:rPr>
          <w:rFonts w:hint="eastAsia"/>
          <w:color w:val="auto"/>
          <w:lang w:val="en-US" w:eastAsia="zh-CN"/>
        </w:rPr>
        <w:t>1.A06515《定期定额纳税申报表》(A06515《定期定额纳税申报表》（填写样例）)</w:t>
      </w:r>
    </w:p>
    <w:p>
      <w:pPr>
        <w:pStyle w:val="3"/>
        <w:ind w:firstLine="552"/>
        <w:rPr>
          <w:color w:val="auto"/>
        </w:rPr>
      </w:pPr>
      <w:r>
        <w:rPr>
          <w:rFonts w:hint="eastAsia"/>
          <w:color w:val="auto"/>
        </w:rPr>
        <w:t>九、注意事项</w:t>
      </w:r>
    </w:p>
    <w:p>
      <w:pPr>
        <w:ind w:firstLine="472"/>
        <w:rPr>
          <w:rFonts w:hint="eastAsia" w:eastAsia="宋体"/>
          <w:color w:val="auto"/>
          <w:lang w:eastAsia="zh-CN"/>
        </w:rPr>
      </w:pPr>
      <w:r>
        <w:rPr>
          <w:rFonts w:hint="eastAsia"/>
          <w:color w:val="auto"/>
        </w:rPr>
        <w:t>1.定期定额户纳税人自行申报的情形：不适用简易申报的定期定额户、定期定额户因未签署三方协议不能简易申报、简易申报失败后由纳税人自行申报、未达起征点双定户达到起征点后申报、定期定额户超定额申报。</w:t>
      </w:r>
    </w:p>
    <w:p>
      <w:pPr>
        <w:ind w:firstLine="472"/>
        <w:rPr>
          <w:rFonts w:hint="eastAsia"/>
          <w:color w:val="auto"/>
        </w:rPr>
      </w:pPr>
      <w:r>
        <w:rPr>
          <w:rFonts w:hint="eastAsia"/>
          <w:color w:val="auto"/>
        </w:rPr>
        <w:t>2.定期定额户发生定额与发票开具金额记录数据比对后，超过定额的经营额、所得额应缴纳相应的税款；在税务机关核定定额的经营地点以外从事经营活动所应缴纳的税款等情形，应当向税务机关办理纳税相关事宜。</w:t>
      </w:r>
    </w:p>
    <w:p>
      <w:pPr>
        <w:ind w:firstLine="472"/>
        <w:rPr>
          <w:rFonts w:hint="eastAsia"/>
          <w:color w:val="auto"/>
        </w:rPr>
      </w:pPr>
      <w:r>
        <w:rPr>
          <w:rFonts w:hint="eastAsia"/>
          <w:color w:val="auto"/>
        </w:rPr>
        <w:t>3.实行简易申报的定期定额个体工商户，按照税收法律法规及相关规定缴清应纳税款，当期（指纳税期）可以不办理申报手续。</w:t>
      </w:r>
    </w:p>
    <w:p>
      <w:pPr>
        <w:ind w:firstLine="472"/>
        <w:rPr>
          <w:rFonts w:hint="eastAsia"/>
          <w:color w:val="auto"/>
        </w:rPr>
      </w:pPr>
      <w:r>
        <w:rPr>
          <w:rFonts w:hint="eastAsia"/>
          <w:color w:val="auto"/>
        </w:rPr>
        <w:t>4.增值税小规模纳税人核定定额的情形，通过“增值税小规模纳税人申报”业务申报，不适用此流程申报。</w:t>
      </w:r>
    </w:p>
    <w:p>
      <w:pPr>
        <w:ind w:firstLine="472"/>
        <w:rPr>
          <w:rFonts w:hint="eastAsia"/>
          <w:color w:val="auto"/>
        </w:rPr>
      </w:pPr>
      <w:r>
        <w:rPr>
          <w:rFonts w:hint="eastAsia"/>
          <w:color w:val="auto"/>
        </w:rPr>
        <w:t>5.对实行简并征期的定期定额户，其按照定额所应缴纳的税款在规定的期限内申报纳税不加收滞纳金。</w:t>
      </w:r>
    </w:p>
    <w:p>
      <w:pPr>
        <w:ind w:firstLine="472"/>
        <w:rPr>
          <w:rFonts w:hint="eastAsia"/>
          <w:color w:val="auto"/>
        </w:rPr>
      </w:pPr>
      <w:r>
        <w:rPr>
          <w:rFonts w:hint="eastAsia"/>
          <w:color w:val="auto"/>
        </w:rPr>
        <w:t>6.定期定额户当期发生的经营额、所得额超过定额一定幅度的，应当在法律、行政法规规定的申报期限内向税务机关进行申报并缴清税款。</w:t>
      </w:r>
    </w:p>
    <w:p>
      <w:pPr>
        <w:ind w:firstLine="472"/>
        <w:rPr>
          <w:color w:val="auto"/>
        </w:rPr>
      </w:pPr>
      <w:r>
        <w:rPr>
          <w:rFonts w:hint="eastAsia"/>
          <w:color w:val="auto"/>
          <w:lang w:val="en-US" w:eastAsia="zh-CN"/>
        </w:rPr>
        <w:t>7</w:t>
      </w:r>
      <w:r>
        <w:rPr>
          <w:rFonts w:hint="eastAsia"/>
          <w:color w:val="auto"/>
        </w:rPr>
        <w:t>.纳税人对报送资料的真实性和合法性承担责任。</w:t>
      </w:r>
    </w:p>
    <w:p>
      <w:pPr>
        <w:ind w:firstLine="472"/>
        <w:jc w:val="left"/>
        <w:rPr>
          <w:rFonts w:hint="eastAsia"/>
          <w:color w:val="auto"/>
        </w:rPr>
      </w:pPr>
      <w:r>
        <w:rPr>
          <w:rFonts w:hint="eastAsia"/>
          <w:color w:val="auto"/>
          <w:lang w:val="en-US" w:eastAsia="zh-CN"/>
        </w:rPr>
        <w:t>8</w:t>
      </w:r>
      <w:r>
        <w:rPr>
          <w:rFonts w:hint="eastAsia"/>
          <w:color w:val="auto"/>
        </w:rPr>
        <w:t>.最多跑一次是在资料完整且符合法定受理条件的前提下，最多只需要到税务机关跑一次。</w:t>
      </w:r>
    </w:p>
    <w:p>
      <w:pPr>
        <w:ind w:firstLine="472"/>
        <w:jc w:val="left"/>
        <w:rPr>
          <w:rFonts w:hint="default" w:eastAsia="宋体"/>
          <w:color w:val="auto"/>
          <w:lang w:val="en-US" w:eastAsia="zh-CN"/>
        </w:rPr>
      </w:pPr>
      <w:r>
        <w:rPr>
          <w:rFonts w:hint="eastAsia"/>
          <w:color w:val="auto"/>
          <w:lang w:val="en-US" w:eastAsia="zh-CN"/>
        </w:rPr>
        <w:t>9.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6AE1BDB"/>
    <w:rsid w:val="08B15238"/>
    <w:rsid w:val="09493D2D"/>
    <w:rsid w:val="0BE53CE1"/>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451E83"/>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6B7766F"/>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77</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2019-10-31T06:29:40Z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