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560"/>
        <w:rPr>
          <w:rFonts w:hint="eastAsia" w:ascii="黑体" w:hAnsi="黑体" w:cs="黑体"/>
          <w:color w:val="auto"/>
        </w:rPr>
      </w:pPr>
      <w:bookmarkStart w:id="2" w:name="_GoBack"/>
      <w:bookmarkEnd w:id="2"/>
      <w:bookmarkStart w:id="0" w:name="_Toc23760"/>
      <w:r>
        <w:rPr>
          <w:rFonts w:hint="eastAsia" w:ascii="黑体" w:hAnsi="黑体" w:cs="黑体"/>
          <w:color w:val="auto"/>
        </w:rPr>
        <w:t>1.5.3服务贸易等项目对外支付税务备案</w:t>
      </w:r>
      <w:bookmarkEnd w:id="0"/>
    </w:p>
    <w:p>
      <w:pPr>
        <w:pStyle w:val="3"/>
        <w:ind w:firstLine="552"/>
        <w:rPr>
          <w:color w:val="auto"/>
        </w:rPr>
      </w:pPr>
      <w:r>
        <w:rPr>
          <w:color w:val="auto"/>
        </w:rPr>
        <w:t>一、事项名称</w:t>
      </w:r>
    </w:p>
    <w:p>
      <w:pPr>
        <w:ind w:firstLine="472"/>
        <w:rPr>
          <w:rFonts w:hint="eastAsia"/>
          <w:color w:val="auto"/>
          <w:lang w:val="en-US" w:eastAsia="zh-CN"/>
        </w:rPr>
      </w:pPr>
      <w:r>
        <w:rPr>
          <w:rFonts w:hint="eastAsia"/>
          <w:color w:val="auto"/>
          <w:lang w:val="en-US" w:eastAsia="zh-CN"/>
        </w:rPr>
        <w:t>服务贸易等项目对外支付税务备案</w:t>
      </w:r>
    </w:p>
    <w:p>
      <w:pPr>
        <w:pStyle w:val="3"/>
        <w:ind w:firstLine="552"/>
        <w:rPr>
          <w:color w:val="auto"/>
        </w:rPr>
      </w:pPr>
      <w:r>
        <w:rPr>
          <w:color w:val="auto"/>
        </w:rPr>
        <w:t>二、事项类别</w:t>
      </w:r>
    </w:p>
    <w:p>
      <w:pPr>
        <w:numPr>
          <w:ilvl w:val="0"/>
          <w:numId w:val="3"/>
        </w:numPr>
        <w:ind w:left="0" w:firstLine="472"/>
        <w:rPr>
          <w:color w:val="auto"/>
        </w:rPr>
      </w:pPr>
      <w:r>
        <w:rPr>
          <w:rFonts w:hint="eastAsia"/>
          <w:color w:val="auto"/>
        </w:rPr>
        <w:t>发起方式：人工发起（纳税人）</w:t>
      </w:r>
    </w:p>
    <w:p>
      <w:pPr>
        <w:numPr>
          <w:ilvl w:val="0"/>
          <w:numId w:val="3"/>
        </w:numPr>
        <w:ind w:left="0" w:firstLine="472"/>
        <w:rPr>
          <w:color w:val="auto"/>
        </w:rPr>
      </w:pPr>
      <w:r>
        <w:rPr>
          <w:rFonts w:hint="eastAsia"/>
          <w:color w:val="auto"/>
        </w:rPr>
        <w:t>办结方式：即办</w:t>
      </w:r>
    </w:p>
    <w:p>
      <w:pPr>
        <w:numPr>
          <w:ilvl w:val="0"/>
          <w:numId w:val="3"/>
        </w:numPr>
        <w:ind w:left="0" w:firstLine="472"/>
        <w:rPr>
          <w:color w:val="auto"/>
        </w:rPr>
      </w:pPr>
      <w:r>
        <w:rPr>
          <w:rFonts w:hint="eastAsia"/>
          <w:color w:val="auto"/>
        </w:rPr>
        <w:t>全省通办：否</w:t>
      </w:r>
    </w:p>
    <w:p>
      <w:pPr>
        <w:numPr>
          <w:ilvl w:val="0"/>
          <w:numId w:val="3"/>
        </w:numPr>
        <w:ind w:left="0" w:firstLine="472"/>
        <w:rPr>
          <w:color w:val="auto"/>
        </w:rPr>
      </w:pPr>
      <w:r>
        <w:rPr>
          <w:rFonts w:hint="eastAsia"/>
          <w:color w:val="auto"/>
        </w:rPr>
        <w:t>网上办理：是</w:t>
      </w:r>
    </w:p>
    <w:p>
      <w:pPr>
        <w:numPr>
          <w:ilvl w:val="0"/>
          <w:numId w:val="3"/>
        </w:numPr>
        <w:ind w:left="0" w:firstLine="472"/>
        <w:rPr>
          <w:color w:val="auto"/>
        </w:rPr>
      </w:pPr>
      <w:r>
        <w:rPr>
          <w:rFonts w:hint="eastAsia"/>
          <w:color w:val="auto"/>
        </w:rPr>
        <w:t>适用层级：</w:t>
      </w:r>
      <w:r>
        <w:rPr>
          <w:color w:val="auto"/>
        </w:rPr>
        <w:t>县(市、区)</w:t>
      </w:r>
      <w:r>
        <w:rPr>
          <w:rFonts w:hint="eastAsia"/>
          <w:color w:val="auto"/>
        </w:rPr>
        <w:t>级</w:t>
      </w:r>
    </w:p>
    <w:p>
      <w:pPr>
        <w:pStyle w:val="47"/>
        <w:numPr>
          <w:ilvl w:val="0"/>
          <w:numId w:val="4"/>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lang w:eastAsia="zh-CN"/>
        </w:rPr>
        <w:t>办理条件</w:t>
      </w:r>
    </w:p>
    <w:p>
      <w:pPr>
        <w:ind w:firstLine="472"/>
        <w:rPr>
          <w:rFonts w:hint="eastAsia" w:eastAsia="宋体"/>
          <w:color w:val="auto"/>
          <w:lang w:eastAsia="zh-CN"/>
        </w:rPr>
      </w:pPr>
      <w:r>
        <w:rPr>
          <w:rFonts w:hint="eastAsia"/>
          <w:color w:val="auto"/>
        </w:rPr>
        <w:t>1.境内机构和个人向境外单笔支付等值5万美元以上（不含等值5万美元，下同）下列外汇资金，除《国家税务总局国家外汇管理局关于服务贸易等项目对外支付税务备案有关问题的公告》（国家税务总局公告2013年第40号发布，国家税务总局公告2018年第31号修改）第3条规定的情形外，均应向所在地主管税务机关进行税务备案：</w:t>
      </w:r>
    </w:p>
    <w:p>
      <w:pPr>
        <w:ind w:firstLine="472"/>
        <w:rPr>
          <w:rFonts w:hint="eastAsia" w:eastAsia="宋体"/>
          <w:color w:val="auto"/>
          <w:lang w:eastAsia="zh-CN"/>
        </w:rPr>
      </w:pPr>
      <w:r>
        <w:rPr>
          <w:rFonts w:hint="eastAsia"/>
          <w:color w:val="auto"/>
        </w:rPr>
        <w:t>（1）境外机构或个人从境内获得的包括运输、旅游、通信、建筑安装及劳务承包、保险服务、金融服务、计算机和信息服务、专有权利使用和特许、体育文化和娱乐服务、其他商业服务、政府服务等服务贸易收入；</w:t>
      </w:r>
    </w:p>
    <w:p>
      <w:pPr>
        <w:ind w:firstLine="472"/>
        <w:rPr>
          <w:rFonts w:hint="eastAsia" w:eastAsia="宋体"/>
          <w:color w:val="auto"/>
          <w:lang w:eastAsia="zh-CN"/>
        </w:rPr>
      </w:pPr>
      <w:r>
        <w:rPr>
          <w:rFonts w:hint="eastAsia"/>
          <w:color w:val="auto"/>
        </w:rPr>
        <w:t>（2）境外个人在境内的工作报酬，境外机构或个人从境内获得的股息、红利、利润、直接债务利息、担保费以及非资本转移的捐赠、赔偿、税收、偶然性所得等收益和经常转移收入；</w:t>
      </w:r>
    </w:p>
    <w:p>
      <w:pPr>
        <w:ind w:firstLine="472"/>
        <w:rPr>
          <w:rFonts w:hint="eastAsia" w:eastAsia="宋体"/>
          <w:color w:val="auto"/>
          <w:lang w:eastAsia="zh-CN"/>
        </w:rPr>
      </w:pPr>
      <w:r>
        <w:rPr>
          <w:rFonts w:hint="eastAsia"/>
          <w:color w:val="auto"/>
        </w:rPr>
        <w:t>（3）境外机构或个人从境内获得的融资租赁租金、不动产的转让收入、股权转让所得以及外国投资者其他合法所得。</w:t>
      </w:r>
    </w:p>
    <w:p>
      <w:pPr>
        <w:ind w:firstLine="472"/>
        <w:rPr>
          <w:rFonts w:hint="eastAsia" w:eastAsia="宋体"/>
          <w:color w:val="auto"/>
          <w:lang w:eastAsia="zh-CN"/>
        </w:rPr>
      </w:pPr>
      <w:r>
        <w:rPr>
          <w:rFonts w:hint="eastAsia"/>
          <w:color w:val="auto"/>
        </w:rPr>
        <w:t>外国投资者以境内直接投资合法所得在境内再投资单笔5万美元以上的，应按照本规定进行税务备案。</w:t>
      </w:r>
    </w:p>
    <w:p>
      <w:pPr>
        <w:ind w:firstLine="472"/>
        <w:rPr>
          <w:rFonts w:hint="eastAsia" w:eastAsia="宋体"/>
          <w:color w:val="auto"/>
          <w:lang w:eastAsia="zh-CN"/>
        </w:rPr>
      </w:pPr>
      <w:r>
        <w:rPr>
          <w:rFonts w:hint="eastAsia"/>
          <w:color w:val="auto"/>
        </w:rPr>
        <w:t>2．非境内注册居民企业取得来源于中国境内的股息、红利等权益性投资收益和利息、租金、特许权使用费所得、转让财产所得以及其他所得，应当向相关支付方出具本企业的《境外注册中资控股企业居民身份认定书》复印件。</w:t>
      </w:r>
    </w:p>
    <w:p>
      <w:pPr>
        <w:ind w:firstLine="472"/>
        <w:rPr>
          <w:color w:val="auto"/>
        </w:rPr>
      </w:pPr>
      <w:r>
        <w:rPr>
          <w:rFonts w:hint="eastAsia"/>
          <w:color w:val="auto"/>
        </w:rPr>
        <w:t>相关支付方凭上述复印件不予履行该所得的税款扣缴义务，并在对外支付上述外汇资金时凭该复印件向主管税务机关申请开具相关税务证明。其中涉及个人所得税、营业税等其他税种纳税事项的，仍按对外支付税务证明开具的有关规定办理。</w:t>
      </w:r>
    </w:p>
    <w:p>
      <w:pPr>
        <w:pStyle w:val="3"/>
        <w:ind w:firstLine="552"/>
        <w:rPr>
          <w:color w:val="auto"/>
        </w:rPr>
      </w:pPr>
      <w:r>
        <w:rPr>
          <w:rFonts w:hint="eastAsia"/>
          <w:color w:val="auto"/>
        </w:rPr>
        <w:t>四、设定依据</w:t>
      </w:r>
    </w:p>
    <w:p>
      <w:pPr>
        <w:ind w:firstLine="472"/>
        <w:rPr>
          <w:rFonts w:hint="eastAsia" w:eastAsia="宋体"/>
          <w:color w:val="auto"/>
          <w:lang w:eastAsia="zh-CN"/>
        </w:rPr>
      </w:pPr>
      <w:r>
        <w:rPr>
          <w:rFonts w:hint="eastAsia"/>
          <w:color w:val="auto"/>
          <w:kern w:val="24"/>
          <w:lang w:val="en-US" w:eastAsia="zh-CN"/>
        </w:rPr>
        <w:t>1.</w:t>
      </w:r>
      <w:r>
        <w:rPr>
          <w:color w:val="auto"/>
          <w:kern w:val="24"/>
        </w:rPr>
        <w:t>《</w:t>
      </w:r>
      <w:r>
        <w:rPr>
          <w:rFonts w:hint="eastAsia"/>
          <w:color w:val="auto"/>
        </w:rPr>
        <w:t>国家税务总局　国家外汇管理局关于服务贸易等项目对外支付税务备案有关问题的公告》（国家税务总局　国家外汇管理局公告2013年第40号发布，国家税务总局公告2018年第31号修改）第一条</w:t>
      </w:r>
    </w:p>
    <w:p>
      <w:pPr>
        <w:ind w:firstLine="472"/>
        <w:rPr>
          <w:color w:val="auto"/>
        </w:rPr>
      </w:pPr>
      <w:r>
        <w:rPr>
          <w:color w:val="auto"/>
        </w:rPr>
        <w:t>“</w:t>
      </w:r>
      <w:r>
        <w:rPr>
          <w:rFonts w:hint="eastAsia"/>
          <w:color w:val="auto"/>
        </w:rPr>
        <w:t>境内机构和个人向境外单笔支付等值5万美元以上(不含等值5万美元，下同)下列外汇资金，除本公告第三条规定的情形外，均应向所在地主管税务机关进行税务备案：</w:t>
      </w:r>
      <w:r>
        <w:rPr>
          <w:rFonts w:hint="eastAsia"/>
          <w:color w:val="auto"/>
        </w:rPr>
        <w:br w:type="textWrapping"/>
      </w:r>
      <w:r>
        <w:rPr>
          <w:rFonts w:hint="eastAsia"/>
          <w:color w:val="auto"/>
        </w:rPr>
        <w:t>　　(一)境外机构或个人从境内获得的包括运输、旅游、通信、建筑安装及劳务承包、保险服务、金融服务、计算机和信息服务、专有权利使用和特许、体育文化和娱乐服务、其他商业服务、政府服务等服务贸易收入;</w:t>
      </w:r>
      <w:r>
        <w:rPr>
          <w:rFonts w:hint="eastAsia"/>
          <w:color w:val="auto"/>
        </w:rPr>
        <w:br w:type="textWrapping"/>
      </w:r>
      <w:r>
        <w:rPr>
          <w:rFonts w:hint="eastAsia"/>
          <w:color w:val="auto"/>
        </w:rPr>
        <w:t>　　(二)境外个人在境内的工作报酬，境外机构或个人从境内获得的股息、红利、利润、直接债务利息、担保费以及非资本转移的捐赠、赔偿、税收、偶然性所得等收益和经常转移收入;</w:t>
      </w:r>
      <w:r>
        <w:rPr>
          <w:rFonts w:hint="eastAsia"/>
          <w:color w:val="auto"/>
        </w:rPr>
        <w:br w:type="textWrapping"/>
      </w:r>
      <w:r>
        <w:rPr>
          <w:rFonts w:hint="eastAsia"/>
          <w:color w:val="auto"/>
        </w:rPr>
        <w:t>　　(三)境外机构或个人从境内获得的融资租赁租金、不动产的转让收入、股权转让所得以及外国投资者其他合法所得。</w:t>
      </w:r>
      <w:r>
        <w:rPr>
          <w:color w:val="auto"/>
        </w:rPr>
        <w:t>”</w:t>
      </w:r>
    </w:p>
    <w:p>
      <w:pPr>
        <w:pStyle w:val="3"/>
        <w:ind w:firstLine="552"/>
        <w:rPr>
          <w:color w:val="auto"/>
        </w:rPr>
      </w:pPr>
      <w:r>
        <w:rPr>
          <w:rFonts w:hint="eastAsia"/>
          <w:color w:val="auto"/>
        </w:rPr>
        <w:t>五、办理材料</w:t>
      </w:r>
    </w:p>
    <w:tbl>
      <w:tblPr>
        <w:tblStyle w:val="15"/>
        <w:tblW w:w="8956"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394"/>
        <w:gridCol w:w="132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39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325"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《服务贸易等项目对外支付税务备案表》</w:t>
            </w:r>
          </w:p>
        </w:tc>
        <w:tc>
          <w:tcPr>
            <w:tcW w:w="709"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2</w:t>
            </w:r>
          </w:p>
        </w:tc>
        <w:tc>
          <w:tcPr>
            <w:tcW w:w="992"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Autospacing="0" w:afterAutospacing="0" w:line="280" w:lineRule="exact"/>
              <w:jc w:val="center"/>
              <w:rPr>
                <w:rFonts w:cs="宋体"/>
                <w:color w:val="auto"/>
                <w:sz w:val="18"/>
                <w:szCs w:val="18"/>
              </w:rPr>
            </w:pPr>
          </w:p>
        </w:tc>
        <w:tc>
          <w:tcPr>
            <w:tcW w:w="139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325"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合同（协议）或交易凭证复印件</w:t>
            </w:r>
          </w:p>
        </w:tc>
        <w:tc>
          <w:tcPr>
            <w:tcW w:w="709"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widowControl/>
              <w:spacing w:line="280" w:lineRule="exact"/>
              <w:ind w:firstLine="0" w:firstLineChars="0"/>
              <w:jc w:val="left"/>
              <w:rPr>
                <w:rFonts w:hint="eastAsia" w:eastAsia="宋体" w:cs="宋体"/>
                <w:color w:val="auto"/>
                <w:kern w:val="0"/>
                <w:sz w:val="18"/>
                <w:szCs w:val="18"/>
                <w:lang w:eastAsia="zh-CN"/>
              </w:rPr>
            </w:pPr>
            <w:r>
              <w:rPr>
                <w:rFonts w:hint="eastAsia" w:cs="微软雅黑"/>
                <w:color w:val="auto"/>
                <w:kern w:val="0"/>
                <w:sz w:val="18"/>
                <w:szCs w:val="18"/>
              </w:rPr>
              <w:t>同一笔合同首次付汇备案的，能够获取相关信息的可取消复印件的报送。</w:t>
            </w:r>
          </w:p>
          <w:p>
            <w:pPr>
              <w:pStyle w:val="13"/>
              <w:widowControl/>
              <w:spacing w:beforeAutospacing="0" w:afterAutospacing="0" w:line="280" w:lineRule="exact"/>
              <w:jc w:val="center"/>
              <w:rPr>
                <w:rFonts w:cs="宋体"/>
                <w:color w:val="auto"/>
                <w:sz w:val="18"/>
                <w:szCs w:val="18"/>
              </w:rPr>
            </w:pPr>
          </w:p>
        </w:tc>
        <w:tc>
          <w:tcPr>
            <w:tcW w:w="139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325"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ind w:left="472" w:firstLine="0" w:firstLineChars="0"/>
        <w:rPr>
          <w:color w:val="auto"/>
        </w:rPr>
      </w:pPr>
      <w:r>
        <w:rPr>
          <w:color w:val="auto"/>
        </w:rPr>
        <w:pict>
          <v:shape id="_x0000_s1075" o:spid="_x0000_s1075" o:spt="75" type="#_x0000_t75" style="position:absolute;left:0pt;margin-left:8.6pt;margin-top:16.6pt;height:104.45pt;width:439.3pt;mso-wrap-distance-bottom:0pt;mso-wrap-distance-left:9pt;mso-wrap-distance-right:9pt;mso-wrap-distance-top:0pt;z-index:251797504;mso-width-relative:page;mso-height-relative:page;" o:ole="t" filled="f" o:preferrelative="t" stroked="f" coordsize="21600,21600">
            <v:path/>
            <v:fill on="f" focussize="0,0"/>
            <v:stroke on="f" joinstyle="miter"/>
            <v:imagedata r:id="rId11" o:title=""/>
            <o:lock v:ext="edit" aspectratio="f"/>
            <w10:wrap type="square"/>
          </v:shape>
          <o:OLEObject Type="Embed" ProgID="Visio.Drawing.11" ShapeID="_x0000_s1075" DrawAspect="Content" ObjectID="_1468075725" r:id="rId10">
            <o:LockedField>false</o:LockedField>
          </o:OLEObject>
        </w:pi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rFonts w:hint="eastAsia" w:eastAsia="宋体"/>
          <w:color w:val="auto"/>
          <w:lang w:val="en-US" w:eastAsia="zh-CN"/>
        </w:rPr>
      </w:pPr>
      <w:r>
        <w:rPr>
          <w:rFonts w:hint="eastAsia"/>
          <w:color w:val="auto"/>
        </w:rPr>
        <w:t>1.A13085《服务贸易等项目对外支付税务备案表》(A13085《服务贸易等项目对外支付税务备案表》</w:t>
      </w:r>
      <w:r>
        <w:rPr>
          <w:rFonts w:hint="eastAsia"/>
          <w:color w:val="auto"/>
          <w:lang w:val="en-US" w:eastAsia="zh-CN"/>
        </w:rPr>
        <w:t>(</w:t>
      </w:r>
      <w:r>
        <w:rPr>
          <w:rFonts w:hint="eastAsia"/>
          <w:color w:val="auto"/>
          <w:lang w:eastAsia="zh-CN"/>
        </w:rPr>
        <w:t>填写样例</w:t>
      </w:r>
      <w:r>
        <w:rPr>
          <w:rFonts w:hint="eastAsia"/>
          <w:color w:val="auto"/>
        </w:rPr>
        <w:t>)</w:t>
      </w:r>
      <w:r>
        <w:rPr>
          <w:rFonts w:hint="eastAsia"/>
          <w:color w:val="auto"/>
          <w:lang w:val="en-US" w:eastAsia="zh-CN"/>
        </w:rPr>
        <w:t>)</w:t>
      </w:r>
    </w:p>
    <w:p>
      <w:pPr>
        <w:pStyle w:val="3"/>
        <w:ind w:firstLine="552"/>
        <w:rPr>
          <w:rFonts w:hint="eastAsia"/>
          <w:color w:val="auto"/>
        </w:rPr>
      </w:pPr>
      <w:r>
        <w:rPr>
          <w:rFonts w:hint="eastAsia"/>
          <w:color w:val="auto"/>
        </w:rPr>
        <w:t>九、注意事项</w:t>
      </w:r>
    </w:p>
    <w:p>
      <w:pPr>
        <w:ind w:firstLine="472"/>
        <w:rPr>
          <w:color w:val="auto"/>
        </w:rPr>
      </w:pPr>
      <w:r>
        <w:rPr>
          <w:color w:val="auto"/>
        </w:rPr>
        <w:t>1.</w:t>
      </w:r>
      <w:r>
        <w:rPr>
          <w:rFonts w:hint="eastAsia"/>
          <w:color w:val="auto"/>
        </w:rPr>
        <w:t>非境内注册居民企业取得来源于中国境内的股息、红利等权益性投资收益和利息、租金、特许权使用费所得、转让财产所得以及其他所得，应当向相关支付方出具本企业的《境外注册中资控股企业居民身份认定书》复印件。相关支付方凭上述复印件不予履行该所得的税款扣缴义务，并在对外支付上述外汇资金时凭该复印件向主管税务机关申请开具相关税务证明。其中涉及个人所得税等其他税种纳税事项的，仍按对外支付税务证明开具的有关规定办理。</w:t>
      </w:r>
    </w:p>
    <w:p>
      <w:pPr>
        <w:ind w:firstLine="472"/>
        <w:rPr>
          <w:color w:val="auto"/>
        </w:rPr>
      </w:pPr>
      <w:r>
        <w:rPr>
          <w:rFonts w:hint="eastAsia"/>
          <w:color w:val="auto"/>
          <w:lang w:val="en-US" w:eastAsia="zh-CN"/>
        </w:rPr>
        <w:t>2</w:t>
      </w:r>
      <w:r>
        <w:rPr>
          <w:rFonts w:hint="eastAsia"/>
          <w:color w:val="auto"/>
        </w:rPr>
        <w:t>.</w:t>
      </w:r>
      <w:r>
        <w:rPr>
          <w:color w:val="auto"/>
        </w:rPr>
        <w:t>纳税人使用符合电子签名法规定条件的电子签名，与手写签名或者盖章具有同等法律效力。</w:t>
      </w:r>
    </w:p>
    <w:p>
      <w:pPr>
        <w:ind w:firstLine="472"/>
        <w:rPr>
          <w:color w:val="auto"/>
        </w:rPr>
      </w:pPr>
      <w:r>
        <w:rPr>
          <w:rFonts w:hint="eastAsia"/>
          <w:color w:val="auto"/>
          <w:lang w:val="en-US" w:eastAsia="zh-CN"/>
        </w:rPr>
        <w:t>3</w:t>
      </w:r>
      <w:r>
        <w:rPr>
          <w:rFonts w:hint="eastAsia"/>
          <w:color w:val="auto"/>
        </w:rPr>
        <w:t>.境内机构和个人向境外单笔支付等值5万美元以上下列外汇资金，应向所在地税务机关进行税务备案：</w:t>
      </w:r>
    </w:p>
    <w:p>
      <w:pPr>
        <w:ind w:firstLine="472"/>
        <w:rPr>
          <w:color w:val="auto"/>
        </w:rPr>
      </w:pPr>
      <w:r>
        <w:rPr>
          <w:rFonts w:hint="eastAsia"/>
          <w:color w:val="auto"/>
        </w:rPr>
        <w:t>（1）境外机构或个人从境内获得的包括运输、旅游、通信、建筑安装及劳务承包、保险服务、金融服务、计算机和信息服务、专有权利使用和特许、体育文化和娱乐服务、其他商业服务、政府服务等服务贸易收入；</w:t>
      </w:r>
    </w:p>
    <w:p>
      <w:pPr>
        <w:ind w:firstLine="472"/>
        <w:rPr>
          <w:color w:val="auto"/>
        </w:rPr>
      </w:pPr>
      <w:r>
        <w:rPr>
          <w:rFonts w:hint="eastAsia"/>
          <w:color w:val="auto"/>
        </w:rPr>
        <w:t>（2）境外个人在境内的工作报酬，境外机构或个人从境内获得的股息、红利、利润、直接债务利息、担保费以及非资本转移的捐赠、赔偿、税收、偶然性所得等收益和经常转移收入；</w:t>
      </w:r>
    </w:p>
    <w:p>
      <w:pPr>
        <w:ind w:firstLine="472"/>
        <w:rPr>
          <w:color w:val="auto"/>
        </w:rPr>
      </w:pPr>
      <w:r>
        <w:rPr>
          <w:rFonts w:hint="eastAsia"/>
          <w:color w:val="auto"/>
        </w:rPr>
        <w:t>（3）境外机构或个人从境内获得的融资租赁租金、不动产的转让收入、股权转让所得以及外国投资者其他合法所得。</w:t>
      </w:r>
    </w:p>
    <w:p>
      <w:pPr>
        <w:ind w:firstLine="472"/>
        <w:rPr>
          <w:color w:val="auto"/>
        </w:rPr>
      </w:pPr>
      <w:r>
        <w:rPr>
          <w:rFonts w:hint="eastAsia"/>
          <w:color w:val="auto"/>
          <w:lang w:val="en-US" w:eastAsia="zh-CN"/>
        </w:rPr>
        <w:t>4</w:t>
      </w:r>
      <w:r>
        <w:rPr>
          <w:rFonts w:hint="eastAsia"/>
          <w:color w:val="auto"/>
        </w:rPr>
        <w:t>.境内机构和个人对外支付下列外汇资金，无需进行税务备案：</w:t>
      </w:r>
    </w:p>
    <w:p>
      <w:pPr>
        <w:ind w:firstLine="472"/>
        <w:rPr>
          <w:color w:val="auto"/>
        </w:rPr>
      </w:pPr>
      <w:r>
        <w:rPr>
          <w:rFonts w:hint="eastAsia"/>
          <w:color w:val="auto"/>
        </w:rPr>
        <w:t>（1）境内机构在境外发生的差旅、会议、商品展销等各项费用；</w:t>
      </w:r>
    </w:p>
    <w:p>
      <w:pPr>
        <w:ind w:firstLine="472"/>
        <w:rPr>
          <w:color w:val="auto"/>
        </w:rPr>
      </w:pPr>
      <w:r>
        <w:rPr>
          <w:rFonts w:hint="eastAsia"/>
          <w:color w:val="auto"/>
        </w:rPr>
        <w:t>（2）境内机构在境外代表机构的办公经费，以及境内机构在境外承包工程的工程款；</w:t>
      </w:r>
    </w:p>
    <w:p>
      <w:pPr>
        <w:ind w:firstLine="472"/>
        <w:rPr>
          <w:color w:val="auto"/>
        </w:rPr>
      </w:pPr>
      <w:r>
        <w:rPr>
          <w:rFonts w:hint="eastAsia"/>
          <w:color w:val="auto"/>
        </w:rPr>
        <w:t>（3）境内机构发生在境外的进出口贸易佣金、保险费、赔偿款；</w:t>
      </w:r>
    </w:p>
    <w:p>
      <w:pPr>
        <w:ind w:firstLine="472"/>
        <w:rPr>
          <w:color w:val="auto"/>
        </w:rPr>
      </w:pPr>
      <w:r>
        <w:rPr>
          <w:rFonts w:hint="eastAsia"/>
          <w:color w:val="auto"/>
        </w:rPr>
        <w:t>（4）进口贸易项下境外机构获得的国际运输费用；</w:t>
      </w:r>
    </w:p>
    <w:p>
      <w:pPr>
        <w:ind w:firstLine="472"/>
        <w:rPr>
          <w:color w:val="auto"/>
        </w:rPr>
      </w:pPr>
      <w:r>
        <w:rPr>
          <w:rFonts w:hint="eastAsia"/>
          <w:color w:val="auto"/>
        </w:rPr>
        <w:t>（5）保险项下保费、保险金等相关费用；</w:t>
      </w:r>
    </w:p>
    <w:p>
      <w:pPr>
        <w:ind w:firstLine="472"/>
        <w:rPr>
          <w:color w:val="auto"/>
        </w:rPr>
      </w:pPr>
      <w:r>
        <w:rPr>
          <w:rFonts w:hint="eastAsia"/>
          <w:color w:val="auto"/>
        </w:rPr>
        <w:t>（6）从事运输或远洋渔业的境内机构在境外发生的修理、油料、港杂等各项费用；</w:t>
      </w:r>
    </w:p>
    <w:p>
      <w:pPr>
        <w:ind w:firstLine="472"/>
        <w:rPr>
          <w:color w:val="auto"/>
        </w:rPr>
      </w:pPr>
      <w:r>
        <w:rPr>
          <w:rFonts w:hint="eastAsia"/>
          <w:color w:val="auto"/>
        </w:rPr>
        <w:t>（7）境内旅行社从事出境旅游业务的团费以及代订、代办的住宿、交通等相关费用；</w:t>
      </w:r>
    </w:p>
    <w:p>
      <w:pPr>
        <w:ind w:firstLine="472"/>
        <w:rPr>
          <w:color w:val="auto"/>
        </w:rPr>
      </w:pPr>
      <w:bookmarkStart w:id="1" w:name="_Hlk15918672"/>
      <w:r>
        <w:rPr>
          <w:rFonts w:hint="eastAsia"/>
          <w:color w:val="auto"/>
        </w:rPr>
        <w:t>（8）</w:t>
      </w:r>
      <w:bookmarkEnd w:id="1"/>
      <w:r>
        <w:rPr>
          <w:rFonts w:hint="eastAsia"/>
          <w:color w:val="auto"/>
        </w:rPr>
        <w:t>亚洲开发银行和世界银行集团下属的国际金融公司从我国取得的所得或收入，包括投资合营企业分得的利润和转让股份所得、在华财产（含房产）出租或转让收入以及贷款给我国境内机构取得的利息；</w:t>
      </w:r>
    </w:p>
    <w:p>
      <w:pPr>
        <w:ind w:firstLine="472"/>
        <w:rPr>
          <w:color w:val="auto"/>
        </w:rPr>
      </w:pPr>
      <w:r>
        <w:rPr>
          <w:rFonts w:hint="eastAsia"/>
          <w:color w:val="auto"/>
        </w:rPr>
        <w:t>（9）外国政府和国际金融组织向我国提供的外国政府（转）贷款（含外国政府混合（转）贷款）和国际金融组织贷款项下的利息。本项所称国际金融组织是指国际货币基金组织、世界银行集团、国际开发协会、国际农业发展基金组织、欧洲投资银行等；</w:t>
      </w:r>
    </w:p>
    <w:p>
      <w:pPr>
        <w:ind w:firstLine="472"/>
        <w:rPr>
          <w:color w:val="auto"/>
        </w:rPr>
      </w:pPr>
      <w:r>
        <w:rPr>
          <w:rFonts w:hint="eastAsia"/>
          <w:color w:val="auto"/>
        </w:rPr>
        <w:t>（10）外汇指定银行或财务公司自身对外融资如境外借款、境外同业拆借、海外代付以及其他债务等项下的利息；</w:t>
      </w:r>
    </w:p>
    <w:p>
      <w:pPr>
        <w:ind w:firstLine="472"/>
        <w:rPr>
          <w:color w:val="auto"/>
        </w:rPr>
      </w:pPr>
      <w:r>
        <w:rPr>
          <w:rFonts w:hint="eastAsia"/>
          <w:color w:val="auto"/>
        </w:rPr>
        <w:t>（11）我国省级以上国家机关对外无偿捐赠援助资金；</w:t>
      </w:r>
    </w:p>
    <w:p>
      <w:pPr>
        <w:ind w:firstLine="472"/>
        <w:rPr>
          <w:color w:val="auto"/>
        </w:rPr>
      </w:pPr>
      <w:r>
        <w:rPr>
          <w:rFonts w:hint="eastAsia"/>
          <w:color w:val="auto"/>
        </w:rPr>
        <w:t>（12）境内证券公司或登记结算公司向境外机构或境外个人支付其依法获得的股息、红利、利息收入及有价证券卖出所得收益；</w:t>
      </w:r>
    </w:p>
    <w:p>
      <w:pPr>
        <w:ind w:firstLine="472"/>
        <w:rPr>
          <w:color w:val="auto"/>
        </w:rPr>
      </w:pPr>
      <w:r>
        <w:rPr>
          <w:rFonts w:hint="eastAsia"/>
          <w:color w:val="auto"/>
        </w:rPr>
        <w:t>（13）境内个人境外留学、旅游、探亲等因私用汇；</w:t>
      </w:r>
    </w:p>
    <w:p>
      <w:pPr>
        <w:ind w:firstLine="472"/>
        <w:rPr>
          <w:color w:val="auto"/>
        </w:rPr>
      </w:pPr>
      <w:r>
        <w:rPr>
          <w:rFonts w:hint="eastAsia"/>
          <w:color w:val="auto"/>
        </w:rPr>
        <w:t>（14）境内机构和个人办理服务贸易、收益和经常转移项下退汇；</w:t>
      </w:r>
    </w:p>
    <w:p>
      <w:pPr>
        <w:ind w:firstLine="472"/>
        <w:rPr>
          <w:color w:val="auto"/>
        </w:rPr>
      </w:pPr>
      <w:r>
        <w:rPr>
          <w:rFonts w:hint="eastAsia"/>
          <w:color w:val="auto"/>
        </w:rPr>
        <w:t>（15）国家规定的其他情形。</w:t>
      </w:r>
    </w:p>
    <w:p>
      <w:pPr>
        <w:ind w:firstLine="472"/>
        <w:rPr>
          <w:rFonts w:hint="eastAsia"/>
          <w:color w:val="auto"/>
        </w:rPr>
      </w:pPr>
      <w:r>
        <w:rPr>
          <w:rFonts w:hint="eastAsia"/>
          <w:color w:val="auto"/>
          <w:lang w:val="en-US" w:eastAsia="zh-CN"/>
        </w:rPr>
        <w:t>5</w:t>
      </w:r>
      <w:r>
        <w:rPr>
          <w:rFonts w:hint="eastAsia"/>
          <w:color w:val="auto"/>
        </w:rPr>
        <w:t>.同一笔合同需要多次对外支付的，纳税人须在每次付汇前办理税务备案手续，但只需在首次付汇备案时提交合同（协议）或相关交易凭证复印件。</w:t>
      </w:r>
    </w:p>
    <w:p>
      <w:pPr>
        <w:ind w:firstLine="472"/>
        <w:rPr>
          <w:rFonts w:hint="eastAsia"/>
          <w:color w:val="auto"/>
        </w:rPr>
      </w:pPr>
      <w:r>
        <w:rPr>
          <w:rFonts w:hint="eastAsia"/>
          <w:color w:val="auto"/>
          <w:lang w:val="en-US" w:eastAsia="zh-CN"/>
        </w:rPr>
        <w:t>6</w:t>
      </w:r>
      <w:r>
        <w:rPr>
          <w:rFonts w:hint="eastAsia"/>
          <w:color w:val="auto"/>
        </w:rPr>
        <w:t>.纳税人对报送资料的真实性和合法性承担责任。</w:t>
      </w:r>
    </w:p>
    <w:p>
      <w:pPr>
        <w:ind w:firstLine="472"/>
        <w:rPr>
          <w:rFonts w:hint="eastAsia"/>
          <w:color w:val="auto"/>
        </w:rPr>
      </w:pPr>
      <w:r>
        <w:rPr>
          <w:rFonts w:hint="eastAsia"/>
          <w:color w:val="auto"/>
          <w:lang w:val="en-US" w:eastAsia="zh-CN"/>
        </w:rPr>
        <w:t>7</w:t>
      </w:r>
      <w:r>
        <w:rPr>
          <w:rFonts w:hint="eastAsia"/>
          <w:color w:val="auto"/>
        </w:rPr>
        <w:t>.最多跑一次是在资料完整且符合法定受理条件的前提下，最多只需要到税务机关跑一次。</w:t>
      </w:r>
    </w:p>
    <w:p>
      <w:pPr>
        <w:ind w:firstLine="472"/>
        <w:rPr>
          <w:rFonts w:hint="default"/>
          <w:color w:val="auto"/>
          <w:lang w:val="en-US" w:eastAsia="zh-CN"/>
        </w:rPr>
      </w:pPr>
      <w:r>
        <w:rPr>
          <w:rFonts w:hint="eastAsia"/>
          <w:color w:val="auto"/>
          <w:lang w:val="en-US" w:eastAsia="zh-CN"/>
        </w:rPr>
        <w:t>8.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41BCD015"/>
    <w:multiLevelType w:val="singleLevel"/>
    <w:tmpl w:val="41BCD015"/>
    <w:lvl w:ilvl="0" w:tentative="0">
      <w:start w:val="1"/>
      <w:numFmt w:val="bullet"/>
      <w:lvlText w:val=""/>
      <w:lvlJc w:val="left"/>
      <w:pPr>
        <w:ind w:left="420" w:hanging="420"/>
      </w:pPr>
      <w:rPr>
        <w:rFonts w:hint="default" w:ascii="Wingdings" w:hAnsi="Wingdings"/>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958C8"/>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7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2019-10-31T04:51:57Z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