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90"/>
      <w:r>
        <w:rPr>
          <w:rFonts w:hint="eastAsia" w:ascii="黑体" w:hAnsi="黑体" w:cs="黑体"/>
          <w:color w:val="auto"/>
        </w:rPr>
        <w:t>1.2.9.2</w:t>
      </w:r>
      <w:r>
        <w:rPr>
          <w:rFonts w:hint="eastAsia"/>
          <w:color w:val="auto"/>
        </w:rPr>
        <w:t>增值税税控系统专用设备变更发行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/>
          <w:color w:val="auto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增值税税控系统专用设备变更发行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  <w:kern w:val="0"/>
        </w:rPr>
      </w:pPr>
      <w:r>
        <w:rPr>
          <w:rFonts w:hint="eastAsia"/>
          <w:color w:val="auto"/>
          <w:kern w:val="0"/>
        </w:rPr>
        <w:t>纳税人增值税专用设备载入信息发生变更的，税务机关对税控设备及数据库中的信息作相应变更。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numPr>
          <w:ilvl w:val="0"/>
          <w:numId w:val="4"/>
        </w:numPr>
        <w:wordWrap w:val="0"/>
        <w:spacing w:line="240" w:lineRule="auto"/>
        <w:ind w:firstLine="472"/>
        <w:rPr>
          <w:color w:val="auto"/>
        </w:rPr>
      </w:pPr>
      <w:r>
        <w:rPr>
          <w:color w:val="auto"/>
        </w:rPr>
        <w:t>《中华人民共和国税收征收管理法》第二十三条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“国家根据税收征收管理的需要，积极推广使用税控装置。纳税人应当按照规定安装、使用税控装置，不得损毁或者擅自改动税控装置。”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2.</w:t>
      </w:r>
      <w:r>
        <w:rPr>
          <w:rFonts w:ascii="宋体" w:hAnsi="宋体" w:eastAsia="宋体"/>
          <w:color w:val="auto"/>
          <w:kern w:val="2"/>
          <w:szCs w:val="22"/>
        </w:rPr>
        <w:t>《国家税务总局关于修订&lt;增值税专用发票使用规定&gt;的通知》（国税发〔</w:t>
      </w:r>
      <w:r>
        <w:rPr>
          <w:rFonts w:hint="eastAsia" w:ascii="宋体" w:hAnsi="宋体" w:eastAsia="宋体"/>
          <w:color w:val="auto"/>
          <w:kern w:val="2"/>
          <w:szCs w:val="22"/>
        </w:rPr>
        <w:t>2006</w:t>
      </w:r>
      <w:r>
        <w:rPr>
          <w:rFonts w:ascii="宋体" w:hAnsi="宋体" w:eastAsia="宋体"/>
          <w:color w:val="auto"/>
          <w:kern w:val="2"/>
          <w:szCs w:val="22"/>
        </w:rPr>
        <w:t>〕</w:t>
      </w:r>
      <w:r>
        <w:rPr>
          <w:rFonts w:hint="eastAsia" w:ascii="宋体" w:hAnsi="宋体" w:eastAsia="宋体"/>
          <w:color w:val="auto"/>
          <w:kern w:val="2"/>
          <w:szCs w:val="22"/>
        </w:rPr>
        <w:t>156</w:t>
      </w:r>
      <w:r>
        <w:rPr>
          <w:rFonts w:ascii="宋体" w:hAnsi="宋体" w:eastAsia="宋体"/>
          <w:color w:val="auto"/>
          <w:kern w:val="2"/>
          <w:szCs w:val="22"/>
        </w:rPr>
        <w:t>号）第三条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“一般纳税人应通过增值税防伪税控系统（以下简称防伪税控系统）使用专用发票。使用，包括领购、开具、缴销、认证纸质专用发票及其相应的数据电文。</w:t>
      </w:r>
    </w:p>
    <w:p>
      <w:pPr>
        <w:spacing w:line="240" w:lineRule="auto"/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本规定所称防伪税控系统，是指经国务院同意推行的，使用专用设备和通用设备、运用数字密码和电子存储技术管理专用发票的计算机管理系统。</w:t>
      </w:r>
      <w:r>
        <w:rPr>
          <w:rFonts w:hint="eastAsia" w:ascii="宋体" w:hAnsi="宋体" w:eastAsia="宋体" w:cs="Times New Roman"/>
          <w:color w:val="auto"/>
          <w:sz w:val="24"/>
          <w:szCs w:val="22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  <w:szCs w:val="22"/>
        </w:rPr>
        <w:t>本规定所称专用设备，是指金税卡、IC卡、读卡器和其他设备。</w:t>
      </w:r>
      <w:r>
        <w:rPr>
          <w:rFonts w:hint="eastAsia" w:ascii="宋体" w:hAnsi="宋体" w:eastAsia="宋体" w:cs="Times New Roman"/>
          <w:color w:val="auto"/>
          <w:sz w:val="24"/>
          <w:szCs w:val="22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  <w:szCs w:val="22"/>
        </w:rPr>
        <w:t>本规定所称通用设备，是指计算机、打印机、扫描器具和其他设备。”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税控设备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调整后返还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《税务事项通知书》（发票票种核定通知）或《准予税务行政许可决定书》或《准予变更税务行政许可决定书》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经办人居民身份证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numPr>
          <w:ilvl w:val="0"/>
          <w:numId w:val="5"/>
        </w:numPr>
        <w:spacing w:line="240" w:lineRule="auto"/>
        <w:ind w:firstLine="552"/>
        <w:rPr>
          <w:color w:val="auto"/>
        </w:rPr>
      </w:pPr>
      <w:r>
        <w:rPr>
          <w:color w:val="auto"/>
        </w:rPr>
        <w:t>办理流程</w:t>
      </w:r>
    </w:p>
    <w:p>
      <w:pPr>
        <w:spacing w:line="240" w:lineRule="auto"/>
        <w:ind w:firstLine="0" w:firstLineChars="0"/>
        <w:rPr>
          <w:color w:val="auto"/>
        </w:rPr>
      </w:pPr>
      <w:r>
        <w:rPr>
          <w:color w:val="auto"/>
        </w:rPr>
        <w:object>
          <v:shape id="_x0000_i1081" o:spt="75" type="#_x0000_t75" style="height:97.1pt;width:325.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81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无。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  <w:kern w:val="0"/>
        </w:rPr>
      </w:pPr>
      <w:r>
        <w:rPr>
          <w:color w:val="auto"/>
          <w:kern w:val="0"/>
        </w:rPr>
        <w:t>1.变更的内容包括：纳税人名称变更；纳税人除名称外其他税务登记基本信息变更；纳税人发行授权信息变更；因纳税人税控系统专用设备损坏，而对其税控系统专用设备进行变更；因纳税人开票机数量变化而进行发行变更；增值税发票系统升级版离线开票时限和离线开票总金额变更。</w:t>
      </w:r>
    </w:p>
    <w:p>
      <w:pPr>
        <w:ind w:firstLine="472"/>
        <w:rPr>
          <w:color w:val="auto"/>
          <w:kern w:val="0"/>
        </w:rPr>
      </w:pPr>
      <w:r>
        <w:rPr>
          <w:color w:val="auto"/>
          <w:kern w:val="0"/>
        </w:rPr>
        <w:t>2.已经使用增值税发票管理系统的小规模纳税人，月销售额未超过10万元的，可以继续使用现有税控设备开具发票；已经自行开具增值税专用发票的，可以继续自行开具增值税专用发票，并就开具增值税专用发票的销售额计算缴纳增值税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kern w:val="0"/>
        </w:rPr>
        <w:t>3.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rPr>
          <w:color w:val="auto"/>
          <w:kern w:val="0"/>
        </w:rPr>
      </w:pPr>
      <w:r>
        <w:rPr>
          <w:rFonts w:hint="eastAsia"/>
          <w:color w:val="auto"/>
        </w:rPr>
        <w:t>4.最多跑一次是在资料完整且符合法定受理条件的前提下，最多只需要到税务机关跑一次。</w:t>
      </w:r>
    </w:p>
    <w:p>
      <w:pPr>
        <w:ind w:firstLine="472"/>
        <w:rPr>
          <w:color w:val="auto"/>
          <w:kern w:val="0"/>
        </w:rPr>
      </w:pPr>
      <w:r>
        <w:rPr>
          <w:rFonts w:hint="eastAsia"/>
          <w:color w:val="auto"/>
          <w:kern w:val="0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F8A9"/>
    <w:multiLevelType w:val="singleLevel"/>
    <w:tmpl w:val="15A0F8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5D02483B"/>
    <w:multiLevelType w:val="singleLevel"/>
    <w:tmpl w:val="5D02483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26C1B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2019-10-31T03:43:22Z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