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1075"/>
      <w:r>
        <w:rPr>
          <w:rFonts w:hint="eastAsia" w:ascii="黑体" w:hAnsi="黑体"/>
          <w:color w:val="auto"/>
        </w:rPr>
        <w:t>2.5.3.3生产企业进料加工业务免抵退税的核销</w:t>
      </w:r>
      <w:bookmarkEnd w:id="0"/>
    </w:p>
    <w:p>
      <w:pPr>
        <w:pStyle w:val="3"/>
        <w:ind w:firstLine="552"/>
        <w:rPr>
          <w:color w:val="auto"/>
        </w:rPr>
      </w:pPr>
      <w:r>
        <w:rPr>
          <w:color w:val="auto"/>
        </w:rPr>
        <w:t>一、事项名称</w:t>
      </w:r>
    </w:p>
    <w:p>
      <w:pPr>
        <w:ind w:firstLine="472"/>
        <w:rPr>
          <w:color w:val="auto"/>
        </w:rPr>
      </w:pPr>
      <w:r>
        <w:rPr>
          <w:rFonts w:hint="eastAsia" w:ascii="黑体" w:hAnsi="黑体"/>
          <w:color w:val="auto"/>
        </w:rPr>
        <w:t>生产企业</w:t>
      </w:r>
      <w:r>
        <w:rPr>
          <w:rFonts w:hint="eastAsia"/>
          <w:color w:val="auto"/>
        </w:rPr>
        <w:t>进料加工业务免抵退税</w:t>
      </w:r>
      <w:r>
        <w:rPr>
          <w:rFonts w:hint="eastAsia"/>
          <w:strike/>
          <w:color w:val="auto"/>
        </w:rPr>
        <w:t>的</w:t>
      </w:r>
      <w:r>
        <w:rPr>
          <w:rFonts w:hint="eastAsia"/>
          <w:color w:val="auto"/>
        </w:rPr>
        <w:t>核销</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rFonts w:hint="eastAsia"/>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生产企业应于每年</w:t>
      </w:r>
      <w:r>
        <w:rPr>
          <w:color w:val="auto"/>
        </w:rPr>
        <w:t>4月20日前，按以下规定向主管税务机关申请办理上年度海关已核销的进料加工手册（账册）项下的进料加工业务核销手续。4月20日前未进行核销的，对该企业的出口退（免）税业务，主管税务机关暂不办理，在其进行核销后再办理。</w:t>
      </w:r>
    </w:p>
    <w:p>
      <w:pPr>
        <w:pStyle w:val="3"/>
        <w:ind w:firstLine="552"/>
        <w:rPr>
          <w:color w:val="auto"/>
        </w:rPr>
      </w:pPr>
      <w:r>
        <w:rPr>
          <w:rFonts w:hint="eastAsia"/>
          <w:color w:val="auto"/>
        </w:rPr>
        <w:t>四、设定依据</w:t>
      </w:r>
    </w:p>
    <w:p>
      <w:pPr>
        <w:ind w:firstLine="472"/>
        <w:rPr>
          <w:color w:val="auto"/>
        </w:rPr>
      </w:pPr>
      <w:r>
        <w:rPr>
          <w:rFonts w:hint="eastAsia"/>
          <w:color w:val="auto"/>
          <w:lang w:val="en-US" w:eastAsia="zh-CN"/>
        </w:rPr>
        <w:t>1.</w:t>
      </w:r>
      <w:r>
        <w:rPr>
          <w:rFonts w:hint="eastAsia"/>
          <w:color w:val="auto"/>
        </w:rPr>
        <w:t>《国家税务总局关于出口退（免）税申报有关问题的公告》（国家税务总局公告2018年第16号）第九条</w:t>
      </w:r>
    </w:p>
    <w:p>
      <w:pPr>
        <w:ind w:firstLine="472"/>
        <w:rPr>
          <w:color w:val="auto"/>
        </w:rPr>
      </w:pPr>
      <w:r>
        <w:rPr>
          <w:rFonts w:hint="eastAsia"/>
          <w:color w:val="auto"/>
        </w:rPr>
        <w:t>“生产企业应于每年4月20日前，按以下规定向主管税务机关申请办理上年度海关已核销的进料加工手册（账册）项下的进料加工业务核销手续。4月20日前未进行核销的，对该企业的出口退（免）税业务，主管税务机关暂不办理，在其进行核销后再办理。</w:t>
      </w:r>
    </w:p>
    <w:p>
      <w:pPr>
        <w:ind w:firstLine="472"/>
        <w:rPr>
          <w:color w:val="auto"/>
        </w:rPr>
      </w:pPr>
      <w:r>
        <w:rPr>
          <w:rFonts w:hint="eastAsia"/>
          <w:color w:val="auto"/>
        </w:rPr>
        <w:t>（一）生产企业申请核销前，应从主管税务机关获取海关联网监管加工贸易电子数据中的进料加工“电子账册（电子化手册）核销数据”以及进料加工业务的进口和出口货物报关单数据。</w:t>
      </w:r>
    </w:p>
    <w:p>
      <w:pPr>
        <w:ind w:firstLine="472"/>
        <w:rPr>
          <w:color w:val="auto"/>
        </w:rPr>
      </w:pPr>
      <w:r>
        <w:rPr>
          <w:rFonts w:hint="eastAsia"/>
          <w:color w:val="auto"/>
        </w:rPr>
        <w:t>生产企业将获取的反馈数据与进料加工手册（账册）实际发生的进口和出口情况核对后，填报《生产企业进料加工业务免抵退税核销表》（附件4）向主管税务机关申请核销。如果核对发现，实际业务与反馈数据不一致的，生产企业还应填写《已核销手册（账册）海关数据调整表》（附件5）连同电子数据和证明材料一并报送主管税务机关。</w:t>
      </w:r>
    </w:p>
    <w:p>
      <w:pPr>
        <w:ind w:firstLine="472"/>
        <w:rPr>
          <w:color w:val="auto"/>
        </w:rPr>
      </w:pPr>
      <w:r>
        <w:rPr>
          <w:rFonts w:hint="eastAsia"/>
          <w:color w:val="auto"/>
        </w:rPr>
        <w:t>（二）主管税务机关应将企业报送的电子数据读入出口退税审核系统，对《生产企业进料加工业务免抵退税核销表》和《已核销手册（账册）海关数据调整表》及证明资料进行审核。</w:t>
      </w:r>
    </w:p>
    <w:p>
      <w:pPr>
        <w:ind w:firstLine="472"/>
        <w:rPr>
          <w:color w:val="auto"/>
        </w:rPr>
      </w:pPr>
      <w:r>
        <w:rPr>
          <w:rFonts w:hint="eastAsia"/>
          <w:color w:val="auto"/>
        </w:rPr>
        <w:t>（三）主管税务机关确认核销后，生产企业应以《生产企业进料加工业务免抵退税核销表》中的“已核销手册（账册）综合实际分配率”，作为当年度进料加工计划分配率。同时，应在核销确认的次月，根据《生产企业进料加工业务免抵退税核销表》确认的不得免征和抵扣税额在纳税申报时申报调整；应在确认核销后的首次免抵退税申报时，根据《生产企业进料加工业务免抵退税核销表》确认的调整免抵退税额申报调整当期免抵退税额。</w:t>
      </w:r>
    </w:p>
    <w:p>
      <w:pPr>
        <w:ind w:firstLine="472"/>
        <w:rPr>
          <w:color w:val="auto"/>
        </w:rPr>
      </w:pPr>
      <w:r>
        <w:rPr>
          <w:rFonts w:hint="eastAsia"/>
          <w:color w:val="auto"/>
        </w:rPr>
        <w:t>（四）生产企业发现核销数据有误的，应在发现次月按照本条第（一）项至第（三）项的有关规定向主管税务机关重新办理核销手续。”</w:t>
      </w:r>
    </w:p>
    <w:p>
      <w:pPr>
        <w:ind w:firstLine="472"/>
        <w:rPr>
          <w:color w:val="auto"/>
        </w:rPr>
      </w:pPr>
      <w:r>
        <w:rPr>
          <w:rFonts w:hint="eastAsia"/>
          <w:color w:val="auto"/>
        </w:rPr>
        <w:t>2.《国家税务总局关于出口货物劳务增值税和消费税有关问题的公告》（国家税务总局公告2013年第65号）第三条</w:t>
      </w:r>
    </w:p>
    <w:p>
      <w:pPr>
        <w:ind w:firstLine="472"/>
        <w:rPr>
          <w:color w:val="auto"/>
        </w:rPr>
      </w:pPr>
      <w:r>
        <w:rPr>
          <w:rFonts w:hint="eastAsia"/>
          <w:color w:val="auto"/>
        </w:rPr>
        <w:t>“从事进料加工业务的生产企业，因上年度无海关已核销手（账）册不能确定本年度进料加工业务计划分配率的，应使用最近一次确定的“上年度已核销手（账）册综合实际分配率”作为本年度的计划分配率。</w:t>
      </w:r>
    </w:p>
    <w:p>
      <w:pPr>
        <w:ind w:firstLine="472"/>
        <w:rPr>
          <w:color w:val="auto"/>
        </w:rPr>
      </w:pPr>
      <w:r>
        <w:rPr>
          <w:rFonts w:hint="eastAsia"/>
          <w:color w:val="auto"/>
        </w:rPr>
        <w:t>生产企业在办理年度进料加工业务核销后，如认为《生产企业进料加工业务免抵退税核销表》中的“上年度已核销手（账）册综合实际分配率”与企业当年度实际情况差别较大的，可在向主管税务机关提供当年度预计的进料加工计划分配率及书面合理理由后，将预计的进料加工计划分配率作为该年度的计划分配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《生产企业进料加工业务免抵退税核销表》及电子数据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《已核销手册（账册）海关数据调整表》及电子数据、证明材料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实际业务与反馈数据不一致</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177" o:spt="75" type="#_x0000_t75" style="height:112.65pt;width:378.65pt;" o:ole="t" filled="f" o:preferrelative="t" stroked="f" coordsize="21600,21600">
            <v:path/>
            <v:fill on="f" focussize="0,0"/>
            <v:stroke on="f" joinstyle="miter"/>
            <v:imagedata r:id="rId11" o:title=""/>
            <o:lock v:ext="edit" aspectratio="f"/>
            <w10:wrap type="none"/>
            <w10:anchorlock/>
          </v:shape>
          <o:OLEObject Type="Embed" ProgID="Visio.Drawing.11" ShapeID="_x0000_i117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资料齐全、符合法定形式的，税务机关受理后7个工作日办结。</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1.A06365《生产企业进料加工业务免抵退税核销表》</w:t>
      </w:r>
    </w:p>
    <w:p>
      <w:pPr>
        <w:ind w:firstLine="471" w:firstLineChars="0"/>
        <w:rPr>
          <w:color w:val="auto"/>
        </w:rPr>
      </w:pPr>
      <w:r>
        <w:rPr>
          <w:rFonts w:hint="eastAsia"/>
          <w:color w:val="auto"/>
        </w:rPr>
        <w:t>2.A08079《已核销手册（账册）海关数据调整表》</w:t>
      </w:r>
    </w:p>
    <w:p>
      <w:pPr>
        <w:pStyle w:val="3"/>
        <w:ind w:firstLine="552"/>
        <w:rPr>
          <w:color w:val="auto"/>
        </w:rPr>
      </w:pPr>
      <w:r>
        <w:rPr>
          <w:rFonts w:hint="eastAsia"/>
          <w:color w:val="auto"/>
        </w:rPr>
        <w:t>九、注意事项</w:t>
      </w:r>
    </w:p>
    <w:p>
      <w:pPr>
        <w:ind w:firstLine="590" w:firstLineChars="250"/>
        <w:jc w:val="left"/>
        <w:rPr>
          <w:color w:val="auto"/>
        </w:rPr>
      </w:pPr>
      <w:r>
        <w:rPr>
          <w:rFonts w:hint="eastAsia"/>
          <w:color w:val="auto"/>
          <w:lang w:val="en-US" w:eastAsia="zh-CN"/>
        </w:rPr>
        <w:t>1</w:t>
      </w:r>
      <w:r>
        <w:rPr>
          <w:rFonts w:hint="eastAsia"/>
          <w:color w:val="auto"/>
        </w:rPr>
        <w:t>.纳税人使用符合电子签名法规定条件的电子签名，与手写签名或者盖章具有同等法律效力。</w:t>
      </w:r>
    </w:p>
    <w:p>
      <w:pPr>
        <w:ind w:firstLine="472"/>
        <w:jc w:val="left"/>
        <w:rPr>
          <w:color w:val="auto"/>
        </w:rPr>
      </w:pPr>
      <w:r>
        <w:rPr>
          <w:rFonts w:hint="eastAsia"/>
          <w:color w:val="auto"/>
          <w:lang w:val="en-US" w:eastAsia="zh-CN"/>
        </w:rPr>
        <w:t>2</w:t>
      </w:r>
      <w:r>
        <w:rPr>
          <w:rFonts w:hint="eastAsia"/>
          <w:color w:val="auto"/>
        </w:rPr>
        <w:t>.无纸化企业只应报送通过税控数字证书签名后的申报电子数据，相关纸质申报资料留存备查。</w:t>
      </w:r>
    </w:p>
    <w:p>
      <w:pPr>
        <w:ind w:firstLine="472"/>
        <w:jc w:val="left"/>
        <w:rPr>
          <w:color w:val="auto"/>
        </w:rPr>
      </w:pPr>
      <w:r>
        <w:rPr>
          <w:rFonts w:hint="eastAsia"/>
          <w:color w:val="auto"/>
          <w:lang w:val="en-US" w:eastAsia="zh-CN"/>
        </w:rPr>
        <w:t>3</w:t>
      </w:r>
      <w:r>
        <w:rPr>
          <w:rFonts w:hint="eastAsia"/>
          <w:color w:val="auto"/>
        </w:rPr>
        <w:t>.生产企业本年4月20日前未进行核销的，对该企业的出口退（免）税业务主管税务机关暂不办理，在其进行核销后再办理。</w:t>
      </w:r>
    </w:p>
    <w:p>
      <w:pPr>
        <w:ind w:firstLine="472"/>
        <w:rPr>
          <w:rFonts w:hint="eastAsia"/>
          <w:color w:val="auto"/>
        </w:rPr>
      </w:pPr>
      <w:r>
        <w:rPr>
          <w:rFonts w:hint="eastAsia"/>
          <w:color w:val="auto"/>
          <w:lang w:val="en-US" w:eastAsia="zh-CN"/>
        </w:rPr>
        <w:t>4</w:t>
      </w:r>
      <w:r>
        <w:rPr>
          <w:rFonts w:hint="eastAsia"/>
          <w:color w:val="auto"/>
        </w:rPr>
        <w:t>.生产企业发现核销数据有误的，应在发现次月按照有关规定向主管税务机关重新办理核销手续。</w:t>
      </w:r>
    </w:p>
    <w:p>
      <w:pPr>
        <w:ind w:firstLine="472"/>
        <w:rPr>
          <w:color w:val="auto"/>
        </w:rPr>
      </w:pPr>
      <w:r>
        <w:rPr>
          <w:rFonts w:hint="eastAsia"/>
          <w:color w:val="auto"/>
          <w:lang w:val="en-US" w:eastAsia="zh-CN"/>
        </w:rPr>
        <w:t>5</w:t>
      </w:r>
      <w:r>
        <w:rPr>
          <w:rFonts w:hint="eastAsia"/>
          <w:color w:val="auto"/>
        </w:rPr>
        <w:t>.纳税人对报送材料的真实性和合法性承担责任。</w:t>
      </w:r>
    </w:p>
    <w:p>
      <w:pPr>
        <w:ind w:firstLine="472"/>
        <w:jc w:val="left"/>
        <w:rPr>
          <w:rFonts w:hint="eastAsia"/>
          <w:color w:val="auto"/>
        </w:rPr>
      </w:pPr>
      <w:r>
        <w:rPr>
          <w:rFonts w:hint="eastAsia"/>
          <w:color w:val="auto"/>
          <w:lang w:val="en-US" w:eastAsia="zh-CN"/>
        </w:rPr>
        <w:t>6</w:t>
      </w:r>
      <w:r>
        <w:rPr>
          <w:rFonts w:hint="eastAsia"/>
          <w:color w:val="auto"/>
        </w:rPr>
        <w:t>.纳税人在资料完整且符合法定受理条件的前提下，最多只需要到税务机关跑一次。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7027"/>
    <w:multiLevelType w:val="multilevel"/>
    <w:tmpl w:val="04A57027"/>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093495"/>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2019-10-31T05:12:19Z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