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</w:rPr>
      </w:pPr>
      <w:bookmarkStart w:id="1" w:name="_GoBack"/>
      <w:bookmarkEnd w:id="1"/>
      <w:bookmarkStart w:id="0" w:name="_Toc7763"/>
      <w:r>
        <w:rPr>
          <w:rFonts w:hint="eastAsia" w:ascii="黑体" w:hAnsi="黑体" w:cs="黑体"/>
          <w:color w:val="auto"/>
        </w:rPr>
        <w:t>1.1.7.2普通发票遗失、损毁报告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普通发票遗失、损毁报告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使用普通发票的单位和个人应当妥善保管发票。发生普通发票丢失、损毁情形时，应当于发现当日书面报告税务机关。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1.《中华人民共和国发票管理办法》第二十九条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“开具发票的单位和个人应当在办理变更或者注销税务登记的同时，办理发票和发票领购簿的变更、缴销手续。”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2.《中华人民共和国发票管理办法实施细则》（国家税务总局令第25号公布，国家税务总局令第37号、第44号、第48号修改）第三十一条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“使用发票的单位和个人应当妥善保管发票。发生发票丢失情形时，应当于发现丢失当日书面报告税务机关。”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auto"/>
                <w:sz w:val="18"/>
                <w:szCs w:val="18"/>
              </w:rPr>
              <w:t>《发票挂失/损毁报告表》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《挂失</w:t>
            </w:r>
            <w:r>
              <w:rPr>
                <w:rFonts w:ascii="宋体" w:hAnsi="宋体"/>
                <w:color w:val="auto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损毁发票清单》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发票遗失、损毁且发票数量较大，在报告表中无法全部反映的。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object>
          <v:shape id="_x0000_i1049" o:spt="75" type="#_x0000_t75" style="height:139.8pt;width:498.1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49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1.A02023《发票挂失/损毁报告表》(A02023《发票挂失/损毁报告表》（填写样例）)</w:t>
      </w:r>
    </w:p>
    <w:p>
      <w:pPr>
        <w:ind w:firstLine="472"/>
        <w:rPr>
          <w:rStyle w:val="22"/>
          <w:color w:val="auto"/>
        </w:rPr>
      </w:pPr>
      <w:r>
        <w:rPr>
          <w:rFonts w:hint="eastAsia"/>
          <w:color w:val="auto"/>
        </w:rPr>
        <w:t>2.A02024《挂失/损毁发票清单》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1.纳税人对普通发票挂失、损毁报备后，违反发票管理规定的，按照规定进行处理。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2.纳税人对报送资料的真实性和合法性承担责任。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3.最多跑一次是在资料完整且符合法定受理条件的前提下，最多只需要到税务机关跑一次。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4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1BCD015"/>
    <w:multiLevelType w:val="singleLevel"/>
    <w:tmpl w:val="41BCD01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8A2A08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2019-10-31T03:36:27Z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