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5262"/>
      <w:r>
        <w:rPr>
          <w:rFonts w:hint="eastAsia" w:ascii="黑体" w:hAnsi="黑体" w:cs="黑体"/>
          <w:color w:val="auto"/>
        </w:rPr>
        <w:t>1.1.4.2土地增值税税源信息报告</w:t>
      </w:r>
      <w:bookmarkEnd w:id="0"/>
    </w:p>
    <w:p>
      <w:pPr>
        <w:pStyle w:val="3"/>
        <w:ind w:firstLine="552"/>
        <w:rPr>
          <w:color w:val="auto"/>
        </w:rPr>
      </w:pPr>
      <w:r>
        <w:rPr>
          <w:color w:val="auto"/>
        </w:rPr>
        <w:t>一、事项名称</w:t>
      </w:r>
    </w:p>
    <w:p>
      <w:pPr>
        <w:ind w:firstLine="472"/>
        <w:rPr>
          <w:color w:val="auto"/>
        </w:rPr>
      </w:pPr>
      <w:r>
        <w:rPr>
          <w:rFonts w:hint="eastAsia"/>
          <w:color w:val="auto"/>
        </w:rPr>
        <w:t>土地增值税税源信息报告</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eastAsia="黑体" w:asciiTheme="majorHAnsi" w:hAnsiTheme="majorHAnsi" w:cstheme="majorBidi"/>
          <w:bCs/>
          <w:color w:val="auto"/>
          <w:sz w:val="28"/>
          <w:szCs w:val="32"/>
          <w:lang w:eastAsia="zh-CN"/>
        </w:rPr>
        <w:t>办理条件</w:t>
      </w:r>
    </w:p>
    <w:p>
      <w:pPr>
        <w:ind w:firstLine="472"/>
        <w:rPr>
          <w:color w:val="auto"/>
        </w:rPr>
      </w:pPr>
      <w:r>
        <w:rPr>
          <w:rFonts w:hint="eastAsia"/>
          <w:color w:val="auto"/>
        </w:rPr>
        <w:t>根据《国家税务总局关于印发〈土地增值税纳税申报表〉的通知》（国税发〔1995〕090号）规定，从事房地产开发的纳税人，应在取得土地使用权并获得房地产开发项目开工许可后，根据税务机关确定的时间，向主管税务机关报送《土地增值税项目报告表》，并在每次转让（预售）房地产时，依次填报表中规定栏目的内容。</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1.《中华人民共和国税收征收管理法》第二十五条　</w:t>
      </w:r>
    </w:p>
    <w:p>
      <w:pPr>
        <w:adjustRightInd w:val="0"/>
        <w:snapToGrid w:val="0"/>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adjustRightInd w:val="0"/>
        <w:snapToGrid w:val="0"/>
        <w:ind w:firstLine="472"/>
        <w:rPr>
          <w:color w:val="auto"/>
        </w:rPr>
      </w:pPr>
      <w:r>
        <w:rPr>
          <w:rFonts w:hint="eastAsia"/>
          <w:color w:val="auto"/>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p>
    <w:p>
      <w:pPr>
        <w:adjustRightInd w:val="0"/>
        <w:snapToGrid w:val="0"/>
        <w:ind w:firstLine="472"/>
        <w:rPr>
          <w:rFonts w:hint="eastAsia" w:eastAsia="宋体"/>
          <w:color w:val="auto"/>
          <w:lang w:eastAsia="zh-CN"/>
        </w:rPr>
      </w:pPr>
      <w:r>
        <w:rPr>
          <w:rFonts w:hint="eastAsia"/>
          <w:color w:val="auto"/>
        </w:rPr>
        <w:t>2.《国家税务总局关于修订土地增值税纳税申报表的通知》（税总函〔2016〕309号）第一条</w:t>
      </w:r>
    </w:p>
    <w:p>
      <w:pPr>
        <w:adjustRightInd w:val="0"/>
        <w:snapToGrid w:val="0"/>
        <w:ind w:firstLine="472"/>
        <w:rPr>
          <w:color w:val="auto"/>
        </w:rPr>
      </w:pPr>
      <w:r>
        <w:rPr>
          <w:rFonts w:hint="eastAsia"/>
          <w:color w:val="auto"/>
        </w:rPr>
        <w:t>“增加《土地增值税项目登记表》根据《国家税务总局关于印发〈土地增值税纳税申报表〉的通知》（国税发〔1995〕090号）规定，从事房地产开发的纳税人，应在取得土地使用权并获得房地产开发项目开工许可后，根据税务机关确定的时间，向主管税务机关报送《土地增值税项目登记表》，并在每次转让（预售）房地产时，依次填报表中规定栏目的内容。”</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2"/>
              <w:widowControl/>
              <w:spacing w:before="100" w:after="10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1969"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《土地增值税项目报告表（从事房地产开发的纳税人适用）》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从事房地产开发纳税人取得土地使用权并获得房地产开发项目开工许可后及每次转让（预售）房地产时。</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rStyle w:val="45"/>
          <w:bCs w:val="0"/>
          <w:color w:val="auto"/>
        </w:rPr>
        <w:object>
          <v:shape id="_x0000_i1038" o:spt="75" type="#_x0000_t75" style="height:78.75pt;width:441.75pt;" o:ole="t" filled="f" o:preferrelative="t" stroked="f" coordsize="21600,21600">
            <v:path/>
            <v:fill on="f" focussize="0,0"/>
            <v:stroke on="f" joinstyle="miter"/>
            <v:imagedata r:id="rId11" o:title=""/>
            <o:lock v:ext="edit" aspectratio="f"/>
            <w10:wrap type="none"/>
            <w10:anchorlock/>
          </v:shape>
          <o:OLEObject Type="Embed" ProgID="" ShapeID="_x0000_i103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1.A06106《土地增值税项目报告表（从事房地产开发的纳税人适用）》</w:t>
      </w:r>
    </w:p>
    <w:p>
      <w:pPr>
        <w:pStyle w:val="3"/>
        <w:ind w:firstLine="552"/>
        <w:rPr>
          <w:color w:val="auto"/>
        </w:rPr>
      </w:pPr>
      <w:r>
        <w:rPr>
          <w:rFonts w:hint="eastAsia"/>
          <w:color w:val="auto"/>
        </w:rPr>
        <w:t>九、注意事项</w:t>
      </w:r>
    </w:p>
    <w:p>
      <w:pPr>
        <w:ind w:firstLine="472"/>
        <w:rPr>
          <w:rFonts w:cs="微软雅黑"/>
          <w:color w:val="auto"/>
        </w:rPr>
      </w:pPr>
      <w:r>
        <w:rPr>
          <w:color w:val="auto"/>
        </w:rPr>
        <w:t>1</w:t>
      </w:r>
      <w:r>
        <w:rPr>
          <w:rFonts w:hint="eastAsia" w:cs="微软雅黑"/>
          <w:color w:val="auto"/>
        </w:rPr>
        <w:t>.税务机关应在系统内确定纳税人需要提交的资料清单和报送资料。</w:t>
      </w:r>
    </w:p>
    <w:p>
      <w:pPr>
        <w:ind w:firstLine="472"/>
        <w:rPr>
          <w:color w:val="auto"/>
        </w:rPr>
      </w:pPr>
      <w:r>
        <w:rPr>
          <w:rFonts w:hint="eastAsia" w:cs="微软雅黑"/>
          <w:color w:val="auto"/>
        </w:rPr>
        <w:t>2.同一个属期内的相同的报送资料，系统仅能采集一次，对于重复报送的资料的采集，需要考虑对已采集数据进行更正的情况。</w:t>
      </w:r>
    </w:p>
    <w:p>
      <w:pPr>
        <w:ind w:firstLine="472"/>
        <w:rPr>
          <w:color w:val="auto"/>
        </w:rPr>
      </w:pPr>
      <w:r>
        <w:rPr>
          <w:rFonts w:hint="eastAsia"/>
          <w:color w:val="auto"/>
        </w:rPr>
        <w:t>3.纳税人对报送资料的真实性和合法性承担责任。</w:t>
      </w:r>
    </w:p>
    <w:p>
      <w:pPr>
        <w:ind w:firstLine="472"/>
        <w:jc w:val="left"/>
        <w:rPr>
          <w:rFonts w:hint="eastAsia"/>
          <w:color w:val="auto"/>
        </w:rPr>
      </w:pPr>
      <w:r>
        <w:rPr>
          <w:rFonts w:hint="eastAsia"/>
          <w:color w:val="auto"/>
        </w:rPr>
        <w:t>4.最多跑一次是在资料完整且符合法定受理条件的前提下，最多只需要到税务机关跑一次。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01D2C17"/>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2019-10-31T03:31:48Z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