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color w:val="auto"/>
        </w:rPr>
      </w:pPr>
      <w:bookmarkStart w:id="1" w:name="_GoBack"/>
      <w:bookmarkEnd w:id="1"/>
      <w:bookmarkStart w:id="0" w:name="_Toc28112"/>
      <w:r>
        <w:rPr>
          <w:rFonts w:hint="eastAsia" w:ascii="黑体" w:hAnsi="黑体"/>
          <w:color w:val="auto"/>
        </w:rPr>
        <w:t>2.5.1.8.1石脑油、燃料油消费税退税办理</w:t>
      </w:r>
      <w:bookmarkEnd w:id="0"/>
    </w:p>
    <w:p>
      <w:pPr>
        <w:pStyle w:val="3"/>
        <w:ind w:firstLine="552"/>
        <w:rPr>
          <w:color w:val="auto"/>
        </w:rPr>
      </w:pPr>
      <w:r>
        <w:rPr>
          <w:color w:val="auto"/>
        </w:rPr>
        <w:t>一、事项名称</w:t>
      </w:r>
    </w:p>
    <w:p>
      <w:pPr>
        <w:ind w:firstLine="471" w:firstLineChars="0"/>
        <w:rPr>
          <w:rFonts w:hint="eastAsia"/>
          <w:color w:val="auto"/>
          <w:lang w:val="en-US" w:eastAsia="zh-CN"/>
        </w:rPr>
      </w:pPr>
      <w:r>
        <w:rPr>
          <w:rFonts w:hint="eastAsia"/>
          <w:color w:val="auto"/>
          <w:lang w:val="en-US" w:eastAsia="zh-CN"/>
        </w:rPr>
        <w:t>石脑油、燃料油消费税退税办理</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办结方式：限时办结</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spacing w:line="578" w:lineRule="exact"/>
        <w:ind w:left="0" w:leftChars="0" w:firstLine="472" w:firstLineChars="200"/>
        <w:rPr>
          <w:rFonts w:ascii="宋体" w:hAnsi="宋体" w:eastAsia="宋体" w:cs="Times New Roman"/>
          <w:color w:val="auto"/>
          <w:sz w:val="24"/>
        </w:rPr>
      </w:pPr>
      <w:r>
        <w:rPr>
          <w:rFonts w:hint="eastAsia" w:ascii="宋体" w:hAnsi="宋体" w:eastAsia="宋体" w:cs="Times New Roman"/>
          <w:color w:val="auto"/>
          <w:sz w:val="24"/>
        </w:rPr>
        <w:t>石脑油、燃料油消费税退税，是指我国境内使用石脑油、燃料油生产乙烯、芳烃类化工产品的企业，包括将自产石脑油、燃料油用于连续生产乙烯、芳烃类化工产品的企业，将外购的含税石脑油、燃料油用于生产乙烯、芳烃类化工产品的企业，且生产的乙烯、芳烃类化工产品产量占本企业用石脑油、燃料油生产全部产品总量的50%以上（含）的，可按实际耗用量计算退还所含已缴纳的消费税。</w:t>
      </w:r>
    </w:p>
    <w:p>
      <w:pPr>
        <w:pStyle w:val="3"/>
        <w:ind w:firstLine="552"/>
        <w:rPr>
          <w:color w:val="auto"/>
        </w:rPr>
      </w:pPr>
      <w:r>
        <w:rPr>
          <w:rFonts w:hint="eastAsia"/>
          <w:color w:val="auto"/>
        </w:rPr>
        <w:t>四、设定依据</w:t>
      </w:r>
    </w:p>
    <w:p>
      <w:pPr>
        <w:spacing w:line="578" w:lineRule="exact"/>
        <w:ind w:firstLine="472" w:firstLineChars="200"/>
        <w:rPr>
          <w:rFonts w:hint="eastAsia" w:ascii="宋体" w:hAnsi="宋体" w:eastAsia="宋体" w:cs="Times New Roman"/>
          <w:color w:val="auto"/>
          <w:sz w:val="24"/>
        </w:rPr>
      </w:pPr>
      <w:r>
        <w:rPr>
          <w:rFonts w:hint="eastAsia" w:ascii="宋体" w:hAnsi="宋体" w:eastAsia="宋体" w:cs="Times New Roman"/>
          <w:color w:val="auto"/>
          <w:sz w:val="24"/>
        </w:rPr>
        <w:t>1.《中华人民共和国税收征收管理法》第五十一条</w:t>
      </w:r>
    </w:p>
    <w:p>
      <w:pPr>
        <w:spacing w:line="578" w:lineRule="exact"/>
        <w:ind w:firstLine="472" w:firstLineChars="200"/>
        <w:rPr>
          <w:rFonts w:hint="eastAsia" w:ascii="宋体" w:hAnsi="宋体" w:eastAsia="宋体" w:cs="Times New Roman"/>
          <w:color w:val="auto"/>
          <w:sz w:val="24"/>
          <w:lang w:eastAsia="zh-CN"/>
        </w:rPr>
      </w:pPr>
      <w:r>
        <w:rPr>
          <w:rFonts w:hint="eastAsia" w:cs="Times New Roman"/>
          <w:color w:val="auto"/>
          <w:sz w:val="24"/>
          <w:lang w:eastAsia="zh-CN"/>
        </w:rPr>
        <w:t>“</w:t>
      </w:r>
      <w:r>
        <w:rPr>
          <w:rFonts w:hint="eastAsia" w:ascii="宋体" w:hAnsi="宋体" w:eastAsia="宋体" w:cs="Times New Roman"/>
          <w:color w:val="auto"/>
          <w:sz w:val="24"/>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s="Times New Roman"/>
          <w:color w:val="auto"/>
          <w:sz w:val="24"/>
          <w:lang w:eastAsia="zh-CN"/>
        </w:rPr>
        <w:t>”</w:t>
      </w:r>
    </w:p>
    <w:p>
      <w:pPr>
        <w:numPr>
          <w:ilvl w:val="0"/>
          <w:numId w:val="0"/>
        </w:numPr>
        <w:spacing w:line="578" w:lineRule="exact"/>
        <w:ind w:firstLine="472" w:firstLineChars="200"/>
        <w:rPr>
          <w:rFonts w:hint="eastAsia" w:ascii="宋体" w:hAnsi="宋体" w:eastAsia="宋体" w:cs="Times New Roman"/>
          <w:color w:val="auto"/>
          <w:sz w:val="24"/>
        </w:rPr>
      </w:pPr>
      <w:r>
        <w:rPr>
          <w:rFonts w:hint="eastAsia" w:cs="Times New Roman"/>
          <w:color w:val="auto"/>
          <w:sz w:val="24"/>
          <w:lang w:val="en-US" w:eastAsia="zh-CN"/>
        </w:rPr>
        <w:t>2.</w:t>
      </w:r>
      <w:r>
        <w:rPr>
          <w:rFonts w:hint="eastAsia" w:ascii="宋体" w:hAnsi="宋体" w:eastAsia="宋体" w:cs="Times New Roman"/>
          <w:color w:val="auto"/>
          <w:sz w:val="24"/>
        </w:rPr>
        <w:t>《中华人民共和国消费税暂行条例》第四条</w:t>
      </w:r>
    </w:p>
    <w:p>
      <w:pPr>
        <w:numPr>
          <w:ilvl w:val="0"/>
          <w:numId w:val="0"/>
        </w:numPr>
        <w:spacing w:line="578" w:lineRule="exact"/>
        <w:ind w:firstLine="472" w:firstLineChars="200"/>
        <w:rPr>
          <w:rFonts w:hint="eastAsia" w:ascii="宋体" w:hAnsi="宋体" w:eastAsia="宋体" w:cs="Times New Roman"/>
          <w:color w:val="auto"/>
          <w:sz w:val="24"/>
          <w:lang w:eastAsia="zh-CN"/>
        </w:rPr>
      </w:pPr>
      <w:r>
        <w:rPr>
          <w:rFonts w:hint="eastAsia" w:cs="Times New Roman"/>
          <w:color w:val="auto"/>
          <w:sz w:val="24"/>
          <w:lang w:eastAsia="zh-CN"/>
        </w:rPr>
        <w:t>“</w:t>
      </w:r>
      <w:r>
        <w:rPr>
          <w:rFonts w:hint="eastAsia" w:ascii="宋体" w:hAnsi="宋体" w:eastAsia="宋体" w:cs="Times New Roman"/>
          <w:color w:val="auto"/>
          <w:sz w:val="24"/>
        </w:rPr>
        <w:t>纳税人生产的应税消费品，于纳税人销售时纳税。纳税人自产自用的应税消费品，用于连续生产应税消费品的，不纳税；用于其他方面的，于移送使用时纳税。</w:t>
      </w:r>
    </w:p>
    <w:p>
      <w:pPr>
        <w:numPr>
          <w:ilvl w:val="0"/>
          <w:numId w:val="0"/>
        </w:numPr>
        <w:spacing w:line="578" w:lineRule="exact"/>
        <w:ind w:firstLine="472" w:firstLineChars="200"/>
        <w:rPr>
          <w:rFonts w:hint="eastAsia" w:ascii="宋体" w:hAnsi="宋体" w:eastAsia="宋体" w:cs="Times New Roman"/>
          <w:color w:val="auto"/>
          <w:sz w:val="24"/>
          <w:lang w:eastAsia="zh-CN"/>
        </w:rPr>
      </w:pPr>
      <w:r>
        <w:rPr>
          <w:rFonts w:hint="eastAsia" w:ascii="宋体" w:hAnsi="宋体" w:eastAsia="宋体" w:cs="Times New Roman"/>
          <w:color w:val="auto"/>
          <w:sz w:val="24"/>
        </w:rPr>
        <w:t>委托加工的应税消费品，除受托方为个人外，由受托方在向委托方交货时代收代缴税款。委托加工的应税消费品，委托方用于连续生产应税消费品的，所纳税款准予按规定抵扣。</w:t>
      </w:r>
    </w:p>
    <w:p>
      <w:pPr>
        <w:numPr>
          <w:ilvl w:val="0"/>
          <w:numId w:val="0"/>
        </w:numPr>
        <w:spacing w:line="578" w:lineRule="exact"/>
        <w:ind w:firstLine="472" w:firstLineChars="200"/>
        <w:rPr>
          <w:rFonts w:hint="eastAsia" w:ascii="宋体" w:hAnsi="宋体" w:eastAsia="宋体" w:cs="Times New Roman"/>
          <w:color w:val="auto"/>
          <w:sz w:val="24"/>
          <w:lang w:eastAsia="zh-CN"/>
        </w:rPr>
      </w:pPr>
      <w:r>
        <w:rPr>
          <w:rFonts w:hint="eastAsia" w:ascii="宋体" w:hAnsi="宋体" w:eastAsia="宋体" w:cs="Times New Roman"/>
          <w:color w:val="auto"/>
          <w:sz w:val="24"/>
        </w:rPr>
        <w:t>进口的应税消费品，于报关进口时纳税。</w:t>
      </w:r>
      <w:r>
        <w:rPr>
          <w:rFonts w:hint="eastAsia" w:cs="Times New Roman"/>
          <w:color w:val="auto"/>
          <w:sz w:val="24"/>
          <w:lang w:eastAsia="zh-CN"/>
        </w:rPr>
        <w:t>”</w:t>
      </w:r>
    </w:p>
    <w:p>
      <w:pPr>
        <w:numPr>
          <w:ilvl w:val="0"/>
          <w:numId w:val="0"/>
        </w:numPr>
        <w:spacing w:line="578" w:lineRule="exact"/>
        <w:ind w:leftChars="200"/>
        <w:rPr>
          <w:rFonts w:hint="eastAsia" w:ascii="宋体" w:hAnsi="宋体" w:eastAsia="宋体" w:cs="Times New Roman"/>
          <w:color w:val="auto"/>
          <w:sz w:val="24"/>
        </w:rPr>
      </w:pPr>
      <w:r>
        <w:rPr>
          <w:rFonts w:hint="eastAsia" w:cs="Times New Roman"/>
          <w:color w:val="auto"/>
          <w:sz w:val="24"/>
          <w:lang w:val="en-US" w:eastAsia="zh-CN"/>
        </w:rPr>
        <w:t>3.</w:t>
      </w:r>
      <w:r>
        <w:rPr>
          <w:rFonts w:hint="eastAsia" w:ascii="宋体" w:hAnsi="宋体" w:eastAsia="宋体" w:cs="Times New Roman"/>
          <w:color w:val="auto"/>
          <w:sz w:val="24"/>
        </w:rPr>
        <w:t>《中华人民共和国税收征收管理法实施细则》第七十八条、第七十九条</w:t>
      </w:r>
    </w:p>
    <w:p>
      <w:pPr>
        <w:numPr>
          <w:ilvl w:val="0"/>
          <w:numId w:val="0"/>
        </w:numPr>
        <w:spacing w:line="578" w:lineRule="exact"/>
        <w:ind w:firstLine="472" w:firstLineChars="200"/>
        <w:rPr>
          <w:rFonts w:hint="default" w:ascii="宋体" w:hAnsi="宋体" w:eastAsia="宋体" w:cs="Times New Roman"/>
          <w:color w:val="auto"/>
          <w:sz w:val="24"/>
        </w:rPr>
      </w:pPr>
      <w:r>
        <w:rPr>
          <w:rFonts w:hint="default" w:cs="Times New Roman"/>
          <w:color w:val="auto"/>
          <w:sz w:val="24"/>
          <w:lang w:val="en-US" w:eastAsia="zh-CN"/>
        </w:rPr>
        <w:t>“</w:t>
      </w:r>
      <w:r>
        <w:rPr>
          <w:rFonts w:hint="eastAsia" w:ascii="宋体" w:hAnsi="宋体" w:eastAsia="宋体" w:cs="Times New Roman"/>
          <w:color w:val="auto"/>
          <w:sz w:val="24"/>
        </w:rPr>
        <w:t>第七十八条税务机关发现纳税人多缴税款的，应当自发现之日起10日内办理退还手续；纳税人发现多缴税款，要求退还的，税务机关应当自接到纳税人退还申请之日起30日内查实并办理退还手续。</w:t>
      </w:r>
    </w:p>
    <w:p>
      <w:pPr>
        <w:spacing w:line="578" w:lineRule="exact"/>
        <w:ind w:firstLine="472" w:firstLineChars="200"/>
        <w:rPr>
          <w:rFonts w:hint="default" w:ascii="宋体" w:hAnsi="宋体" w:eastAsia="宋体" w:cs="Times New Roman"/>
          <w:color w:val="auto"/>
          <w:sz w:val="24"/>
        </w:rPr>
      </w:pPr>
      <w:r>
        <w:rPr>
          <w:rFonts w:hint="eastAsia" w:ascii="宋体" w:hAnsi="宋体" w:eastAsia="宋体" w:cs="Times New Roman"/>
          <w:color w:val="auto"/>
          <w:sz w:val="24"/>
        </w:rPr>
        <w:t>税收征管法第五十一条规定的加算银行同期存款利息的多缴税款退税，不包括依法预缴税款形成的结算退税、出口退税和各种减免退税。</w:t>
      </w:r>
    </w:p>
    <w:p>
      <w:pPr>
        <w:spacing w:line="578" w:lineRule="exact"/>
        <w:ind w:firstLine="472" w:firstLineChars="200"/>
        <w:rPr>
          <w:rFonts w:hint="default" w:ascii="宋体" w:hAnsi="宋体" w:eastAsia="宋体" w:cs="Times New Roman"/>
          <w:color w:val="auto"/>
          <w:sz w:val="24"/>
        </w:rPr>
      </w:pPr>
      <w:r>
        <w:rPr>
          <w:rFonts w:hint="eastAsia" w:ascii="宋体" w:hAnsi="宋体" w:eastAsia="宋体" w:cs="Times New Roman"/>
          <w:color w:val="auto"/>
          <w:sz w:val="24"/>
        </w:rPr>
        <w:t>退税利息按照税务机关办理退税手续当天中国人民银行规定的活期存款利率计算。</w:t>
      </w:r>
    </w:p>
    <w:p>
      <w:pPr>
        <w:spacing w:line="578" w:lineRule="exact"/>
        <w:ind w:firstLine="472" w:firstLineChars="20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第七十九条当纳税人既有应退税款又有欠缴税款的，税务机关可以将应退税款和利息先抵扣欠缴税款；抵扣后有余额的，退还纳税人。</w:t>
      </w:r>
      <w:r>
        <w:rPr>
          <w:rFonts w:hint="default" w:cs="Times New Roman"/>
          <w:color w:val="auto"/>
          <w:sz w:val="24"/>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line="280" w:lineRule="exact"/>
              <w:ind w:firstLine="0" w:firstLineChars="0"/>
              <w:jc w:val="center"/>
              <w:rPr>
                <w:rFonts w:cs="宋体"/>
                <w:color w:val="auto"/>
                <w:kern w:val="0"/>
                <w:sz w:val="18"/>
                <w:szCs w:val="18"/>
              </w:rPr>
            </w:pPr>
            <w:r>
              <w:rPr>
                <w:rFonts w:ascii="宋体" w:hAnsi="宋体" w:cs="微软雅黑"/>
                <w:color w:val="auto"/>
                <w:sz w:val="18"/>
                <w:szCs w:val="18"/>
              </w:rPr>
              <w:t>1</w:t>
            </w:r>
          </w:p>
        </w:tc>
        <w:tc>
          <w:tcPr>
            <w:tcW w:w="2551" w:type="dxa"/>
            <w:shd w:val="clear" w:color="auto" w:fill="auto"/>
            <w:vAlign w:val="center"/>
          </w:tcPr>
          <w:p>
            <w:pPr>
              <w:widowControl/>
              <w:spacing w:line="280" w:lineRule="exact"/>
              <w:ind w:firstLine="352" w:firstLineChars="200"/>
              <w:jc w:val="left"/>
              <w:rPr>
                <w:rFonts w:cs="宋体"/>
                <w:color w:val="auto"/>
                <w:kern w:val="0"/>
                <w:sz w:val="18"/>
                <w:szCs w:val="18"/>
              </w:rPr>
            </w:pPr>
            <w:r>
              <w:rPr>
                <w:rFonts w:hint="eastAsia" w:cs="宋体"/>
                <w:color w:val="auto"/>
                <w:kern w:val="0"/>
                <w:sz w:val="18"/>
                <w:szCs w:val="18"/>
              </w:rPr>
              <w:t>《用于生产乙烯、芳烃类化工产品的石脑油、燃料油消费税应退税额计算表》</w:t>
            </w:r>
          </w:p>
        </w:tc>
        <w:tc>
          <w:tcPr>
            <w:tcW w:w="709"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asciiTheme="minorEastAsia" w:hAnsiTheme="minorEastAsia"/>
                <w:color w:val="auto"/>
                <w:sz w:val="18"/>
                <w:szCs w:val="18"/>
              </w:rPr>
              <w:t>2</w:t>
            </w:r>
          </w:p>
        </w:tc>
        <w:tc>
          <w:tcPr>
            <w:tcW w:w="992" w:type="dxa"/>
            <w:shd w:val="clear" w:color="auto" w:fill="auto"/>
            <w:vAlign w:val="center"/>
          </w:tcPr>
          <w:p>
            <w:pPr>
              <w:pStyle w:val="1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352" w:firstLineChars="200"/>
              <w:jc w:val="left"/>
              <w:rPr>
                <w:rFonts w:cs="宋体"/>
                <w:color w:val="auto"/>
                <w:kern w:val="0"/>
                <w:sz w:val="18"/>
                <w:szCs w:val="18"/>
              </w:rPr>
            </w:pPr>
            <w:r>
              <w:rPr>
                <w:rFonts w:hint="eastAsia" w:cs="宋体"/>
                <w:color w:val="auto"/>
                <w:kern w:val="0"/>
                <w:sz w:val="18"/>
                <w:szCs w:val="18"/>
              </w:rPr>
              <w:t>上月进口地海关受理的《石脑油、燃料油生产、外购、耗用、库存月度统计表》</w:t>
            </w:r>
          </w:p>
        </w:tc>
        <w:tc>
          <w:tcPr>
            <w:tcW w:w="709" w:type="dxa"/>
            <w:shd w:val="clear" w:color="auto" w:fill="auto"/>
            <w:vAlign w:val="center"/>
          </w:tcPr>
          <w:p>
            <w:pPr>
              <w:pStyle w:val="13"/>
              <w:widowControl/>
              <w:spacing w:line="280" w:lineRule="exact"/>
              <w:ind w:firstLine="0" w:firstLineChars="0"/>
              <w:jc w:val="center"/>
              <w:rPr>
                <w:rFonts w:cs="宋体"/>
                <w:color w:val="auto"/>
                <w:kern w:val="0"/>
                <w:sz w:val="18"/>
                <w:szCs w:val="18"/>
              </w:rPr>
            </w:pPr>
            <w:r>
              <w:rPr>
                <w:rStyle w:val="17"/>
                <w:rFonts w:hint="eastAsia" w:cs="微软雅黑" w:asciiTheme="minorEastAsia" w:hAnsiTheme="minorEastAsia" w:eastAsiaTheme="minorEastAsia"/>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使用企业初次向主管税务机关申请进口消费税退税的，如前期已向海关申请办理过退税事项的报送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0"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3</w:t>
            </w:r>
          </w:p>
        </w:tc>
        <w:tc>
          <w:tcPr>
            <w:tcW w:w="2551"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《石脑油、燃料油消费税退税资格备案表》</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2</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4</w:t>
            </w:r>
          </w:p>
        </w:tc>
        <w:tc>
          <w:tcPr>
            <w:tcW w:w="2551"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省级或以上安全生产监督管理部门颁发的危险化学品《安全生产许可证》复印件，由纳税人在复印件上签署“与原件一致”并加盖公章</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5</w:t>
            </w:r>
          </w:p>
        </w:tc>
        <w:tc>
          <w:tcPr>
            <w:tcW w:w="2551" w:type="dxa"/>
            <w:shd w:val="clear" w:color="auto" w:fill="auto"/>
            <w:vAlign w:val="center"/>
          </w:tcPr>
          <w:p>
            <w:pPr>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石脑油、燃料油用于生产乙烯、芳烃类化工产品的工艺设计方案、装置工艺流程以及相关生产设备情况复印件，由纳税人在复印件上签署“与原件一致”并加盖公章</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6</w:t>
            </w:r>
          </w:p>
        </w:tc>
        <w:tc>
          <w:tcPr>
            <w:tcW w:w="2551" w:type="dxa"/>
            <w:shd w:val="clear" w:color="auto" w:fill="auto"/>
            <w:vAlign w:val="center"/>
          </w:tcPr>
          <w:p>
            <w:pPr>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石脑油、燃料油用于生产乙烯、芳烃类化工产品的物料平衡图复印件，要求标注每套生产装置的投入产出比例及年处理能力，由纳税人在复印件上签署“与原件一致”并加盖公章</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7</w:t>
            </w:r>
          </w:p>
        </w:tc>
        <w:tc>
          <w:tcPr>
            <w:tcW w:w="2551" w:type="dxa"/>
            <w:shd w:val="clear" w:color="auto" w:fill="auto"/>
            <w:vAlign w:val="center"/>
          </w:tcPr>
          <w:p>
            <w:pPr>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原料储罐、产成品储罐和产成品仓库的分布图、用途、储存容量的相关资料复印件，由纳税人在复印件上签署“与原件一致”并加盖公章</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8</w:t>
            </w:r>
          </w:p>
        </w:tc>
        <w:tc>
          <w:tcPr>
            <w:tcW w:w="2551"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乙烯、芳烃类化工产品生产装置的全部流量计的安装位置图和计量方法说明复印件，以及原材料密度的测量和计算方法说明复印件，由纳税人在复印件上签署“与原件一致”并加盖公章</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9</w:t>
            </w:r>
          </w:p>
        </w:tc>
        <w:tc>
          <w:tcPr>
            <w:tcW w:w="2551" w:type="dxa"/>
            <w:shd w:val="clear" w:color="auto" w:fill="auto"/>
            <w:vAlign w:val="center"/>
          </w:tcPr>
          <w:p>
            <w:pPr>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上一年度用石脑油、燃料油生产乙烯、芳烃类化工产品的分品种的销售明细表</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spacing w:line="280" w:lineRule="exact"/>
              <w:ind w:firstLine="352" w:firstLineChars="200"/>
              <w:jc w:val="center"/>
              <w:rPr>
                <w:rFonts w:cs="宋体"/>
                <w:color w:val="auto"/>
                <w:kern w:val="0"/>
                <w:sz w:val="18"/>
                <w:szCs w:val="18"/>
              </w:rPr>
            </w:pPr>
            <w:r>
              <w:rPr>
                <w:rFonts w:hint="eastAsia" w:cs="宋体"/>
                <w:color w:val="auto"/>
                <w:kern w:val="0"/>
                <w:sz w:val="18"/>
                <w:szCs w:val="18"/>
              </w:rPr>
              <w:t>首次办理时或条件发生变化时需提供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ascii="宋体" w:hAnsi="宋体" w:cs="微软雅黑"/>
                <w:color w:val="auto"/>
                <w:sz w:val="18"/>
                <w:szCs w:val="18"/>
              </w:rPr>
              <w:t>10</w:t>
            </w:r>
          </w:p>
        </w:tc>
        <w:tc>
          <w:tcPr>
            <w:tcW w:w="2551" w:type="dxa"/>
            <w:shd w:val="clear" w:color="auto" w:fill="auto"/>
            <w:vAlign w:val="center"/>
          </w:tcPr>
          <w:p>
            <w:pPr>
              <w:spacing w:line="280" w:lineRule="exact"/>
              <w:jc w:val="left"/>
              <w:rPr>
                <w:rFonts w:cs="宋体"/>
                <w:color w:val="auto"/>
                <w:kern w:val="0"/>
                <w:sz w:val="18"/>
                <w:szCs w:val="18"/>
              </w:rPr>
            </w:pPr>
            <w:r>
              <w:rPr>
                <w:rFonts w:hint="eastAsia" w:cs="宋体"/>
                <w:color w:val="auto"/>
                <w:kern w:val="0"/>
                <w:sz w:val="18"/>
                <w:szCs w:val="18"/>
              </w:rPr>
              <w:t>由于特殊情况不能退至纳税人、扣缴义务人原缴</w:t>
            </w:r>
          </w:p>
          <w:p>
            <w:pPr>
              <w:spacing w:line="280" w:lineRule="exact"/>
              <w:jc w:val="left"/>
              <w:rPr>
                <w:rFonts w:hint="eastAsia" w:cs="宋体"/>
                <w:color w:val="auto"/>
                <w:kern w:val="0"/>
                <w:sz w:val="18"/>
                <w:szCs w:val="18"/>
              </w:rPr>
            </w:pPr>
            <w:r>
              <w:rPr>
                <w:rFonts w:hint="eastAsia" w:cs="宋体"/>
                <w:color w:val="auto"/>
                <w:kern w:val="0"/>
                <w:sz w:val="18"/>
                <w:szCs w:val="18"/>
              </w:rPr>
              <w:t>款账户的书面说明，相关证明资料，和指定接受退税的账户及接受退税单位（人）名称的资料</w:t>
            </w:r>
          </w:p>
        </w:tc>
        <w:tc>
          <w:tcPr>
            <w:tcW w:w="709"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Style w:val="17"/>
                <w:rFonts w:ascii="宋体" w:hAnsi="宋体" w:cs="微软雅黑"/>
                <w:b w:val="0"/>
                <w:color w:val="auto"/>
                <w:sz w:val="18"/>
                <w:szCs w:val="18"/>
              </w:rPr>
              <w:t>1</w:t>
            </w:r>
          </w:p>
        </w:tc>
        <w:tc>
          <w:tcPr>
            <w:tcW w:w="992" w:type="dxa"/>
            <w:shd w:val="clear" w:color="auto" w:fill="auto"/>
            <w:vAlign w:val="center"/>
          </w:tcPr>
          <w:p>
            <w:pPr>
              <w:pStyle w:val="13"/>
              <w:widowControl/>
              <w:spacing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spacing w:line="280" w:lineRule="exact"/>
              <w:jc w:val="center"/>
              <w:rPr>
                <w:rFonts w:cs="宋体"/>
                <w:color w:val="auto"/>
                <w:kern w:val="0"/>
                <w:sz w:val="18"/>
                <w:szCs w:val="18"/>
              </w:rPr>
            </w:pPr>
            <w:r>
              <w:rPr>
                <w:rFonts w:hint="eastAsia" w:cs="宋体"/>
                <w:color w:val="auto"/>
                <w:kern w:val="0"/>
                <w:sz w:val="18"/>
                <w:szCs w:val="18"/>
              </w:rPr>
              <w:t>因特殊情况不能退至纳税人、扣</w:t>
            </w:r>
          </w:p>
          <w:p>
            <w:pPr>
              <w:spacing w:line="280" w:lineRule="exact"/>
              <w:ind w:firstLine="352" w:firstLineChars="200"/>
              <w:jc w:val="center"/>
              <w:rPr>
                <w:rFonts w:cs="宋体"/>
                <w:color w:val="auto"/>
                <w:kern w:val="0"/>
                <w:sz w:val="18"/>
                <w:szCs w:val="18"/>
              </w:rPr>
            </w:pPr>
            <w:r>
              <w:rPr>
                <w:rFonts w:hint="eastAsia" w:cs="宋体"/>
                <w:color w:val="auto"/>
                <w:kern w:val="0"/>
                <w:sz w:val="18"/>
                <w:szCs w:val="18"/>
              </w:rPr>
              <w:t>缴义务人原缴款账户</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numPr>
          <w:ilvl w:val="0"/>
          <w:numId w:val="4"/>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170" o:spt="75" type="#_x0000_t75" style="height:211.9pt;width:438.8pt;" o:ole="t" filled="f" o:preferrelative="t" stroked="f" coordsize="21600,21600">
            <v:path/>
            <v:fill on="f" focussize="0,0"/>
            <v:stroke on="f"/>
            <v:imagedata r:id="rId11" o:title=""/>
            <o:lock v:ext="edit" aspectratio="t"/>
            <w10:wrap type="none"/>
            <w10:anchorlock/>
          </v:shape>
          <o:OLEObject Type="Embed" ProgID="Visio.Drawing.11" ShapeID="_x0000_i1170" DrawAspect="Content" ObjectID="_1468075725" r:id="rId10">
            <o:LockedField>false</o:LockedField>
          </o:OLEObject>
        </w:object>
      </w:r>
    </w:p>
    <w:p>
      <w:pPr>
        <w:pStyle w:val="3"/>
        <w:ind w:firstLine="552"/>
        <w:rPr>
          <w:rFonts w:hint="eastAsia"/>
          <w:color w:val="auto"/>
          <w:lang w:val="en-US" w:eastAsia="zh-CN"/>
        </w:rPr>
      </w:pPr>
      <w:r>
        <w:rPr>
          <w:rFonts w:hint="eastAsia"/>
          <w:color w:val="auto"/>
          <w:lang w:val="en-US" w:eastAsia="zh-CN"/>
        </w:rPr>
        <w:t>七、办理时限</w:t>
      </w:r>
    </w:p>
    <w:p>
      <w:pPr>
        <w:ind w:firstLine="471" w:firstLineChars="0"/>
        <w:rPr>
          <w:color w:val="auto"/>
        </w:rPr>
      </w:pPr>
      <w:r>
        <w:rPr>
          <w:rFonts w:hint="eastAsia"/>
          <w:color w:val="auto"/>
        </w:rPr>
        <w:t>资料齐全、符合法定形式的，税务机关受理后</w:t>
      </w:r>
      <w:r>
        <w:rPr>
          <w:rFonts w:hint="eastAsia" w:asciiTheme="minorEastAsia" w:hAnsiTheme="minorEastAsia"/>
          <w:color w:val="auto"/>
          <w:sz w:val="24"/>
          <w:szCs w:val="24"/>
        </w:rPr>
        <w:t>15个工作日</w:t>
      </w:r>
      <w:r>
        <w:rPr>
          <w:rFonts w:hint="eastAsia"/>
          <w:color w:val="auto"/>
        </w:rPr>
        <w:t>办结。</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1.A07086《用于生产乙烯、芳烃类化工产品的石脑油、燃料油消费税应退税额计算表》</w:t>
      </w:r>
    </w:p>
    <w:p>
      <w:pPr>
        <w:ind w:firstLine="471" w:firstLineChars="0"/>
        <w:rPr>
          <w:rFonts w:hint="default"/>
          <w:color w:val="auto"/>
          <w:lang w:val="en-US" w:eastAsia="zh-CN"/>
        </w:rPr>
      </w:pPr>
      <w:r>
        <w:rPr>
          <w:rFonts w:hint="eastAsia"/>
          <w:color w:val="auto"/>
          <w:lang w:val="en-US" w:eastAsia="zh-CN"/>
        </w:rPr>
        <w:t>2.A03037</w:t>
      </w:r>
      <w:r>
        <w:rPr>
          <w:rFonts w:hint="eastAsia"/>
          <w:color w:val="auto"/>
        </w:rPr>
        <w:t>《石脑油、燃料油消费税退税资格备案表》</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纳税人对报送资料的真实性和合法性承担责任。</w:t>
      </w:r>
    </w:p>
    <w:p>
      <w:pPr>
        <w:ind w:firstLine="471" w:firstLineChars="0"/>
        <w:rPr>
          <w:rFonts w:hint="eastAsia"/>
          <w:color w:val="auto"/>
          <w:lang w:val="en-US" w:eastAsia="zh-CN"/>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1" w:firstLineChars="0"/>
        <w:rPr>
          <w:rFonts w:hint="default"/>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1ECADD"/>
    <w:multiLevelType w:val="singleLevel"/>
    <w:tmpl w:val="D31ECADD"/>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1FA3059"/>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2019-10-31T05:10:22Z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