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16177"/>
      <w:r>
        <w:rPr>
          <w:rFonts w:hint="eastAsia" w:ascii="黑体" w:hAnsi="黑体"/>
          <w:color w:val="auto"/>
        </w:rPr>
        <w:t>1.2.9.3增值税税控系统专用设备注销发行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cs="Times New Roman"/>
          <w:color w:val="auto"/>
          <w:kern w:val="2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增值税税控系统专用设备注销发行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纳税人发生清税（注销）等涉及增值税税控系统专用设备需注销发行的，税务机关在增值税税控系统中注销纳税人发行信息档案。需收缴设备的，收缴纳税人税控设备。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numPr>
          <w:ilvl w:val="0"/>
          <w:numId w:val="4"/>
        </w:numPr>
        <w:wordWrap w:val="0"/>
        <w:spacing w:line="240" w:lineRule="auto"/>
        <w:ind w:firstLine="472"/>
        <w:rPr>
          <w:color w:val="auto"/>
        </w:rPr>
      </w:pPr>
      <w:r>
        <w:rPr>
          <w:color w:val="auto"/>
        </w:rPr>
        <w:t>《中华人民共和国税收征收管理法》第二十三条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“国家根据税收征收管理的需要，积极推广使用税控装置。纳税人应当按照规定安装、使用税控装置，不得损毁或者擅自改动税控装置。”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2.</w:t>
      </w:r>
      <w:r>
        <w:rPr>
          <w:rFonts w:ascii="宋体" w:hAnsi="宋体" w:eastAsia="宋体"/>
          <w:color w:val="auto"/>
          <w:kern w:val="2"/>
          <w:szCs w:val="22"/>
        </w:rPr>
        <w:t>《国家税务总局关于修订&lt;增值税专用发票使用规定&gt;的通知》（国税发〔</w:t>
      </w:r>
      <w:r>
        <w:rPr>
          <w:rFonts w:hint="eastAsia" w:ascii="宋体" w:hAnsi="宋体" w:eastAsia="宋体"/>
          <w:color w:val="auto"/>
          <w:kern w:val="2"/>
          <w:szCs w:val="22"/>
        </w:rPr>
        <w:t>2006</w:t>
      </w:r>
      <w:r>
        <w:rPr>
          <w:rFonts w:ascii="宋体" w:hAnsi="宋体" w:eastAsia="宋体"/>
          <w:color w:val="auto"/>
          <w:kern w:val="2"/>
          <w:szCs w:val="22"/>
        </w:rPr>
        <w:t>〕</w:t>
      </w:r>
      <w:r>
        <w:rPr>
          <w:rFonts w:hint="eastAsia" w:ascii="宋体" w:hAnsi="宋体" w:eastAsia="宋体"/>
          <w:color w:val="auto"/>
          <w:kern w:val="2"/>
          <w:szCs w:val="22"/>
        </w:rPr>
        <w:t>156</w:t>
      </w:r>
      <w:r>
        <w:rPr>
          <w:rFonts w:ascii="宋体" w:hAnsi="宋体" w:eastAsia="宋体"/>
          <w:color w:val="auto"/>
          <w:kern w:val="2"/>
          <w:szCs w:val="22"/>
        </w:rPr>
        <w:t>号）第三条、第二十三条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“第三条一般纳税人应通过增值税防伪税控系统（以下简称防伪税控系统）使用专用发票。使用，包括领购、开具、缴销、认证纸质专用发票及其相应的数据电文。</w:t>
      </w:r>
    </w:p>
    <w:p>
      <w:pPr>
        <w:pStyle w:val="13"/>
        <w:widowControl/>
        <w:spacing w:beforeAutospacing="0" w:afterAutospacing="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本规定所称防伪税控系统，是指经国务院同意推行的，使用专用设备和通用设备、运用数字密码和电子存储技术管理专用发票的计算机管理系统。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本规定所称专用设备，是指金税卡、IC卡、读卡器和其他设备。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本规定所称通用设备，是指计算机、打印机、扫描器具和其他设备。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第二十三条一般纳税人注销税务登记或者转为小规模纳税人，应将专用设备和结存未用的纸质专用发票送交主管税务机关。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主管税务机关应缴销其专用发票，并按有关安全管理的要求处理专用设备。”</w:t>
      </w:r>
    </w:p>
    <w:p>
      <w:pPr>
        <w:wordWrap w:val="0"/>
        <w:spacing w:line="240" w:lineRule="auto"/>
        <w:ind w:firstLine="472"/>
        <w:rPr>
          <w:color w:val="auto"/>
        </w:rPr>
      </w:pPr>
      <w:r>
        <w:rPr>
          <w:rFonts w:hint="eastAsia"/>
          <w:color w:val="auto"/>
        </w:rPr>
        <w:t>3.</w:t>
      </w:r>
      <w:r>
        <w:rPr>
          <w:color w:val="auto"/>
        </w:rPr>
        <w:t>《国家</w:t>
      </w:r>
      <w:r>
        <w:rPr>
          <w:rFonts w:hint="eastAsia"/>
          <w:color w:val="auto"/>
        </w:rPr>
        <w:t>税务总局关于统一小规模纳税人标准等若干增值税问题的公告》（国家税务总局公告2018年第18号）第六条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“转登记纳税人可以继续使用现有税控设备开具增值税发票，不需要缴销税控设备和增值税发票。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　　转登记纳税人自转登记日的下期起，发生增值税应税销售行为，应当按照征收率开具增值税发票;转登记日前已作增值税专用发票票种核定的，继续通过增值税发票管理系统自行开具增值税专用发票；销售其取得的不动产，需要开具增值税专用发票的，应当按照有关规定向税务机关申请代开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309"/>
        <w:gridCol w:w="951"/>
        <w:gridCol w:w="1044"/>
        <w:gridCol w:w="975"/>
        <w:gridCol w:w="1335"/>
        <w:gridCol w:w="10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3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3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《清税申报表》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纳税人因清税（注销）而注销发行税控设备的，报送的资料为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《清税申报表》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3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税控设备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经办人身份证件</w:t>
            </w:r>
          </w:p>
        </w:tc>
        <w:tc>
          <w:tcPr>
            <w:tcW w:w="9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5"/>
        </w:numPr>
        <w:ind w:firstLine="552"/>
        <w:rPr>
          <w:color w:val="auto"/>
        </w:rPr>
      </w:pPr>
      <w:r>
        <w:rPr>
          <w:color w:val="auto"/>
        </w:rPr>
        <w:t>办理流程</w:t>
      </w: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color w:val="auto"/>
        </w:rPr>
        <w:object>
          <v:shape id="_x0000_i1082" o:spt="75" type="#_x0000_t75" style="height:97.1pt;width:325.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82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1.A01060《清税申报表》(A01060《清税申报表》（填写样例）)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</w:rPr>
        <w:t>1.注销报税后在增值税税控系统中将纳税人发行信息档案注销，纳税服务部门经办人收缴税控设备，经部门负责人确认后，转下一环节。</w:t>
      </w:r>
    </w:p>
    <w:p>
      <w:pPr>
        <w:ind w:firstLine="472"/>
        <w:rPr>
          <w:color w:val="auto"/>
        </w:rPr>
      </w:pPr>
      <w:r>
        <w:rPr>
          <w:rFonts w:hint="eastAsia"/>
          <w:bCs/>
          <w:color w:val="auto"/>
          <w:szCs w:val="32"/>
        </w:rPr>
        <w:t>2.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3.最多跑一次是在资料完整且符合法定受理条件的前提下，最多只需要到税务机关跑一次。</w:t>
      </w:r>
    </w:p>
    <w:p>
      <w:pPr>
        <w:ind w:firstLine="472"/>
        <w:rPr>
          <w:bCs/>
          <w:color w:val="auto"/>
          <w:szCs w:val="32"/>
        </w:rPr>
      </w:pPr>
      <w:r>
        <w:rPr>
          <w:rFonts w:hint="eastAsia"/>
          <w:color w:val="auto"/>
        </w:rPr>
        <w:t>4.</w:t>
      </w:r>
      <w:r>
        <w:rPr>
          <w:rFonts w:hint="eastAsia"/>
          <w:bCs/>
          <w:color w:val="auto"/>
          <w:szCs w:val="32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3F4AE3"/>
    <w:multiLevelType w:val="singleLevel"/>
    <w:tmpl w:val="EA3F4AE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3BD26D"/>
    <w:multiLevelType w:val="singleLevel"/>
    <w:tmpl w:val="FF3BD2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0925FB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2019-10-31T03:43:33Z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