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20244"/>
      <w:r>
        <w:rPr>
          <w:rFonts w:hint="eastAsia" w:ascii="黑体" w:hAnsi="黑体"/>
          <w:color w:val="auto"/>
        </w:rPr>
        <w:t>2.2.1.6对采取实际利润额预缴以外的其他企业所得税预缴方式的核定</w:t>
      </w:r>
      <w:bookmarkEnd w:id="0"/>
    </w:p>
    <w:p>
      <w:pPr>
        <w:pStyle w:val="3"/>
        <w:ind w:firstLine="552"/>
        <w:rPr>
          <w:color w:val="auto"/>
        </w:rPr>
      </w:pPr>
      <w:r>
        <w:rPr>
          <w:color w:val="auto"/>
        </w:rPr>
        <w:t>一、事项名称</w:t>
      </w:r>
    </w:p>
    <w:p>
      <w:pPr>
        <w:ind w:firstLine="472"/>
        <w:rPr>
          <w:color w:val="auto"/>
        </w:rPr>
      </w:pPr>
      <w:r>
        <w:rPr>
          <w:rFonts w:hint="eastAsia"/>
          <w:color w:val="auto"/>
        </w:rPr>
        <w:t>对采取实际利润额预缴以外的其他企业所得税预缴方式的核定</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办结方式：限时办结</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网上办理：否</w:t>
      </w:r>
    </w:p>
    <w:p>
      <w:pPr>
        <w:pStyle w:val="47"/>
        <w:numPr>
          <w:ilvl w:val="0"/>
          <w:numId w:val="4"/>
        </w:numPr>
        <w:ind w:firstLineChars="0"/>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eastAsia="黑体" w:asciiTheme="majorHAnsi" w:hAnsiTheme="majorHAnsi" w:cstheme="majorBidi"/>
          <w:bCs/>
          <w:color w:val="auto"/>
          <w:kern w:val="2"/>
          <w:sz w:val="28"/>
          <w:szCs w:val="32"/>
          <w:lang w:val="en-US" w:eastAsia="zh-CN" w:bidi="ar-SA"/>
        </w:rPr>
        <w:t>办理条件</w:t>
      </w:r>
    </w:p>
    <w:p>
      <w:pPr>
        <w:ind w:firstLine="472"/>
        <w:rPr>
          <w:color w:val="auto"/>
        </w:rPr>
      </w:pPr>
      <w:r>
        <w:rPr>
          <w:rFonts w:hint="eastAsia"/>
          <w:color w:val="auto"/>
        </w:rPr>
        <w:t>根据《中华人民共和国企业所得税法实施条例》第</w:t>
      </w:r>
      <w:r>
        <w:rPr>
          <w:color w:val="auto"/>
        </w:rPr>
        <w:t>128条，企业所得税分月或分季预缴，由税务机关具体核定。企业根据企业所得税法第54条规定分月或者分季预缴企业所得税时，应当按照月度或者季度的实际利润额预缴；按照月度或者季度的实际利润额预缴有困难的，可以按照上一纳税年度应纳税所得额的月度或者季度平均额预缴，或者按照经税务机关认可的其他方法预缴。</w:t>
      </w:r>
    </w:p>
    <w:p>
      <w:pPr>
        <w:ind w:firstLine="472"/>
        <w:rPr>
          <w:color w:val="auto"/>
        </w:rPr>
      </w:pPr>
      <w:r>
        <w:rPr>
          <w:rFonts w:hint="eastAsia"/>
          <w:color w:val="auto"/>
        </w:rPr>
        <w:t>对采取实际利润额预缴以外的其他企业所得税预缴方式的核定，需经行政许可。</w:t>
      </w:r>
    </w:p>
    <w:p>
      <w:pPr>
        <w:ind w:firstLine="472"/>
        <w:rPr>
          <w:color w:val="auto"/>
        </w:rPr>
      </w:pPr>
      <w:r>
        <w:rPr>
          <w:rFonts w:hint="eastAsia"/>
          <w:color w:val="auto"/>
        </w:rPr>
        <w:t>按月度预缴企业所得税的申请人应当于每年</w:t>
      </w:r>
      <w:r>
        <w:rPr>
          <w:color w:val="auto"/>
        </w:rPr>
        <w:t>1月31日前提出申请；按季度预缴企业所得税的申请人应当于每年3月31日前提出申请。</w:t>
      </w:r>
    </w:p>
    <w:p>
      <w:pPr>
        <w:pStyle w:val="3"/>
        <w:ind w:firstLine="552"/>
        <w:rPr>
          <w:color w:val="auto"/>
        </w:rPr>
      </w:pPr>
      <w:r>
        <w:rPr>
          <w:rFonts w:hint="eastAsia"/>
          <w:color w:val="auto"/>
        </w:rPr>
        <w:t>四、设定依据</w:t>
      </w:r>
    </w:p>
    <w:p>
      <w:pPr>
        <w:ind w:firstLine="472"/>
        <w:rPr>
          <w:rFonts w:hint="eastAsia" w:eastAsia="宋体"/>
          <w:color w:val="auto"/>
          <w:lang w:eastAsia="zh-CN"/>
        </w:rPr>
      </w:pPr>
      <w:r>
        <w:rPr>
          <w:rFonts w:hint="eastAsia"/>
          <w:color w:val="auto"/>
          <w:lang w:val="en-US" w:eastAsia="zh-CN"/>
        </w:rPr>
        <w:t>1.</w:t>
      </w:r>
      <w:r>
        <w:rPr>
          <w:rFonts w:hint="eastAsia"/>
          <w:color w:val="auto"/>
        </w:rPr>
        <w:t>《中华人民共和国企业所得税法实施条例》第一百二十七条第二款</w:t>
      </w:r>
    </w:p>
    <w:p>
      <w:pPr>
        <w:ind w:firstLine="472"/>
        <w:rPr>
          <w:color w:val="auto"/>
        </w:rPr>
      </w:pPr>
      <w:r>
        <w:rPr>
          <w:rFonts w:hint="eastAsia"/>
          <w:color w:val="auto"/>
        </w:rPr>
        <w:t>“企业根据企业所得税法第五十四条规定分月或者分季预缴企业所得税时，应当按照月度或者季度的实际利润额预缴；按照月度或者季度的实际利润额预缴有困难的，可以按照上一纳税年度应纳税所得额的月度或者季度平均额预缴，或者按照经税务机关认可的其他方法预缴。预缴方法一经确定，该纳税年度内不得随意变更。”</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《税务行政许可申请表》</w:t>
            </w:r>
          </w:p>
        </w:tc>
        <w:tc>
          <w:tcPr>
            <w:tcW w:w="709" w:type="dxa"/>
            <w:shd w:val="clear" w:color="auto" w:fill="auto"/>
            <w:vAlign w:val="center"/>
          </w:tcPr>
          <w:p>
            <w:pPr>
              <w:widowControl/>
              <w:spacing w:line="280" w:lineRule="exact"/>
              <w:ind w:firstLine="199" w:firstLineChars="113"/>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352"/>
              <w:rPr>
                <w:rFonts w:hint="eastAsia"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按照月度或者季度的实际利润额预缴确有困难的证明材料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经办人身份证件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4</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代理委托书</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代理人代为办理的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5</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代理人身份证件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代理人代为办理的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spacing w:line="240" w:lineRule="auto"/>
        <w:ind w:firstLine="0" w:firstLineChars="0"/>
        <w:rPr>
          <w:color w:val="auto"/>
        </w:rPr>
      </w:pPr>
      <w:r>
        <w:rPr>
          <w:color w:val="auto"/>
        </w:rPr>
        <w:object>
          <v:shape id="_x0000_i1154" o:spt="75" type="#_x0000_t75" style="height:114.75pt;width:330pt;" o:ole="t" filled="f" o:preferrelative="t" stroked="f" coordsize="21600,21600">
            <v:path/>
            <v:fill on="f" focussize="0,0"/>
            <v:stroke on="f" joinstyle="miter"/>
            <v:imagedata r:id="rId11" o:title=""/>
            <o:lock v:ext="edit" aspectratio="t"/>
            <w10:wrap type="none"/>
            <w10:anchorlock/>
          </v:shape>
          <o:OLEObject Type="Embed" ProgID="Visio.Drawing.11" ShapeID="_x0000_i1154" DrawAspect="Content" ObjectID="_1468075725" r:id="rId10">
            <o:LockedField>false</o:LockedField>
          </o:OLEObject>
        </w:object>
      </w:r>
    </w:p>
    <w:p>
      <w:pPr>
        <w:ind w:firstLine="0" w:firstLineChars="0"/>
        <w:rPr>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color w:val="auto"/>
        </w:rPr>
        <w:t>7</w:t>
      </w:r>
      <w:r>
        <w:rPr>
          <w:rFonts w:hint="eastAsia"/>
          <w:color w:val="auto"/>
        </w:rPr>
        <w:t>个工作日办结。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1.A13005《税务行政许可申请表》(A13005《税务行政许可申请表》（填写样例）)</w:t>
      </w:r>
    </w:p>
    <w:p>
      <w:pPr>
        <w:pStyle w:val="3"/>
        <w:ind w:firstLine="552"/>
        <w:rPr>
          <w:color w:val="auto"/>
        </w:rPr>
      </w:pPr>
      <w:r>
        <w:rPr>
          <w:rFonts w:hint="eastAsia"/>
          <w:color w:val="auto"/>
        </w:rPr>
        <w:t>九、注意事项</w:t>
      </w:r>
    </w:p>
    <w:p>
      <w:pPr>
        <w:pStyle w:val="13"/>
        <w:widowControl/>
        <w:spacing w:beforeAutospacing="0" w:afterAutospacing="0" w:line="578" w:lineRule="exact"/>
        <w:ind w:firstLine="632"/>
        <w:jc w:val="both"/>
        <w:rPr>
          <w:rFonts w:ascii="宋体" w:hAnsi="宋体" w:eastAsia="宋体"/>
          <w:color w:val="auto"/>
        </w:rPr>
      </w:pPr>
      <w:r>
        <w:rPr>
          <w:rFonts w:hint="eastAsia" w:ascii="宋体" w:hAnsi="宋体" w:eastAsia="宋体"/>
          <w:color w:val="auto"/>
        </w:rPr>
        <w:t>1.纳税服务部门应</w:t>
      </w:r>
      <w:r>
        <w:rPr>
          <w:rFonts w:ascii="宋体" w:hAnsi="宋体" w:eastAsia="宋体"/>
          <w:color w:val="auto"/>
        </w:rPr>
        <w:t>在</w:t>
      </w:r>
      <w:r>
        <w:rPr>
          <w:rFonts w:hint="eastAsia" w:ascii="宋体" w:hAnsi="宋体" w:eastAsia="宋体"/>
          <w:color w:val="auto"/>
        </w:rPr>
        <w:t>收到税务行政许可决定之日起</w:t>
      </w:r>
      <w:r>
        <w:rPr>
          <w:rFonts w:ascii="宋体" w:hAnsi="宋体" w:eastAsia="宋体"/>
          <w:color w:val="auto"/>
        </w:rPr>
        <w:t>7个工作日内，在办税服务厅或其他办税场所以及税务机关门户网站上公开税务许政许可决定。</w:t>
      </w:r>
    </w:p>
    <w:p>
      <w:pPr>
        <w:pStyle w:val="13"/>
        <w:widowControl/>
        <w:spacing w:beforeAutospacing="0" w:afterAutospacing="0" w:line="578" w:lineRule="exact"/>
        <w:ind w:firstLine="632"/>
        <w:jc w:val="both"/>
        <w:rPr>
          <w:rFonts w:ascii="宋体" w:hAnsi="宋体" w:eastAsia="宋体"/>
          <w:color w:val="auto"/>
        </w:rPr>
      </w:pPr>
      <w:r>
        <w:rPr>
          <w:rFonts w:hint="eastAsia" w:ascii="宋体" w:hAnsi="宋体" w:eastAsia="宋体"/>
          <w:color w:val="auto"/>
        </w:rPr>
        <w:t>2</w:t>
      </w:r>
      <w:r>
        <w:rPr>
          <w:rFonts w:ascii="宋体" w:hAnsi="宋体" w:eastAsia="宋体"/>
          <w:color w:val="auto"/>
        </w:rPr>
        <w:t>.纳税人对报送资料的真实性和合法性承担责任。</w:t>
      </w:r>
    </w:p>
    <w:p>
      <w:pPr>
        <w:pStyle w:val="13"/>
        <w:widowControl/>
        <w:spacing w:beforeAutospacing="0" w:afterAutospacing="0" w:line="578" w:lineRule="exact"/>
        <w:ind w:firstLine="632"/>
        <w:jc w:val="both"/>
        <w:rPr>
          <w:rFonts w:hint="eastAsia" w:ascii="宋体" w:hAnsi="宋体" w:eastAsia="宋体"/>
          <w:color w:val="auto"/>
        </w:rPr>
      </w:pPr>
      <w:r>
        <w:rPr>
          <w:rFonts w:ascii="宋体" w:hAnsi="宋体" w:eastAsia="宋体"/>
          <w:color w:val="auto"/>
        </w:rPr>
        <w:t>3.最多跑一次是在资料完整且符合法定受理条件的前提下，最多只需要到税务机关跑一次</w:t>
      </w:r>
      <w:r>
        <w:rPr>
          <w:rFonts w:hint="eastAsia" w:ascii="宋体" w:hAnsi="宋体" w:eastAsia="宋体"/>
          <w:color w:val="auto"/>
        </w:rPr>
        <w:t>。</w:t>
      </w:r>
    </w:p>
    <w:p>
      <w:pPr>
        <w:pStyle w:val="13"/>
        <w:widowControl/>
        <w:spacing w:beforeAutospacing="0" w:afterAutospacing="0" w:line="578" w:lineRule="exact"/>
        <w:ind w:firstLine="632"/>
        <w:jc w:val="both"/>
        <w:rPr>
          <w:rFonts w:hint="eastAsia" w:ascii="宋体" w:hAnsi="宋体" w:eastAsia="宋体"/>
          <w:color w:val="auto"/>
          <w:lang w:val="en-US" w:eastAsia="zh-CN"/>
        </w:rPr>
      </w:pPr>
      <w:r>
        <w:rPr>
          <w:rFonts w:hint="eastAsia" w:ascii="宋体" w:hAnsi="宋体" w:eastAsia="宋体"/>
          <w:color w:val="auto"/>
          <w:lang w:val="en-US" w:eastAsia="zh-CN"/>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5BC00C03"/>
    <w:multiLevelType w:val="multilevel"/>
    <w:tmpl w:val="5BC00C03"/>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875325"/>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2019-10-31T05:07:05Z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