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s="黑体"/>
          <w:color w:val="auto"/>
        </w:rPr>
      </w:pPr>
      <w:bookmarkStart w:id="1" w:name="_GoBack"/>
      <w:bookmarkEnd w:id="1"/>
      <w:bookmarkStart w:id="0" w:name="_Toc3080"/>
      <w:r>
        <w:rPr>
          <w:rFonts w:ascii="黑体" w:hAnsi="黑体" w:cs="黑体"/>
          <w:color w:val="auto"/>
        </w:rPr>
        <w:t>1.1.4.7.2跨区域涉税事项报验</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跨区域涉税事项报验</w:t>
      </w:r>
    </w:p>
    <w:p>
      <w:pPr>
        <w:pStyle w:val="3"/>
        <w:ind w:firstLine="552"/>
        <w:rPr>
          <w:color w:val="auto"/>
        </w:rPr>
      </w:pPr>
      <w:r>
        <w:rPr>
          <w:color w:val="auto"/>
        </w:rPr>
        <w:t>二、事项类别</w:t>
      </w:r>
    </w:p>
    <w:p>
      <w:pPr>
        <w:pStyle w:val="47"/>
        <w:numPr>
          <w:ilvl w:val="0"/>
          <w:numId w:val="3"/>
        </w:numPr>
        <w:ind w:firstLineChars="0"/>
        <w:rPr>
          <w:color w:val="auto"/>
        </w:rPr>
      </w:pPr>
      <w:r>
        <w:rPr>
          <w:color w:val="auto"/>
        </w:rPr>
        <w:t>发起方式：人工发起（纳税人）</w:t>
      </w:r>
    </w:p>
    <w:p>
      <w:pPr>
        <w:pStyle w:val="47"/>
        <w:numPr>
          <w:ilvl w:val="0"/>
          <w:numId w:val="3"/>
        </w:numPr>
        <w:ind w:firstLineChars="0"/>
        <w:rPr>
          <w:color w:val="auto"/>
        </w:rPr>
      </w:pPr>
      <w:r>
        <w:rPr>
          <w:color w:val="auto"/>
        </w:rPr>
        <w:t>办结方式：即办</w:t>
      </w:r>
    </w:p>
    <w:p>
      <w:pPr>
        <w:pStyle w:val="47"/>
        <w:numPr>
          <w:ilvl w:val="0"/>
          <w:numId w:val="3"/>
        </w:numPr>
        <w:ind w:firstLineChars="0"/>
        <w:rPr>
          <w:color w:val="auto"/>
        </w:rPr>
      </w:pPr>
      <w:r>
        <w:rPr>
          <w:color w:val="auto"/>
        </w:rPr>
        <w:t>全省通办：否</w:t>
      </w:r>
    </w:p>
    <w:p>
      <w:pPr>
        <w:pStyle w:val="47"/>
        <w:numPr>
          <w:ilvl w:val="0"/>
          <w:numId w:val="3"/>
        </w:numPr>
        <w:ind w:firstLineChars="0"/>
        <w:rPr>
          <w:color w:val="auto"/>
        </w:rPr>
      </w:pPr>
      <w:r>
        <w:rPr>
          <w:color w:val="auto"/>
        </w:rPr>
        <w:t>网上办理：是</w:t>
      </w:r>
    </w:p>
    <w:p>
      <w:pPr>
        <w:pStyle w:val="47"/>
        <w:numPr>
          <w:ilvl w:val="0"/>
          <w:numId w:val="3"/>
        </w:numPr>
        <w:ind w:firstLineChars="0"/>
        <w:rPr>
          <w:rFonts w:hint="eastAsia"/>
          <w:color w:val="auto"/>
        </w:rPr>
      </w:pPr>
      <w:r>
        <w:rPr>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eastAsia="黑体" w:asciiTheme="majorHAnsi" w:hAnsiTheme="majorHAnsi" w:cstheme="majorBidi"/>
          <w:bCs/>
          <w:color w:val="auto"/>
          <w:sz w:val="28"/>
          <w:szCs w:val="32"/>
          <w:lang w:eastAsia="zh-CN"/>
        </w:rPr>
        <w:t>办理条件</w:t>
      </w:r>
    </w:p>
    <w:p>
      <w:pPr>
        <w:ind w:firstLine="472"/>
        <w:rPr>
          <w:rFonts w:hint="eastAsia"/>
          <w:color w:val="auto"/>
        </w:rPr>
      </w:pPr>
      <w:r>
        <w:rPr>
          <w:rFonts w:hint="eastAsia"/>
          <w:color w:val="auto"/>
        </w:rPr>
        <w:t>1.纳税人首次在经营地办理涉税事宜时，向经营地的税务机关报验，并接受经营地税务机关的管理。经营地税务机关受理纳税人报验信息，反馈报验状态、报验时间、报验机关给机构所在地税务机关。</w:t>
      </w:r>
    </w:p>
    <w:p>
      <w:pPr>
        <w:ind w:firstLine="472"/>
        <w:rPr>
          <w:rFonts w:hint="eastAsia"/>
          <w:color w:val="auto"/>
        </w:rPr>
      </w:pPr>
      <w:r>
        <w:rPr>
          <w:rFonts w:hint="eastAsia"/>
          <w:color w:val="auto"/>
        </w:rPr>
        <w:t>2.对纳税人通过网上办理并打印的带有电子签章的《跨区域涉税事项报告表》，外出经营地主管税务机关应予以认可，及时办理报验。</w:t>
      </w:r>
    </w:p>
    <w:p>
      <w:pPr>
        <w:pStyle w:val="3"/>
        <w:ind w:firstLine="552"/>
        <w:rPr>
          <w:color w:val="auto"/>
        </w:rPr>
      </w:pPr>
      <w:r>
        <w:rPr>
          <w:rFonts w:hint="eastAsia"/>
          <w:color w:val="auto"/>
        </w:rPr>
        <w:t>四、设定依据</w:t>
      </w:r>
    </w:p>
    <w:p>
      <w:pPr>
        <w:ind w:firstLine="472"/>
        <w:rPr>
          <w:rFonts w:hint="eastAsia" w:eastAsia="宋体"/>
          <w:color w:val="auto"/>
          <w:lang w:eastAsia="zh-CN"/>
        </w:rPr>
      </w:pPr>
      <w:r>
        <w:rPr>
          <w:rFonts w:hint="eastAsia"/>
          <w:color w:val="auto"/>
        </w:rPr>
        <w:t>1.《中华人民共和国税收征收管理法实施细则》第二十一条</w:t>
      </w:r>
    </w:p>
    <w:p>
      <w:pPr>
        <w:ind w:firstLine="472"/>
        <w:rPr>
          <w:rFonts w:hint="eastAsia"/>
          <w:color w:val="auto"/>
        </w:rPr>
      </w:pPr>
      <w:r>
        <w:rPr>
          <w:rFonts w:hint="eastAsia"/>
          <w:color w:val="auto"/>
        </w:rPr>
        <w:t>“从事生产、经营的纳税人到外县（市）临时从事生产、经营活动的，应当持税务登记证副本和所在地税务机关填开的外出经营活动税收管理证明，向营业地税务机关报验登记，接受税务管理。从事生产、经营的纳税人外出经营，在同一地累计超过180天的，应当在营业地办理税务登记手续。”</w:t>
      </w:r>
    </w:p>
    <w:p>
      <w:pPr>
        <w:ind w:firstLine="472"/>
        <w:rPr>
          <w:rFonts w:hint="eastAsia" w:eastAsia="宋体"/>
          <w:color w:val="auto"/>
          <w:lang w:eastAsia="zh-CN"/>
        </w:rPr>
      </w:pPr>
      <w:r>
        <w:rPr>
          <w:rFonts w:hint="eastAsia"/>
          <w:color w:val="auto"/>
        </w:rPr>
        <w:t>2.《国家税务总局关于明确跨区域涉税事项报验管理相关问题的公告》（国家税务总局公告2018年第38号）第四条</w:t>
      </w:r>
    </w:p>
    <w:p>
      <w:pPr>
        <w:ind w:firstLine="472"/>
        <w:rPr>
          <w:rFonts w:hint="eastAsia"/>
          <w:color w:val="auto"/>
        </w:rPr>
      </w:pPr>
      <w:r>
        <w:rPr>
          <w:rFonts w:hint="eastAsia"/>
          <w:color w:val="auto"/>
        </w:rPr>
        <w:t>“纳税人首次在经营地办理涉税事宜时，向经营地的税务机关报验跨区域涉税事项。”</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ind w:firstLine="352"/>
              <w:jc w:val="center"/>
              <w:rPr>
                <w:rFonts w:ascii="宋体" w:hAnsi="宋体" w:eastAsia="宋体"/>
                <w:color w:val="auto"/>
                <w:sz w:val="18"/>
                <w:szCs w:val="18"/>
              </w:rPr>
            </w:pPr>
            <w:r>
              <w:rPr>
                <w:rFonts w:ascii="宋体" w:hAnsi="宋体" w:eastAsia="宋体" w:cs="微软雅黑"/>
                <w:color w:val="auto"/>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加载统一社会信用代码的营业执照副本（未换照的出示税务登记证副本），或加盖纳税人公章的副本复印件</w:t>
            </w:r>
          </w:p>
        </w:tc>
        <w:tc>
          <w:tcPr>
            <w:tcW w:w="709" w:type="dxa"/>
            <w:shd w:val="clear" w:color="auto" w:fill="auto"/>
            <w:vAlign w:val="center"/>
          </w:tcPr>
          <w:p>
            <w:pPr>
              <w:pStyle w:val="13"/>
              <w:widowControl/>
              <w:spacing w:before="100" w:beforeAutospacing="0" w:after="100" w:afterAutospacing="0" w:line="280" w:lineRule="exact"/>
              <w:jc w:val="center"/>
              <w:rPr>
                <w:rStyle w:val="17"/>
                <w:rFonts w:ascii="宋体" w:hAnsi="宋体" w:eastAsia="宋体" w:cs="微软雅黑"/>
                <w:b w:val="0"/>
                <w:bCs/>
                <w:color w:val="auto"/>
                <w:sz w:val="18"/>
                <w:szCs w:val="18"/>
              </w:rPr>
            </w:pPr>
            <w:r>
              <w:rPr>
                <w:rStyle w:val="17"/>
                <w:rFonts w:hint="eastAsia" w:ascii="宋体" w:hAnsi="宋体" w:eastAsia="宋体" w:cs="微软雅黑"/>
                <w:bCs/>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beforeAutospacing="0" w:after="100" w:afterAutospacing="0" w:line="280" w:lineRule="exact"/>
              <w:rPr>
                <w:rFonts w:ascii="宋体" w:hAnsi="宋体" w:eastAsia="宋体" w:cs="微软雅黑"/>
                <w:color w:val="auto"/>
                <w:sz w:val="18"/>
                <w:szCs w:val="18"/>
              </w:rPr>
            </w:pPr>
            <w:r>
              <w:rPr>
                <w:rFonts w:hint="eastAsia" w:ascii="宋体" w:hAnsi="宋体" w:eastAsia="宋体" w:cs="微软雅黑"/>
                <w:color w:val="auto"/>
                <w:sz w:val="18"/>
                <w:szCs w:val="18"/>
              </w:rPr>
              <w:t>未实行实名办税的纳税人提供</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微软雅黑"/>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ind w:left="472" w:firstLine="0" w:firstLineChars="0"/>
        <w:rPr>
          <w:color w:val="auto"/>
        </w:rPr>
      </w:pPr>
      <w:r>
        <w:rPr>
          <w:color w:val="auto"/>
        </w:rPr>
        <w:pict>
          <v:shape id="_x0000_s1034" o:spid="_x0000_s1034" o:spt="75" type="#_x0000_t75" style="position:absolute;left:0pt;margin-left:8.6pt;margin-top:16.6pt;height:104.45pt;width:439.3pt;mso-wrap-distance-bottom:0pt;mso-wrap-distance-left:9pt;mso-wrap-distance-right:9pt;mso-wrap-distance-top:0pt;z-index:251684864;mso-width-relative:page;mso-height-relative:page;" o:ole="t" filled="f" o:preferrelative="t" stroked="f" coordsize="21600,21600">
            <v:path/>
            <v:fill on="f" focussize="0,0"/>
            <v:stroke on="f" joinstyle="miter"/>
            <v:imagedata r:id="rId11" o:title=""/>
            <o:lock v:ext="edit" aspectratio="f"/>
            <w10:wrap type="square"/>
          </v:shape>
          <o:OLEObject Type="Embed" ProgID="Visio.Drawing.11" ShapeID="_x0000_s1034" DrawAspect="Content" ObjectID="_1468075725" r:id="rId10">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无。</w:t>
      </w:r>
    </w:p>
    <w:p>
      <w:pPr>
        <w:pStyle w:val="3"/>
        <w:ind w:firstLine="552"/>
        <w:rPr>
          <w:color w:val="auto"/>
        </w:rPr>
      </w:pPr>
      <w:r>
        <w:rPr>
          <w:rFonts w:hint="eastAsia"/>
          <w:color w:val="auto"/>
        </w:rPr>
        <w:t>九、注意事项</w:t>
      </w:r>
    </w:p>
    <w:p>
      <w:pPr>
        <w:ind w:firstLine="472"/>
        <w:rPr>
          <w:color w:val="auto"/>
        </w:rPr>
      </w:pPr>
      <w:r>
        <w:rPr>
          <w:rFonts w:hint="eastAsia"/>
          <w:color w:val="auto"/>
        </w:rPr>
        <w:t>1.纳税人对报送资料的真实性和合法性承担责任。</w:t>
      </w:r>
    </w:p>
    <w:p>
      <w:pPr>
        <w:ind w:firstLine="472"/>
        <w:jc w:val="left"/>
        <w:rPr>
          <w:rFonts w:hint="eastAsia"/>
          <w:color w:val="auto"/>
        </w:rPr>
      </w:pPr>
      <w:r>
        <w:rPr>
          <w:rFonts w:hint="eastAsia"/>
          <w:color w:val="auto"/>
        </w:rPr>
        <w:t>2.最多跑一次是在资料完整且符合法定受理条件的前提下，最多只需要到税务机关跑一次。</w:t>
      </w:r>
    </w:p>
    <w:p>
      <w:pPr>
        <w:ind w:firstLine="472"/>
        <w:jc w:val="left"/>
        <w:rPr>
          <w:color w:val="auto"/>
        </w:rPr>
      </w:pPr>
      <w:r>
        <w:rPr>
          <w:rFonts w:hint="eastAsia"/>
          <w:color w:val="auto"/>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1FE43664"/>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2019-10-31T03:33:09Z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