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31681"/>
      <w:r>
        <w:rPr>
          <w:rFonts w:hint="eastAsia" w:ascii="黑体" w:hAnsi="黑体" w:cstheme="minorBidi"/>
          <w:color w:val="auto"/>
        </w:rPr>
        <w:t>1.3.4.2.6多处经营所得个人所得税汇总年度申报</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多处经营所得个人所得税汇总年度申报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w:t>
      </w:r>
      <w:r>
        <w:rPr>
          <w:rFonts w:hint="eastAsia"/>
          <w:color w:val="auto"/>
          <w:lang w:val="en-US" w:eastAsia="zh-CN"/>
        </w:rPr>
        <w:t>办理条件</w:t>
      </w:r>
    </w:p>
    <w:p>
      <w:pPr>
        <w:ind w:firstLine="472"/>
        <w:rPr>
          <w:color w:val="auto"/>
        </w:rPr>
      </w:pPr>
      <w:r>
        <w:rPr>
          <w:rFonts w:hint="eastAsia"/>
          <w:color w:val="auto"/>
        </w:rPr>
        <w:t>多处经营所得个人所得税汇总年度申报是指个体工商户业主、个人独资企业投资人、合伙企业个人合伙人、承包承租经营者个人以及其他从事生产、经营活动的个人在中国境内两处以上取得经营所得的，应当在分别办理年度汇算清缴后，应当于取得所得的次年3月31日前，选择向其中一处经营管理所在地主管税务机关办理年度汇总纳税申报，并报送《个人所得税经营所得纳税申报表（Ｃ表）》。</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1.《中华人民共和国税收征收管理法》第二十五条第一款</w:t>
      </w:r>
    </w:p>
    <w:p>
      <w:pPr>
        <w:ind w:firstLine="472"/>
        <w:rPr>
          <w:rFonts w:hint="eastAsia"/>
          <w:color w:val="auto"/>
        </w:rPr>
      </w:pP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ind w:firstLine="472"/>
        <w:rPr>
          <w:rFonts w:hint="eastAsia"/>
          <w:color w:val="auto"/>
        </w:rPr>
      </w:pPr>
      <w:r>
        <w:rPr>
          <w:rFonts w:hint="eastAsia"/>
          <w:color w:val="auto"/>
        </w:rPr>
        <w:t>2.《中华人民共和国个人所得税法》第二条</w:t>
      </w:r>
    </w:p>
    <w:p>
      <w:pPr>
        <w:ind w:firstLine="472"/>
        <w:rPr>
          <w:rFonts w:hint="eastAsia"/>
          <w:color w:val="auto"/>
        </w:rPr>
      </w:pPr>
      <w:r>
        <w:rPr>
          <w:rFonts w:hint="eastAsia"/>
          <w:color w:val="auto"/>
        </w:rPr>
        <w:t>“第二条下列各项个人所得，应当缴纳个人所得税：</w:t>
      </w:r>
    </w:p>
    <w:p>
      <w:pPr>
        <w:ind w:firstLine="472"/>
        <w:rPr>
          <w:rFonts w:hint="eastAsia"/>
          <w:color w:val="auto"/>
        </w:rPr>
      </w:pPr>
      <w:r>
        <w:rPr>
          <w:rFonts w:hint="eastAsia"/>
          <w:color w:val="auto"/>
        </w:rPr>
        <w:t>（一）工资、薪金所得；（二）劳务报酬所得；（三）稿酬所得；（四）特许权使用费所得；（五）经营所得；（六）利息、股息、红利所得；（七）财产租赁所得；（八）财产转让所得；（九）偶然所得。</w:t>
      </w:r>
    </w:p>
    <w:p>
      <w:pPr>
        <w:ind w:firstLine="472"/>
        <w:rPr>
          <w:rFonts w:hint="eastAsia"/>
          <w:color w:val="auto"/>
        </w:rPr>
      </w:pPr>
      <w:r>
        <w:rPr>
          <w:rFonts w:hint="eastAsia"/>
          <w:color w:val="auto"/>
        </w:rPr>
        <w:t>居民个人取得前款第一项至第四项所得（以下称综合所得），按纳税年度合并计算个人所得税；非居民个人取得前款第一项至第四项所得，按月或者按次分项计算个人所得税。纳税人取得前款第五项至第九项所得，依照本法规定分别计算个人所得税。”</w:t>
      </w:r>
    </w:p>
    <w:p>
      <w:pPr>
        <w:ind w:firstLine="472"/>
        <w:rPr>
          <w:rFonts w:hint="eastAsia"/>
          <w:color w:val="auto"/>
        </w:rPr>
      </w:pPr>
      <w:r>
        <w:rPr>
          <w:rFonts w:hint="eastAsia"/>
          <w:color w:val="auto"/>
        </w:rPr>
        <w:t>3.《中华人民共和国个人所得税法实施条例》第十五条</w:t>
      </w:r>
    </w:p>
    <w:p>
      <w:pPr>
        <w:ind w:firstLine="472"/>
        <w:rPr>
          <w:rFonts w:hint="eastAsia"/>
          <w:color w:val="auto"/>
        </w:rPr>
      </w:pPr>
      <w:r>
        <w:rPr>
          <w:rFonts w:hint="eastAsia"/>
          <w:color w:val="auto"/>
        </w:rPr>
        <w:t>“第十五条个人所得税法第六条第一款第三项所称成本、费用，是指生产、经营活动中发生的各项直接支出和分配计入成本的间接费用以及销售费用、管理费用、财务费用；所称损失，是指生产、经营活动中发生的固定资产和存货的盘亏、毁损、报废损失，转让财产损失，坏账损失，自然灾害等不可抗力因素造成的损失以及其他损失。</w:t>
      </w:r>
    </w:p>
    <w:p>
      <w:pPr>
        <w:ind w:firstLine="472"/>
        <w:rPr>
          <w:rFonts w:hint="eastAsia"/>
          <w:color w:val="auto"/>
        </w:rPr>
      </w:pPr>
      <w:r>
        <w:rPr>
          <w:rFonts w:hint="eastAsia"/>
          <w:color w:val="auto"/>
        </w:rPr>
        <w:t>取得经营所得的个人，没有综合所得的，计算其每一纳税年度的应纳税所得额时，应当减除费用6万元、专项扣除、专项附加扣除以及依法确定的其他扣除。专项附加扣除在办理汇算清缴时减除。</w:t>
      </w:r>
    </w:p>
    <w:p>
      <w:pPr>
        <w:ind w:firstLine="472"/>
        <w:rPr>
          <w:rFonts w:hint="eastAsia" w:eastAsia="宋体"/>
          <w:color w:val="auto"/>
          <w:lang w:val="en-US" w:eastAsia="zh-CN"/>
        </w:rPr>
      </w:pPr>
      <w:r>
        <w:rPr>
          <w:rFonts w:hint="eastAsia"/>
          <w:color w:val="auto"/>
        </w:rPr>
        <w:t>从事生产、经营活动，未提供完整、准确的纳税资料，不能正确计算应纳税所得额的，由主管税务机关核定应纳税所得额或者应纳税额。</w:t>
      </w:r>
      <w:r>
        <w:rPr>
          <w:rFonts w:hint="default"/>
          <w:color w:val="auto"/>
          <w:lang w:val="en-US"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969"/>
        <w:gridCol w:w="850"/>
        <w:gridCol w:w="980"/>
        <w:gridCol w:w="158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196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8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8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1969"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《个人所得税经营所得纳税申报表（</w:t>
            </w:r>
            <w:r>
              <w:rPr>
                <w:rFonts w:cs="宋体"/>
                <w:color w:val="auto"/>
                <w:kern w:val="0"/>
                <w:sz w:val="18"/>
                <w:szCs w:val="18"/>
              </w:rPr>
              <w:t>C表）》</w:t>
            </w:r>
          </w:p>
        </w:tc>
        <w:tc>
          <w:tcPr>
            <w:tcW w:w="85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8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58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1969"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《个人所得税减免税事项报告表》</w:t>
            </w:r>
          </w:p>
        </w:tc>
        <w:tc>
          <w:tcPr>
            <w:tcW w:w="85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纳税人存在减免个人所得税情形</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color w:val="auto"/>
        </w:rPr>
        <w:object>
          <v:shape id="_x0000_i1098" o:spt="75" type="#_x0000_t75" style="height:101.3pt;width:378.75pt;" o:ole="t" filled="f" o:preferrelative="t" stroked="f" coordsize="21600,21600">
            <v:path/>
            <v:fill on="f" focussize="0,0"/>
            <v:stroke on="f"/>
            <v:imagedata r:id="rId11" o:title=""/>
            <o:lock v:ext="edit" aspectratio="t"/>
            <w10:wrap type="none"/>
            <w10:anchorlock/>
          </v:shape>
          <o:OLEObject Type="Embed" ProgID="Visio.Drawing.11" ShapeID="_x0000_i1098"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1.A06871《个人所得税经营所得纳税申报表（C表）》</w:t>
      </w:r>
    </w:p>
    <w:p>
      <w:pPr>
        <w:ind w:firstLine="472"/>
        <w:rPr>
          <w:rFonts w:hint="eastAsia"/>
          <w:color w:val="auto"/>
          <w:lang w:val="en-US" w:eastAsia="zh-CN"/>
        </w:rPr>
      </w:pPr>
      <w:r>
        <w:rPr>
          <w:rFonts w:hint="eastAsia"/>
          <w:color w:val="auto"/>
          <w:lang w:val="en-US" w:eastAsia="zh-CN"/>
        </w:rPr>
        <w:t>2.A06652《个人所得税减免税事项报告表》</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lang w:val="en-US" w:eastAsia="zh-CN"/>
        </w:rPr>
        <w:t>1.</w:t>
      </w:r>
      <w:r>
        <w:rPr>
          <w:rFonts w:hint="eastAsia"/>
          <w:color w:val="auto"/>
        </w:rPr>
        <w:t>纳税人在注销户籍年度取得经营所得的，应当在注销户籍前，办理当年经营所得的汇算清缴，并报送《个人所得税经营所得纳税申报表（B表）》。从两处以上取得经营所得的，还应当一并报送《个人所得税经营所得纳税申报表（C表）》。尚未办理上一年度经营所得汇算清缴的，应当在办理注销户籍纳税申报时一并办理。</w:t>
      </w:r>
    </w:p>
    <w:p>
      <w:pPr>
        <w:ind w:firstLine="472"/>
        <w:rPr>
          <w:color w:val="auto"/>
        </w:rPr>
      </w:pPr>
      <w:r>
        <w:rPr>
          <w:rFonts w:hint="eastAsia"/>
          <w:color w:val="auto"/>
          <w:lang w:val="en-US" w:eastAsia="zh-CN"/>
        </w:rPr>
        <w:t>2</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3</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D73343"/>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2019-10-31T06:23:16Z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