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30209"/>
      <w:r>
        <w:rPr>
          <w:rFonts w:hint="eastAsia" w:ascii="黑体" w:hAnsi="黑体"/>
          <w:color w:val="auto"/>
        </w:rPr>
        <w:t>1.3.17.8大中型水库移民后期扶持基金申报</w:t>
      </w:r>
      <w:bookmarkEnd w:id="0"/>
    </w:p>
    <w:p>
      <w:pPr>
        <w:pStyle w:val="3"/>
        <w:ind w:firstLine="552"/>
        <w:rPr>
          <w:color w:val="auto"/>
        </w:rPr>
      </w:pPr>
      <w:r>
        <w:rPr>
          <w:rFonts w:hint="eastAsia"/>
          <w:color w:val="auto"/>
        </w:rPr>
        <w:t>一、事项名称</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大中型水库移民后期扶持基金申报</w:t>
      </w:r>
    </w:p>
    <w:p>
      <w:pPr>
        <w:pStyle w:val="3"/>
        <w:ind w:firstLine="552"/>
        <w:rPr>
          <w:color w:val="auto"/>
        </w:rPr>
      </w:pPr>
      <w:r>
        <w:rPr>
          <w:rFonts w:hint="eastAsia"/>
          <w:color w:val="auto"/>
        </w:rPr>
        <w:t>二、事项类别</w:t>
      </w:r>
    </w:p>
    <w:p>
      <w:pPr>
        <w:pStyle w:val="47"/>
        <w:numPr>
          <w:ilvl w:val="0"/>
          <w:numId w:val="3"/>
        </w:numPr>
        <w:ind w:firstLineChars="0"/>
        <w:rPr>
          <w:color w:val="auto"/>
        </w:rPr>
      </w:pPr>
      <w:r>
        <w:rPr>
          <w:rFonts w:hint="eastAsia"/>
          <w:color w:val="auto"/>
        </w:rPr>
        <w:t>发起方式：人工发起（缴费人）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w:t>
      </w:r>
      <w:r>
        <w:rPr>
          <w:color w:val="auto"/>
        </w:rPr>
        <w:t>(</w:t>
      </w:r>
      <w:r>
        <w:rPr>
          <w:rFonts w:hint="eastAsia"/>
          <w:color w:val="auto"/>
        </w:rPr>
        <w:t>市、区</w:t>
      </w:r>
      <w:r>
        <w:rPr>
          <w:color w:val="auto"/>
        </w:rPr>
        <w:t>)</w:t>
      </w:r>
      <w:r>
        <w:rPr>
          <w:rFonts w:hint="eastAsia"/>
          <w:color w:val="auto"/>
        </w:rPr>
        <w:t>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缴费人依照非税收入法律、法规、规章及其他有关规定，向税务机关申报缴纳大中型水库移民后期扶持基金。</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缴费人按照有关规定履行大中型水库移民后期扶持基金缴费义务，采用自行申报方式，提供相关资料，填写《非税收入通用申报表》，办理申报缴纳等有关事项。符合减免政策的，缴费人自行申报享受，相关资料留存备查，并对资料的真实性和合法性承担责任。</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lang w:val="en-US" w:eastAsia="zh-CN"/>
        </w:rPr>
        <w:t>1.</w:t>
      </w:r>
      <w:r>
        <w:rPr>
          <w:rFonts w:hint="eastAsia"/>
          <w:color w:val="auto"/>
        </w:rPr>
        <w:t>《财政部关于将国家重大水利工程建设基金等政府非税收入项目划转税务部门征收的通知》（财税〔2018〕147号）</w:t>
      </w:r>
      <w:r>
        <w:rPr>
          <w:rFonts w:hint="eastAsia"/>
          <w:color w:val="auto"/>
          <w:lang w:eastAsia="zh-CN"/>
        </w:rPr>
        <w:t>全文</w:t>
      </w:r>
    </w:p>
    <w:p>
      <w:pPr>
        <w:ind w:firstLine="472"/>
        <w:rPr>
          <w:rFonts w:hint="eastAsia" w:eastAsia="宋体"/>
          <w:color w:val="auto"/>
          <w:lang w:eastAsia="zh-CN"/>
        </w:rPr>
      </w:pPr>
      <w:r>
        <w:rPr>
          <w:rFonts w:hint="eastAsia"/>
          <w:color w:val="auto"/>
          <w:lang w:val="en-US" w:eastAsia="zh-CN"/>
        </w:rPr>
        <w:t>2.</w:t>
      </w:r>
      <w:r>
        <w:rPr>
          <w:rFonts w:hint="eastAsia"/>
          <w:color w:val="auto"/>
        </w:rPr>
        <w:t>《国家税务总局关于国家重大水利工程建设基金等政府非税收入项目征管职责划转有关事项的公告》（国家税务总局公告2018年第63号）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widowControl/>
              <w:spacing w:line="280" w:lineRule="exact"/>
              <w:ind w:firstLine="352"/>
              <w:jc w:val="left"/>
              <w:rPr>
                <w:color w:val="auto"/>
                <w:kern w:val="0"/>
                <w:sz w:val="18"/>
                <w:szCs w:val="18"/>
              </w:rPr>
            </w:pPr>
            <w:r>
              <w:rPr>
                <w:rFonts w:cs="微软雅黑"/>
                <w:color w:val="auto"/>
                <w:kern w:val="0"/>
                <w:sz w:val="18"/>
                <w:szCs w:val="18"/>
              </w:rPr>
              <w:t>1</w:t>
            </w:r>
          </w:p>
        </w:tc>
        <w:tc>
          <w:tcPr>
            <w:tcW w:w="2551" w:type="dxa"/>
            <w:tcBorders>
              <w:bottom w:val="single" w:color="auto" w:sz="12" w:space="0"/>
            </w:tcBorders>
            <w:vAlign w:val="center"/>
          </w:tcPr>
          <w:p>
            <w:pPr>
              <w:widowControl/>
              <w:spacing w:line="280" w:lineRule="exact"/>
              <w:ind w:firstLine="352"/>
              <w:jc w:val="left"/>
              <w:rPr>
                <w:rFonts w:cs="宋体"/>
                <w:color w:val="auto"/>
                <w:kern w:val="0"/>
                <w:sz w:val="18"/>
                <w:szCs w:val="18"/>
              </w:rPr>
            </w:pPr>
            <w:r>
              <w:rPr>
                <w:rFonts w:hint="eastAsia" w:cs="宋体"/>
                <w:color w:val="auto"/>
                <w:kern w:val="0"/>
                <w:sz w:val="18"/>
                <w:szCs w:val="18"/>
              </w:rPr>
              <w:t>《非税收入通用申报表》</w:t>
            </w:r>
          </w:p>
        </w:tc>
        <w:tc>
          <w:tcPr>
            <w:tcW w:w="709"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cs="宋体"/>
                <w:color w:val="auto"/>
                <w:kern w:val="0"/>
                <w:sz w:val="18"/>
                <w:szCs w:val="18"/>
              </w:rPr>
              <w:t>2</w:t>
            </w:r>
          </w:p>
        </w:tc>
        <w:tc>
          <w:tcPr>
            <w:tcW w:w="992"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352"/>
              <w:jc w:val="left"/>
              <w:rPr>
                <w:rFonts w:cs="微软雅黑"/>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numPr>
          <w:ilvl w:val="0"/>
          <w:numId w:val="4"/>
        </w:numPr>
        <w:ind w:firstLine="552"/>
        <w:rPr>
          <w:rFonts w:hint="eastAsia"/>
          <w:color w:val="auto"/>
        </w:rPr>
      </w:pPr>
      <w:r>
        <w:rPr>
          <w:rFonts w:hint="eastAsia"/>
          <w:color w:val="auto"/>
        </w:rPr>
        <w:t>办理流程</w:t>
      </w:r>
    </w:p>
    <w:p>
      <w:pPr>
        <w:numPr>
          <w:ilvl w:val="0"/>
          <w:numId w:val="0"/>
        </w:numPr>
        <w:rPr>
          <w:color w:val="auto"/>
        </w:rPr>
      </w:pPr>
    </w:p>
    <w:p>
      <w:pPr>
        <w:spacing w:line="240" w:lineRule="auto"/>
        <w:ind w:firstLine="0" w:firstLineChars="0"/>
        <w:rPr>
          <w:color w:val="auto"/>
        </w:rPr>
      </w:pPr>
      <w:r>
        <w:rPr>
          <w:color w:val="auto"/>
        </w:rPr>
        <w:object>
          <v:shape id="_x0000_i1105" o:spt="75" type="#_x0000_t75" style="height:118.1pt;width:440.6pt;" o:ole="t" filled="f" o:preferrelative="t" stroked="f" coordsize="21600,21600">
            <v:path/>
            <v:fill on="f" focussize="0,0"/>
            <v:stroke on="f"/>
            <v:imagedata r:id="rId11" o:title=""/>
            <o:lock v:ext="edit" aspectratio="t"/>
            <w10:wrap type="none"/>
            <w10:anchorlock/>
          </v:shape>
          <o:OLEObject Type="Embed" ProgID="Visio.Drawing.11" ShapeID="_x0000_i110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A06854《非税收入通用申报表》(A06854《非税收入通用申报表》（填写样例）)</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税务机关根据应补费额判断是否需要缴款开票；对于应补费额大于零的，办理“缴款开票”业务。</w:t>
      </w:r>
    </w:p>
    <w:p>
      <w:pPr>
        <w:ind w:firstLine="472"/>
        <w:rPr>
          <w:color w:val="auto"/>
        </w:rPr>
      </w:pPr>
      <w:r>
        <w:rPr>
          <w:color w:val="auto"/>
        </w:rPr>
        <w:t>2.</w:t>
      </w:r>
      <w:r>
        <w:rPr>
          <w:rFonts w:hint="eastAsia"/>
          <w:color w:val="auto"/>
        </w:rPr>
        <w:t>缴费人既有应退费款又有欠缴费款的，可以办理抵缴欠费业务。</w:t>
      </w:r>
    </w:p>
    <w:p>
      <w:pPr>
        <w:ind w:firstLine="472"/>
        <w:rPr>
          <w:color w:val="auto"/>
        </w:rPr>
      </w:pPr>
      <w:r>
        <w:rPr>
          <w:color w:val="auto"/>
        </w:rPr>
        <w:t>3.</w:t>
      </w:r>
      <w:r>
        <w:rPr>
          <w:rFonts w:hint="eastAsia"/>
          <w:color w:val="auto"/>
        </w:rPr>
        <w:t>电网企业应按照有关规定及时足额上缴代征的大中型水库移民后期扶持基金</w:t>
      </w:r>
      <w:r>
        <w:rPr>
          <w:color w:val="auto"/>
        </w:rPr>
        <w:t>,</w:t>
      </w:r>
      <w:r>
        <w:rPr>
          <w:rFonts w:hint="eastAsia"/>
          <w:color w:val="auto"/>
        </w:rPr>
        <w:t>不得延期缴纳。如发生延期缴纳</w:t>
      </w:r>
      <w:r>
        <w:rPr>
          <w:color w:val="auto"/>
        </w:rPr>
        <w:t>,</w:t>
      </w:r>
      <w:r>
        <w:rPr>
          <w:rFonts w:hint="eastAsia"/>
          <w:color w:val="auto"/>
        </w:rPr>
        <w:t>税务机关应责令其尽快足额缴纳基金</w:t>
      </w:r>
      <w:r>
        <w:rPr>
          <w:color w:val="auto"/>
        </w:rPr>
        <w:t>,</w:t>
      </w:r>
      <w:r>
        <w:rPr>
          <w:rFonts w:hint="eastAsia"/>
          <w:color w:val="auto"/>
        </w:rPr>
        <w:t>并从逾期之日起按每日</w:t>
      </w:r>
      <w:r>
        <w:rPr>
          <w:color w:val="auto"/>
        </w:rPr>
        <w:t>2</w:t>
      </w:r>
      <w:r>
        <w:rPr>
          <w:rFonts w:hint="eastAsia"/>
          <w:color w:val="auto"/>
        </w:rPr>
        <w:t>‰的标准加收滞纳金。</w:t>
      </w:r>
    </w:p>
    <w:p>
      <w:pPr>
        <w:ind w:firstLine="472"/>
        <w:rPr>
          <w:color w:val="auto"/>
        </w:rPr>
      </w:pPr>
      <w:r>
        <w:rPr>
          <w:color w:val="auto"/>
        </w:rPr>
        <w:t>4.</w:t>
      </w:r>
      <w:r>
        <w:rPr>
          <w:rFonts w:hint="eastAsia"/>
          <w:color w:val="auto"/>
        </w:rPr>
        <w:t>缴费人对报送资料的真实性和合法性承担责任。</w:t>
      </w:r>
    </w:p>
    <w:p>
      <w:pPr>
        <w:ind w:firstLine="472"/>
        <w:jc w:val="left"/>
        <w:rPr>
          <w:rFonts w:hint="eastAsia"/>
          <w:color w:val="auto"/>
        </w:rPr>
      </w:pPr>
      <w:r>
        <w:rPr>
          <w:color w:val="auto"/>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493CFEC"/>
    <w:multiLevelType w:val="singleLevel"/>
    <w:tmpl w:val="6493CFEC"/>
    <w:lvl w:ilvl="0" w:tentative="0">
      <w:start w:val="6"/>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CE27686"/>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2019-10-31T06:28:07Z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