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560"/>
        <w:rPr>
          <w:rFonts w:hint="eastAsia" w:ascii="黑体" w:hAnsi="黑体" w:cs="黑体"/>
          <w:color w:val="auto"/>
        </w:rPr>
      </w:pPr>
      <w:bookmarkStart w:id="1" w:name="_GoBack"/>
      <w:bookmarkEnd w:id="1"/>
      <w:bookmarkStart w:id="0" w:name="_Toc6505"/>
      <w:r>
        <w:rPr>
          <w:rFonts w:hint="eastAsia" w:ascii="黑体" w:hAnsi="黑体" w:cs="黑体"/>
          <w:color w:val="auto"/>
        </w:rPr>
        <w:t>2.1.12.1境外注册中资控股企业居民身份认定申请</w:t>
      </w:r>
      <w:bookmarkEnd w:id="0"/>
    </w:p>
    <w:p>
      <w:pPr>
        <w:pStyle w:val="3"/>
        <w:ind w:firstLine="552"/>
        <w:rPr>
          <w:color w:val="auto"/>
        </w:rPr>
      </w:pPr>
      <w:r>
        <w:rPr>
          <w:color w:val="auto"/>
        </w:rPr>
        <w:t>一、事项名称</w:t>
      </w:r>
    </w:p>
    <w:p>
      <w:pPr>
        <w:ind w:firstLine="472"/>
        <w:rPr>
          <w:color w:val="auto"/>
        </w:rPr>
      </w:pPr>
      <w:r>
        <w:rPr>
          <w:rFonts w:hint="eastAsia"/>
          <w:color w:val="auto"/>
        </w:rPr>
        <w:t>境外注册中资控股企业居民身份认定申请</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办结方式：限时办结</w:t>
      </w:r>
    </w:p>
    <w:p>
      <w:pPr>
        <w:pStyle w:val="47"/>
        <w:numPr>
          <w:ilvl w:val="0"/>
          <w:numId w:val="3"/>
        </w:numPr>
        <w:ind w:firstLineChars="0"/>
        <w:rPr>
          <w:color w:val="auto"/>
        </w:rPr>
      </w:pPr>
      <w:r>
        <w:rPr>
          <w:rFonts w:hint="eastAsia"/>
          <w:color w:val="auto"/>
        </w:rPr>
        <w:t>全省通办：否</w:t>
      </w:r>
    </w:p>
    <w:p>
      <w:pPr>
        <w:pStyle w:val="47"/>
        <w:numPr>
          <w:ilvl w:val="0"/>
          <w:numId w:val="3"/>
        </w:numPr>
        <w:ind w:firstLineChars="0"/>
        <w:rPr>
          <w:color w:val="auto"/>
        </w:rPr>
      </w:pPr>
      <w:r>
        <w:rPr>
          <w:rFonts w:hint="eastAsia"/>
          <w:color w:val="auto"/>
        </w:rPr>
        <w:t>网上办理：是</w:t>
      </w:r>
    </w:p>
    <w:p>
      <w:pPr>
        <w:pStyle w:val="47"/>
        <w:numPr>
          <w:ilvl w:val="0"/>
          <w:numId w:val="4"/>
        </w:numPr>
        <w:ind w:firstLineChars="0"/>
        <w:rPr>
          <w:color w:val="auto"/>
        </w:rPr>
      </w:pPr>
      <w:r>
        <w:rPr>
          <w:rFonts w:hint="eastAsia"/>
          <w:color w:val="auto"/>
        </w:rPr>
        <w:t>适用层级：省、市、县(市、区)级</w:t>
      </w:r>
    </w:p>
    <w:p>
      <w:pPr>
        <w:pStyle w:val="47"/>
        <w:numPr>
          <w:ilvl w:val="0"/>
          <w:numId w:val="4"/>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eastAsia="黑体" w:asciiTheme="majorHAnsi" w:hAnsiTheme="majorHAnsi" w:cstheme="majorBidi"/>
          <w:bCs/>
          <w:color w:val="auto"/>
          <w:kern w:val="2"/>
          <w:sz w:val="28"/>
          <w:szCs w:val="32"/>
          <w:lang w:val="en-US" w:eastAsia="zh-CN" w:bidi="ar-SA"/>
        </w:rPr>
        <w:t>办理条件</w:t>
      </w:r>
    </w:p>
    <w:p>
      <w:pPr>
        <w:ind w:firstLine="472"/>
        <w:rPr>
          <w:color w:val="auto"/>
        </w:rPr>
      </w:pPr>
      <w:r>
        <w:rPr>
          <w:rFonts w:hint="eastAsia"/>
          <w:color w:val="auto"/>
        </w:rPr>
        <w:t>境外注册中资控股企业是指由中国内地企业或者企业集团作为主要控股投资者，在中国内地以外国家或地区（含香港、澳门、台湾）注册成立的企业。境外中资企业居民身份的认定采用企业自行判定提请税务机关认定和税务机关调查发现予以认定两种形式。</w:t>
      </w:r>
    </w:p>
    <w:p>
      <w:pPr>
        <w:ind w:firstLine="472"/>
        <w:rPr>
          <w:color w:val="auto"/>
        </w:rPr>
      </w:pPr>
      <w:r>
        <w:rPr>
          <w:rFonts w:hint="eastAsia"/>
          <w:color w:val="auto"/>
        </w:rPr>
        <w:t>符合居民企业认定条件的境外中资企业，须向其中国境内主要投资者登记注册地主管税务机关提出居民企业认定申请，主管税务机关对其居民企业身份进行初步判定后，层报省级税务机关确认。经省级税务机关确认后抄送其境内其他投资地相关省级税务机关。</w:t>
      </w:r>
    </w:p>
    <w:p>
      <w:pPr>
        <w:ind w:firstLine="472"/>
        <w:rPr>
          <w:color w:val="auto"/>
        </w:rPr>
      </w:pPr>
      <w:r>
        <w:rPr>
          <w:rFonts w:hint="eastAsia"/>
          <w:color w:val="auto"/>
        </w:rPr>
        <w:t>对于实际管理机构的判断，应当遵循实质重于形式的原则。境外中资企业应当根据生产经营和管理的实际情况，自行判定实际管理机构是否设立在中国境内。</w:t>
      </w:r>
    </w:p>
    <w:p>
      <w:pPr>
        <w:ind w:firstLine="472"/>
        <w:rPr>
          <w:color w:val="auto"/>
        </w:rPr>
      </w:pPr>
      <w:r>
        <w:rPr>
          <w:rFonts w:hint="eastAsia"/>
          <w:color w:val="auto"/>
        </w:rPr>
        <w:t>所称主管税务机关是指境外注册中资控股居民企业中国境内主要投资者登记注册地主管税务机关。</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lang w:val="en-US" w:eastAsia="zh-CN"/>
        </w:rPr>
        <w:t>1.</w:t>
      </w:r>
      <w:r>
        <w:rPr>
          <w:rFonts w:hint="eastAsia"/>
          <w:color w:val="auto"/>
        </w:rPr>
        <w:t>《境外注册中资控股居民企业所得税管理办法（试行）》（国家税务总局公告2011年第45号发布，国家税务总局公告2015年第22号、国家税务总局公告2018年第31号修改）第七条、第八条</w:t>
      </w:r>
    </w:p>
    <w:p>
      <w:pPr>
        <w:ind w:firstLine="472"/>
        <w:rPr>
          <w:color w:val="auto"/>
        </w:rPr>
      </w:pPr>
      <w:r>
        <w:rPr>
          <w:rFonts w:hint="eastAsia"/>
          <w:color w:val="auto"/>
        </w:rPr>
        <w:t>“第七条境外中资企业应当根据生产经营和管理的实际情况，自行判定实际管理机构是否设立在中国境内。如其判定符合《通知》第二条规定的居民企业条件,应当向其主管税务机关书面提出居民身份认定申请,同时提供以下资料：</w:t>
      </w:r>
    </w:p>
    <w:p>
      <w:pPr>
        <w:ind w:firstLine="472"/>
        <w:rPr>
          <w:color w:val="auto"/>
        </w:rPr>
      </w:pPr>
      <w:r>
        <w:rPr>
          <w:rFonts w:hint="eastAsia"/>
          <w:color w:val="auto"/>
        </w:rPr>
        <w:t>（一）企业法律身份证明文件；</w:t>
      </w:r>
    </w:p>
    <w:p>
      <w:pPr>
        <w:ind w:firstLine="472"/>
        <w:rPr>
          <w:color w:val="auto"/>
        </w:rPr>
      </w:pPr>
      <w:r>
        <w:rPr>
          <w:rFonts w:hint="eastAsia"/>
          <w:color w:val="auto"/>
        </w:rPr>
        <w:t>（二）企业集团组织结构说明及生产经营概况；</w:t>
      </w:r>
    </w:p>
    <w:p>
      <w:pPr>
        <w:ind w:firstLine="472"/>
        <w:rPr>
          <w:color w:val="auto"/>
        </w:rPr>
      </w:pPr>
      <w:r>
        <w:rPr>
          <w:rFonts w:hint="eastAsia"/>
          <w:color w:val="auto"/>
        </w:rPr>
        <w:t>（三）企业上一个纳税年度的公证会计师审计报告；</w:t>
      </w:r>
    </w:p>
    <w:p>
      <w:pPr>
        <w:ind w:firstLine="472"/>
        <w:rPr>
          <w:color w:val="auto"/>
        </w:rPr>
      </w:pPr>
      <w:r>
        <w:rPr>
          <w:rFonts w:hint="eastAsia"/>
          <w:color w:val="auto"/>
        </w:rPr>
        <w:t>（四）负责企业生产经营等事项的高层管理机构履行职责场所的地址证明；</w:t>
      </w:r>
    </w:p>
    <w:p>
      <w:pPr>
        <w:ind w:firstLine="472"/>
        <w:rPr>
          <w:color w:val="auto"/>
        </w:rPr>
      </w:pPr>
      <w:r>
        <w:rPr>
          <w:rFonts w:hint="eastAsia"/>
          <w:color w:val="auto"/>
        </w:rPr>
        <w:t>（五）企业上一年度及当年度董事及高层管理人员在中国境内居住的记录；</w:t>
      </w:r>
    </w:p>
    <w:p>
      <w:pPr>
        <w:ind w:firstLine="472"/>
        <w:rPr>
          <w:color w:val="auto"/>
        </w:rPr>
      </w:pPr>
      <w:r>
        <w:rPr>
          <w:rFonts w:hint="eastAsia"/>
          <w:color w:val="auto"/>
        </w:rPr>
        <w:t>（六）企业上一年度及当年度重大事项的董事会决议及会议记录；</w:t>
      </w:r>
    </w:p>
    <w:p>
      <w:pPr>
        <w:ind w:firstLine="472"/>
        <w:rPr>
          <w:color w:val="auto"/>
        </w:rPr>
      </w:pPr>
      <w:r>
        <w:rPr>
          <w:rFonts w:hint="eastAsia"/>
          <w:color w:val="auto"/>
        </w:rPr>
        <w:t>（七）主管税务机关要求提供的其他资料。</w:t>
      </w:r>
    </w:p>
    <w:p>
      <w:pPr>
        <w:ind w:firstLine="472"/>
        <w:rPr>
          <w:color w:val="auto"/>
        </w:rPr>
      </w:pPr>
      <w:r>
        <w:rPr>
          <w:rFonts w:hint="eastAsia"/>
          <w:color w:val="auto"/>
        </w:rPr>
        <w:t>第八条主管税务机关发现境外中资企业符合《通知》第二条规定但未申请成为中国居民企业的，可以对该境外中资企业的实际管理机构所在地情况进行调查，并要求境外中资企业提供本办法第七条规定的资料。调查过程中，主管税务机关有权要求该企业的境内投资者提供相关资料。”</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企业法律身份证明文件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企业集团组织结构说明及生产经营概况</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3</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企业最近一个年度的公证会计师审计报告</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4</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负责企业生产经营等事项的高层管理机构履行职责的场所的地址证明</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5</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企业董事及高层管理人员在中国境内居住的记录</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6</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企业重大事项的董事会决议及会议记录</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rFonts w:hint="eastAsia"/>
          <w:color w:val="auto"/>
        </w:rPr>
      </w:pPr>
      <w:r>
        <w:rPr>
          <w:rFonts w:hint="eastAsia"/>
          <w:color w:val="auto"/>
        </w:rPr>
        <w:t>六</w:t>
      </w:r>
      <w:r>
        <w:rPr>
          <w:color w:val="auto"/>
        </w:rPr>
        <w:t>、办理流程</w:t>
      </w:r>
    </w:p>
    <w:p>
      <w:pPr>
        <w:spacing w:line="240" w:lineRule="auto"/>
        <w:ind w:left="471" w:firstLine="0" w:firstLineChars="0"/>
        <w:rPr>
          <w:color w:val="auto"/>
        </w:rPr>
      </w:pPr>
      <w:r>
        <w:rPr>
          <w:color w:val="auto"/>
        </w:rPr>
        <w:object>
          <v:shape id="_x0000_i1144" o:spt="75" type="#_x0000_t75" style="height:177pt;width:425.25pt;" o:ole="t" filled="f" o:preferrelative="t" stroked="f" coordsize="21600,21600">
            <v:path/>
            <v:fill on="f" focussize="0,0"/>
            <v:stroke on="f" joinstyle="miter"/>
            <v:imagedata r:id="rId11" o:title=""/>
            <o:lock v:ext="edit" aspectratio="t"/>
            <w10:wrap type="none"/>
            <w10:anchorlock/>
          </v:shape>
          <o:OLEObject Type="Embed" ProgID="Visio.Drawing.11" ShapeID="_x0000_i1144"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资料齐全、符合法定形式的，税务机关受理后20个</w:t>
      </w:r>
      <w:r>
        <w:rPr>
          <w:color w:val="auto"/>
        </w:rPr>
        <w:t>工作日</w:t>
      </w:r>
      <w:r>
        <w:rPr>
          <w:rFonts w:hint="eastAsia"/>
          <w:color w:val="auto"/>
        </w:rPr>
        <w:t>办结。</w:t>
      </w:r>
    </w:p>
    <w:p>
      <w:pPr>
        <w:pStyle w:val="3"/>
        <w:ind w:firstLine="552"/>
        <w:rPr>
          <w:color w:val="auto"/>
        </w:rPr>
      </w:pPr>
      <w:r>
        <w:rPr>
          <w:rFonts w:hint="eastAsia"/>
          <w:color w:val="auto"/>
        </w:rPr>
        <w:t>八、表证单书</w:t>
      </w:r>
    </w:p>
    <w:p>
      <w:pPr>
        <w:ind w:firstLine="472"/>
        <w:rPr>
          <w:color w:val="auto"/>
        </w:rPr>
      </w:pPr>
      <w:r>
        <w:rPr>
          <w:rFonts w:hint="eastAsia"/>
          <w:color w:val="auto"/>
        </w:rPr>
        <w:t>无</w:t>
      </w:r>
    </w:p>
    <w:p>
      <w:pPr>
        <w:pStyle w:val="3"/>
        <w:ind w:firstLine="552"/>
        <w:rPr>
          <w:color w:val="auto"/>
        </w:rPr>
      </w:pPr>
      <w:r>
        <w:rPr>
          <w:rFonts w:hint="eastAsia"/>
          <w:color w:val="auto"/>
        </w:rPr>
        <w:t>九、注意事项</w:t>
      </w:r>
    </w:p>
    <w:p>
      <w:pPr>
        <w:ind w:firstLine="472"/>
        <w:rPr>
          <w:color w:val="auto"/>
        </w:rPr>
      </w:pPr>
      <w:r>
        <w:rPr>
          <w:rFonts w:hint="eastAsia"/>
          <w:color w:val="auto"/>
        </w:rPr>
        <w:t>1.境外中资企业同时符合以下条件的，应判定其为实际管理机构在中国境内的居民企业（以下称非境内注册居民企业），并实施相应的税收管理，就其来源于中国境内、境外的所得征收企业所得税：（1）企业负责实施日常生产经营管理运作的高层管理人员及其高层管理部门履行职责的场所主要位于中国境内；（2）企业的财务决策（如借款、放款、融资、财务风险管理等）和人事决策（如任命、解聘和薪酬等）由位于中国境内的机构或人员决定，或需要得到位于中国境内的机构或人员批准；（3）企业的主要财产、会计账簿、公司印章、董事会和股东会议纪要档案等位于或存放于中国境内；（4）企业1/2（含1/2）以上有投票权的董事或高层管理人员经常居住于中国境内。</w:t>
      </w:r>
    </w:p>
    <w:p>
      <w:pPr>
        <w:ind w:firstLine="472"/>
        <w:jc w:val="left"/>
        <w:rPr>
          <w:rFonts w:cs="微软雅黑"/>
          <w:color w:val="auto"/>
        </w:rPr>
      </w:pPr>
      <w:r>
        <w:rPr>
          <w:rFonts w:hint="eastAsia" w:cs="微软雅黑"/>
          <w:color w:val="auto"/>
        </w:rPr>
        <w:t>2.境外中资企业被判定为非境内注册居民企业的，按照企业所得税法第四十五条已经受控外国企业管理的有关规定，不视为受控外国企业，但其所控制的其他受控外国企业仍应按照有关规定进行税务处理。</w:t>
      </w:r>
    </w:p>
    <w:p>
      <w:pPr>
        <w:ind w:firstLine="472"/>
        <w:jc w:val="left"/>
        <w:rPr>
          <w:rFonts w:cs="微软雅黑"/>
          <w:color w:val="auto"/>
        </w:rPr>
      </w:pPr>
      <w:r>
        <w:rPr>
          <w:rFonts w:hint="eastAsia"/>
          <w:color w:val="auto"/>
        </w:rPr>
        <w:t>3</w:t>
      </w:r>
      <w:r>
        <w:rPr>
          <w:color w:val="auto"/>
        </w:rPr>
        <w:t>.纳税人对报送资料的真实性和合法性承担责任。</w:t>
      </w:r>
    </w:p>
    <w:p>
      <w:pPr>
        <w:ind w:firstLine="472"/>
        <w:jc w:val="left"/>
        <w:rPr>
          <w:rFonts w:hint="eastAsia"/>
          <w:color w:val="auto"/>
        </w:rPr>
      </w:pPr>
      <w:r>
        <w:rPr>
          <w:rFonts w:hint="eastAsia"/>
          <w:color w:val="auto"/>
        </w:rPr>
        <w:t>4</w:t>
      </w:r>
      <w:r>
        <w:rPr>
          <w:color w:val="auto"/>
        </w:rPr>
        <w:t>.最多跑一次是在资料完整且符合法定受理条件的前提下，最多只需要到税务机关跑一次</w:t>
      </w:r>
      <w:r>
        <w:rPr>
          <w:rFonts w:hint="eastAsia"/>
          <w:color w:val="auto"/>
        </w:rPr>
        <w:t>。</w:t>
      </w:r>
    </w:p>
    <w:p>
      <w:pPr>
        <w:ind w:firstLine="472"/>
        <w:jc w:val="left"/>
        <w:rPr>
          <w:rFonts w:hint="eastAsia" w:eastAsia="宋体"/>
          <w:color w:val="auto"/>
          <w:lang w:val="en-US" w:eastAsia="zh-CN"/>
        </w:rPr>
      </w:pPr>
      <w:r>
        <w:rPr>
          <w:rFonts w:hint="eastAsia"/>
          <w:color w:val="auto"/>
          <w:lang w:val="en-US" w:eastAsia="zh-CN"/>
        </w:rPr>
        <w:t>5.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747C3"/>
    <w:multiLevelType w:val="multilevel"/>
    <w:tmpl w:val="053747C3"/>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3FC62805"/>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2019-10-31T04:55:11Z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