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7920"/>
      <w:r>
        <w:rPr>
          <w:rFonts w:hint="eastAsia" w:ascii="黑体" w:hAnsi="黑体"/>
          <w:color w:val="auto"/>
        </w:rPr>
        <w:t>1.3.17.6油价调控风险准备金申报</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油价调控风险准备金申报</w:t>
      </w:r>
    </w:p>
    <w:p>
      <w:pPr>
        <w:pStyle w:val="3"/>
        <w:ind w:firstLine="552"/>
        <w:rPr>
          <w:color w:val="auto"/>
        </w:rPr>
      </w:pPr>
      <w:r>
        <w:rPr>
          <w:rFonts w:hint="eastAsia"/>
          <w:color w:val="auto"/>
        </w:rPr>
        <w:t>二、事项类别</w:t>
      </w:r>
    </w:p>
    <w:p>
      <w:pPr>
        <w:pStyle w:val="47"/>
        <w:numPr>
          <w:ilvl w:val="0"/>
          <w:numId w:val="3"/>
        </w:numPr>
        <w:ind w:firstLineChars="0"/>
        <w:rPr>
          <w:color w:val="auto"/>
        </w:rPr>
      </w:pPr>
      <w:r>
        <w:rPr>
          <w:rFonts w:hint="eastAsia"/>
          <w:color w:val="auto"/>
        </w:rPr>
        <w:t>发起方式：人工发起（缴费人）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全省通办：是</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rFonts w:hint="eastAsia"/>
          <w:color w:val="auto"/>
        </w:rPr>
      </w:pPr>
      <w:r>
        <w:rPr>
          <w:rFonts w:hint="eastAsia"/>
          <w:color w:val="auto"/>
        </w:rPr>
        <w:t>适用层级：县(市、区)级</w:t>
      </w:r>
    </w:p>
    <w:p>
      <w:pPr>
        <w:pStyle w:val="47"/>
        <w:numPr>
          <w:ilvl w:val="0"/>
          <w:numId w:val="3"/>
        </w:numPr>
        <w:ind w:firstLineChars="0"/>
        <w:rPr>
          <w:rFonts w:hint="eastAsia"/>
          <w:color w:val="auto"/>
        </w:rPr>
      </w:pPr>
      <w:r>
        <w:rPr>
          <w:rFonts w:hint="eastAsia"/>
          <w:color w:val="auto"/>
        </w:rPr>
        <w:t>最多跑一次：是</w:t>
      </w:r>
    </w:p>
    <w:p>
      <w:pPr>
        <w:pStyle w:val="3"/>
        <w:ind w:left="0" w:leftChars="0" w:firstLine="552" w:firstLineChars="200"/>
        <w:rPr>
          <w:color w:val="auto"/>
        </w:rPr>
      </w:pPr>
      <w:r>
        <w:rPr>
          <w:rFonts w:hint="eastAsia"/>
          <w:color w:val="auto"/>
        </w:rPr>
        <w:t>三、</w:t>
      </w:r>
      <w:r>
        <w:rPr>
          <w:rFonts w:hint="eastAsia"/>
          <w:color w:val="auto"/>
          <w:lang w:eastAsia="zh-CN"/>
        </w:rPr>
        <w:t>办理条件</w:t>
      </w:r>
    </w:p>
    <w:p>
      <w:pPr>
        <w:ind w:firstLine="472"/>
        <w:rPr>
          <w:rFonts w:hint="eastAsia"/>
          <w:color w:val="auto"/>
        </w:rPr>
      </w:pPr>
      <w:r>
        <w:rPr>
          <w:rFonts w:hint="eastAsia"/>
          <w:color w:val="auto"/>
        </w:rPr>
        <w:t>油价调控风险准备金的缴纳义务人为中华人民共和国境内生产、委托加工和进口汽、柴油的成品油生产经营企业。成品油价格未调金额由国家发展改革委、财政部根据国际原油价格变动情况，按照现行成品油价格形成机制计算核定，于每季度前10个工作日内，将上季度每次调价窗口期的征收标准，书面告知征收机关。</w:t>
      </w:r>
    </w:p>
    <w:p>
      <w:pPr>
        <w:ind w:firstLine="472"/>
        <w:rPr>
          <w:rFonts w:ascii="宋体" w:hAnsi="宋体" w:eastAsia="宋体"/>
          <w:bCs w:val="0"/>
          <w:color w:val="auto"/>
          <w:sz w:val="24"/>
          <w:szCs w:val="22"/>
        </w:rPr>
      </w:pPr>
      <w:r>
        <w:rPr>
          <w:rFonts w:hint="eastAsia"/>
          <w:color w:val="auto"/>
        </w:rPr>
        <w:t>油价调控风险准备金缴纳义务人有两个及以上从事成品油生产经营企业的，可实行汇总缴纳。缴纳义务人可以选择按季度或者按年度缴纳风险准备金。缴纳方式一经确定，不得随意变更。按季度缴纳的缴纳义务人应于每季度前15个工作日内，如实填写《油价调控风险准备金申报表》进行申报缴纳。按年度缴纳的缴纳义务人应于每年1月20日前，如实填写《油价调控风险准备金申报表》进行申报缴纳。</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《国家发展改革委关于进一步完善成品油价格形成机制有关问题的通知》（发改价格〔2016〕64号）第一条第二款</w:t>
      </w:r>
    </w:p>
    <w:p>
      <w:pPr>
        <w:ind w:firstLine="472"/>
        <w:rPr>
          <w:rFonts w:hint="eastAsia"/>
          <w:color w:val="auto"/>
          <w:lang w:eastAsia="zh-CN"/>
        </w:rPr>
      </w:pPr>
      <w:r>
        <w:rPr>
          <w:rFonts w:hint="eastAsia"/>
          <w:color w:val="auto"/>
          <w:lang w:eastAsia="zh-CN"/>
        </w:rPr>
        <w:t>“建立油价调控风险准备金。当国际市场原油价格低于40美元调控下限时，成品油价格未调金额全部纳入风险准备金，设立专项账户存储，经国家批准后使用，主要用于节能减排、提升油品质量及保障石油供应安全等方面。具体管理办法另行制定。”</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tcBorders>
              <w:bottom w:val="single" w:color="auto" w:sz="12" w:space="0"/>
            </w:tcBorders>
            <w:vAlign w:val="center"/>
          </w:tcPr>
          <w:p>
            <w:pPr>
              <w:widowControl/>
              <w:spacing w:line="280" w:lineRule="exact"/>
              <w:ind w:firstLine="352"/>
              <w:jc w:val="left"/>
              <w:rPr>
                <w:color w:val="auto"/>
                <w:kern w:val="0"/>
                <w:sz w:val="18"/>
                <w:szCs w:val="18"/>
              </w:rPr>
            </w:pPr>
            <w:r>
              <w:rPr>
                <w:rFonts w:cs="微软雅黑"/>
                <w:color w:val="auto"/>
                <w:kern w:val="0"/>
                <w:sz w:val="18"/>
                <w:szCs w:val="18"/>
              </w:rPr>
              <w:t>1</w:t>
            </w:r>
          </w:p>
        </w:tc>
        <w:tc>
          <w:tcPr>
            <w:tcW w:w="2551" w:type="dxa"/>
            <w:tcBorders>
              <w:bottom w:val="single" w:color="auto" w:sz="12" w:space="0"/>
            </w:tcBorders>
            <w:vAlign w:val="center"/>
          </w:tcPr>
          <w:p>
            <w:pPr>
              <w:widowControl/>
              <w:spacing w:line="280" w:lineRule="exact"/>
              <w:ind w:firstLine="352"/>
              <w:jc w:val="left"/>
              <w:rPr>
                <w:rFonts w:cs="宋体"/>
                <w:color w:val="auto"/>
                <w:kern w:val="0"/>
                <w:sz w:val="18"/>
                <w:szCs w:val="18"/>
              </w:rPr>
            </w:pPr>
            <w:r>
              <w:rPr>
                <w:rFonts w:hint="eastAsia" w:cs="宋体"/>
                <w:color w:val="auto"/>
                <w:kern w:val="0"/>
                <w:sz w:val="18"/>
                <w:szCs w:val="18"/>
              </w:rPr>
              <w:t>《油价调控风险准备金申报表》</w:t>
            </w:r>
          </w:p>
        </w:tc>
        <w:tc>
          <w:tcPr>
            <w:tcW w:w="709"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cs="宋体"/>
                <w:color w:val="auto"/>
                <w:kern w:val="0"/>
                <w:sz w:val="18"/>
                <w:szCs w:val="18"/>
              </w:rPr>
              <w:t>2</w:t>
            </w:r>
          </w:p>
        </w:tc>
        <w:tc>
          <w:tcPr>
            <w:tcW w:w="992"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必报</w:t>
            </w:r>
          </w:p>
        </w:tc>
        <w:tc>
          <w:tcPr>
            <w:tcW w:w="1134" w:type="dxa"/>
            <w:tcBorders>
              <w:bottom w:val="single" w:color="auto" w:sz="12" w:space="0"/>
            </w:tcBorders>
            <w:vAlign w:val="center"/>
          </w:tcPr>
          <w:p>
            <w:pPr>
              <w:widowControl/>
              <w:spacing w:line="280" w:lineRule="exact"/>
              <w:ind w:firstLine="352"/>
              <w:jc w:val="left"/>
              <w:rPr>
                <w:rFonts w:cs="微软雅黑"/>
                <w:color w:val="auto"/>
                <w:kern w:val="0"/>
                <w:sz w:val="18"/>
                <w:szCs w:val="18"/>
              </w:rPr>
            </w:pP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firstLine="0" w:firstLineChars="0"/>
        <w:rPr>
          <w:color w:val="auto"/>
        </w:rPr>
      </w:pPr>
      <w:r>
        <w:rPr>
          <w:color w:val="auto"/>
        </w:rPr>
        <w:pict>
          <v:shape id="_x0000_s1065" o:spid="_x0000_s1065" o:spt="75" type="#_x0000_t75" style="position:absolute;left:0pt;margin-left:1.5pt;margin-top:81.25pt;height:118.1pt;width:440.6pt;mso-wrap-distance-bottom:0pt;mso-wrap-distance-left:9pt;mso-wrap-distance-right:9pt;mso-wrap-distance-top:0pt;z-index:251776000;mso-width-relative:page;mso-height-relative:page;" o:ole="t" filled="f" o:preferrelative="t" stroked="f" coordsize="21600,21600">
            <v:path/>
            <v:fill on="f" focussize="0,0"/>
            <v:stroke on="f" joinstyle="miter"/>
            <v:imagedata r:id="rId11" o:title=""/>
            <o:lock v:ext="edit" aspectratio="t"/>
            <w10:wrap type="square"/>
          </v:shape>
          <o:OLEObject Type="Embed" ProgID="Visio.Drawing.11" ShapeID="_x0000_s1065" DrawAspect="Content" ObjectID="_1468075725" r:id="rId10">
            <o:LockedField>false</o:LockedField>
          </o:OLEObject>
        </w:pict>
      </w:r>
    </w:p>
    <w:p>
      <w:pPr>
        <w:spacing w:line="240" w:lineRule="auto"/>
        <w:ind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A06856《油价调控风险准备金申报表》</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税务机关根据应补费额判断是否需要缴款开票；对于应补费额大于零的，办理“缴款开票”业务。</w:t>
      </w:r>
    </w:p>
    <w:p>
      <w:pPr>
        <w:ind w:firstLine="472"/>
        <w:rPr>
          <w:color w:val="auto"/>
        </w:rPr>
      </w:pPr>
      <w:r>
        <w:rPr>
          <w:color w:val="auto"/>
        </w:rPr>
        <w:t>2.</w:t>
      </w:r>
      <w:r>
        <w:rPr>
          <w:rFonts w:hint="eastAsia"/>
          <w:color w:val="auto"/>
        </w:rPr>
        <w:t>缴费人既有应退费款又有欠缴费款的，可以办理抵缴欠费业务。</w:t>
      </w:r>
    </w:p>
    <w:p>
      <w:pPr>
        <w:ind w:firstLine="472"/>
        <w:rPr>
          <w:color w:val="auto"/>
        </w:rPr>
      </w:pPr>
      <w:r>
        <w:rPr>
          <w:color w:val="auto"/>
        </w:rPr>
        <w:t>3.</w:t>
      </w:r>
      <w:r>
        <w:rPr>
          <w:rFonts w:hint="eastAsia"/>
          <w:color w:val="auto"/>
        </w:rPr>
        <w:t>缴费人对报送资料的真实性和合法性承担责任。</w:t>
      </w:r>
    </w:p>
    <w:p>
      <w:pPr>
        <w:ind w:firstLine="472"/>
        <w:jc w:val="left"/>
        <w:rPr>
          <w:rFonts w:hint="eastAsia"/>
          <w:color w:val="auto"/>
        </w:rPr>
      </w:pPr>
      <w:r>
        <w:rPr>
          <w:color w:val="auto"/>
        </w:rPr>
        <w:t>4.</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4235B4E"/>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2019-10-31T06:27:44Z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