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26596"/>
      <w:r>
        <w:rPr>
          <w:rFonts w:hint="eastAsia" w:ascii="黑体" w:hAnsi="黑体"/>
          <w:color w:val="auto"/>
        </w:rPr>
        <w:t>4.1.4.2税务行政处罚听证</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税务行政处罚听证</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w:t>
      </w:r>
      <w:r>
        <w:rPr>
          <w:rFonts w:hint="eastAsia"/>
          <w:color w:val="auto"/>
          <w:lang w:eastAsia="zh-CN"/>
        </w:rPr>
        <w:t>限时</w:t>
      </w:r>
      <w:r>
        <w:rPr>
          <w:color w:val="auto"/>
        </w:rPr>
        <w:t>办结</w:t>
      </w:r>
    </w:p>
    <w:p>
      <w:pPr>
        <w:pStyle w:val="47"/>
        <w:numPr>
          <w:ilvl w:val="0"/>
          <w:numId w:val="3"/>
        </w:numPr>
        <w:ind w:firstLineChars="0"/>
        <w:rPr>
          <w:color w:val="auto"/>
        </w:rPr>
      </w:pPr>
      <w:r>
        <w:rPr>
          <w:rFonts w:hint="eastAsia"/>
          <w:color w:val="auto"/>
        </w:rPr>
        <w:t>全省通办：</w:t>
      </w:r>
      <w:r>
        <w:rPr>
          <w:rFonts w:hint="eastAsia"/>
          <w:color w:val="auto"/>
          <w:lang w:eastAsia="zh-CN"/>
        </w:rPr>
        <w:t>否</w:t>
      </w:r>
    </w:p>
    <w:p>
      <w:pPr>
        <w:pStyle w:val="47"/>
        <w:numPr>
          <w:ilvl w:val="0"/>
          <w:numId w:val="3"/>
        </w:numPr>
        <w:ind w:firstLineChars="0"/>
        <w:rPr>
          <w:color w:val="auto"/>
        </w:rPr>
      </w:pPr>
      <w:r>
        <w:rPr>
          <w:rFonts w:hint="eastAsia"/>
          <w:color w:val="auto"/>
        </w:rPr>
        <w:t>网上办理：</w:t>
      </w:r>
      <w:r>
        <w:rPr>
          <w:rFonts w:hint="eastAsia"/>
          <w:color w:val="auto"/>
          <w:lang w:eastAsia="zh-CN"/>
        </w:rPr>
        <w:t>否</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rPr>
      </w:pPr>
      <w:r>
        <w:rPr>
          <w:rFonts w:hint="eastAsia"/>
          <w:color w:val="auto"/>
        </w:rPr>
        <w:t>最多跑一次：</w:t>
      </w:r>
      <w:r>
        <w:rPr>
          <w:rFonts w:hint="eastAsia"/>
          <w:color w:val="auto"/>
          <w:lang w:val="en-US" w:eastAsia="zh-CN"/>
        </w:rPr>
        <w:t>否</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rFonts w:hint="eastAsia"/>
          <w:color w:val="auto"/>
        </w:rPr>
      </w:pPr>
      <w:r>
        <w:rPr>
          <w:rFonts w:hint="eastAsia"/>
          <w:color w:val="auto"/>
        </w:rPr>
        <w:t>税务机关拟对公民处以2000元（含）以上，对法人或其他组织处以10000元（含）以上的罚款或吊销发票准印证等处罚，向公民、法人或其他组织送达《税务行政处罚事项告知书》，当事人提出行政处罚听证申请的，依法审查受理行政处罚听证申请、组织实施听证。</w:t>
      </w:r>
    </w:p>
    <w:p>
      <w:pPr>
        <w:ind w:firstLine="472"/>
        <w:rPr>
          <w:rFonts w:hint="eastAsia"/>
          <w:color w:val="auto"/>
        </w:rPr>
      </w:pPr>
      <w:r>
        <w:rPr>
          <w:rFonts w:hint="eastAsia"/>
          <w:color w:val="auto"/>
        </w:rPr>
        <w:t>税务机关应当在收到当事人听证要求后7日内将《税务行政处罚听证通知书》送达当事人，15日内举行听证。</w:t>
      </w:r>
    </w:p>
    <w:p>
      <w:pPr>
        <w:ind w:firstLine="472"/>
        <w:rPr>
          <w:color w:val="auto"/>
        </w:rPr>
      </w:pPr>
      <w:r>
        <w:rPr>
          <w:rFonts w:hint="eastAsia"/>
          <w:color w:val="auto"/>
        </w:rPr>
        <w:t>听证延期处理，是指税务机关对当事人以不可抗力或者其他特殊情况而耽误提出听证期限为由，提出申请延长期限申请的处理。</w:t>
      </w:r>
    </w:p>
    <w:p>
      <w:pPr>
        <w:pStyle w:val="3"/>
        <w:ind w:firstLine="552"/>
        <w:rPr>
          <w:color w:val="auto"/>
        </w:rPr>
      </w:pPr>
      <w:r>
        <w:rPr>
          <w:rFonts w:hint="eastAsia"/>
          <w:color w:val="auto"/>
        </w:rPr>
        <w:t>四、设定依据</w:t>
      </w:r>
    </w:p>
    <w:p>
      <w:pPr>
        <w:keepNext w:val="0"/>
        <w:keepLines w:val="0"/>
        <w:pageBreakBefore w:val="0"/>
        <w:widowControl w:val="0"/>
        <w:kinsoku/>
        <w:wordWrap/>
        <w:overflowPunct/>
        <w:topLinePunct w:val="0"/>
        <w:autoSpaceDE/>
        <w:autoSpaceDN/>
        <w:bidi w:val="0"/>
        <w:adjustRightInd/>
        <w:snapToGrid/>
        <w:ind w:firstLine="472" w:firstLineChars="200"/>
        <w:textAlignment w:val="auto"/>
        <w:rPr>
          <w:rFonts w:hint="eastAsia"/>
          <w:color w:val="auto"/>
        </w:rPr>
      </w:pPr>
      <w:r>
        <w:rPr>
          <w:rFonts w:hint="eastAsia"/>
          <w:color w:val="auto"/>
        </w:rPr>
        <w:t>1.《中华人民共和国行政处罚法》第四十二条</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w:t>
      </w:r>
      <w:r>
        <w:rPr>
          <w:rFonts w:hint="eastAsia"/>
          <w:color w:val="auto"/>
        </w:rPr>
        <w:t>第四十二条</w:t>
      </w:r>
      <w:r>
        <w:rPr>
          <w:rFonts w:hint="eastAsia"/>
          <w:color w:val="auto"/>
          <w:lang w:eastAsia="zh-CN"/>
        </w:rPr>
        <w:t>、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（一）当事人要求听证的，应当在行政机关告知后三日内提出；</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（二）行政机关应当在听证的七日前，通知当事人举行听证的时间、地点；</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（三）除涉及国家秘密、商业秘密或者个人隐私外，听证公开举行；</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（四）听证由行政机关指定的非本案调查人员主持；当事人认为主持人与本案有直接利害关系的，有权申请回避；</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（五）当事人可以亲自参加听证，也可以委托一至二人代理；</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（六）举行听证时，调查人员提出当事人违法的事实、证据和行政处罚建议；当事人进行申辩和质证；</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（七）听证应当制作笔录；笔录应当交当事人审核无误后签字或者盖章。</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eastAsia="宋体"/>
          <w:color w:val="auto"/>
          <w:lang w:eastAsia="zh-CN"/>
        </w:rPr>
      </w:pPr>
      <w:r>
        <w:rPr>
          <w:rFonts w:hint="eastAsia"/>
          <w:color w:val="auto"/>
          <w:lang w:eastAsia="zh-CN"/>
        </w:rPr>
        <w:t>当事人对限制人身自由的行政处罚有异议的，依照治安管理处罚法有关规定执行。”</w:t>
      </w:r>
    </w:p>
    <w:p>
      <w:pPr>
        <w:keepNext w:val="0"/>
        <w:keepLines w:val="0"/>
        <w:pageBreakBefore w:val="0"/>
        <w:widowControl w:val="0"/>
        <w:kinsoku/>
        <w:wordWrap/>
        <w:overflowPunct/>
        <w:topLinePunct w:val="0"/>
        <w:autoSpaceDE/>
        <w:autoSpaceDN/>
        <w:bidi w:val="0"/>
        <w:adjustRightInd/>
        <w:snapToGrid/>
        <w:ind w:firstLine="472" w:firstLineChars="200"/>
        <w:textAlignment w:val="auto"/>
        <w:rPr>
          <w:rFonts w:hint="eastAsia"/>
          <w:color w:val="auto"/>
        </w:rPr>
      </w:pPr>
      <w:r>
        <w:rPr>
          <w:rFonts w:hint="eastAsia"/>
          <w:color w:val="auto"/>
        </w:rPr>
        <w:t>2.《国家税务总局关于印发〈税务行政处罚听证程序实施办法（试行）〉、〈税务案件调查取证与处罚决定分开制度实施办法（试行）〉的通知》（国税发〔1996〕190号）附件一第三至第十九条</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“第一条　为了规范税务行政处罚听证程序的实施，保护公民、法人和其他组织的合法权益，根据《中华人民共和国行政处罚法》，制定本实施办法。</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第二条　税务行政处罚的听证，遵循合法、公正、公开、及时和便民的原则。</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第三条　税务机关对公民作出2000元以上（含本数）罚款或者对法人或者其他组织作出1万元以上（含本数）罚款的行政处罚之前，应当向当事人送达《税务行政处罚事项告知书》，告知当事人已经查明的违法事实、证据、行政处罚的法律依据和拟将给予的行政处罚，并告知有要求举行听证的权利。</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第四条　要求听证的当事人，应当在《税务行政处罚事项告知书》送达后3日内向税务机关书面提出听证；逾期不提出的、视为放弃听证权利。</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当事人要求听证的，税务机关应当组织听证。</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第五条　税务机关应当在收到当事人听证要求后15日内举行听证，并在举行听证的7日前将《税务行政处罚听证通知书》送达当事人，通知当事人举行听证的时间、地点、听证主持人的姓名及有关事项。</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当事人由于不可抗力或者其他特殊情况而耽误提出听证期限的，在障碍消除后5日以内，可以申请延长期限。申请是否准许，由组织听证的税务机关决定。</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第六条　当事人提出听证后，税务机关发现自己拟作的行政处罚决定对事实认定有错误或者偏差，应当予以改变，并及时向当事人说明。</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第七条　税务行政处罚的听证，由税务机关负责人指定的非本案调查机构的人员主持，当事人、本案调查人员及其他有关人员参加。</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听证主持人应当依法行使职权，不受任何组织和个人的干涉。</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第八条　当事人可以亲自参加听证，也可以委托一至二人代理。当事人委托代理人参加听证的，应当向其代理人出具代理委托书。代理委托书应当注明有关事项，并经税务机关或者听证主持人审核确认。</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第九条　当事人认为听证主持人与本案有直接利害关系的，有权申请回避。回避申请，应当在举行听证的3日前向税务机关提出，并说明理由。</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听证主持人是本案当事人的近亲属，或者认为自己与本案有直接利害关系或其他关系可能影响公正听证的，应当自行提出回避。</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第十条　听证主持人的回避，由组织听证的税务机关负责人决定。</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对驳回申请回避的决定，当事人可以申请复核一次。</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第十一条　税务行政处罚听证应当公开进行。但是涉及国家秘密、商业秘密或者个人隐私的，听证不公开进行。</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对公开听证的案件，应当先期公告当事人和本案调查人员的姓名、案由和听证的时间、地点。</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公开进行的听证，应当允许群众旁听。经听证主持人许可，旁听群众可以发表意见。</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对不公开听证的案件，应当宣布不公开听证的理由。</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第十二条　当事人或者其代理人应当按照税务机关的通知参加听证，无正当理由不参加的，视为放弃听证权利。听证应当予以终止。</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本案调查人员有前款规定情形的，不影响听证的进行。</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第十三条　听证开始时，听证主持人应当首先声明并出示税务机关负责人授权主持听证的决定，然后查明当事人或者其代理人、本案调查人员、证人及其他有关人员是否到场，宣布案由；宣布听证会的组成人员名单；告知当事人有关的权利义务。记录员宣读听证会场纪律。</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第十四条　听证过程中，由本案调查人员就当事人的违法行为予以指控，并出示事实证据材料，提出行政处罚建议。当事人或者其代理人可以就所指控的事实及相关问题进行申辩和质证。</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听证主持人可以对本案所及事实进行询问，保障控辩双方充分陈述事实，发表意见，并就各自出示的证据的合法性、真实性进行辩论。辩论先由本案调查人员发言，再由当事人或者其代理人答辩，然后双方相互辩论。</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辩论终结，听证主持人可以再就本案的事实、证据及有关问题向当事人或者其代理人、本案调查人员征求意见。当事人或者其代理人有最后陈述的权利。</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第十五条　听证主持人认为证据有疑问无法听证辨明，可能影响税务行政处罚的准确公正的，可以宣布中止听证，由本案调查人员对证据进行调查核实后再行听证。</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当事人或者其代理人可以申请对有关证据进行重新核实，或者提出延期听证；是否准许，由听证主持人或者税务机关作出决定。</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第十六条　听证过程中，当事人或者其代理人放弃申辩和质证权利，声明退出听证会；或者不经听证主持人许可擅自退出听证会的，听证主持人可以宣布听证终止。</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第十七条　听证过程中，当事人或者其代理人、本案调查人员、证人及其他人员违反听证秩序，听证主持人应当警告制止；对不听制止的，可以责令其退出听证会场。</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当事人或者其代理人有前款规定严重行为致使听证无法进行的，听证主持人或者税务机关可以终止听证。</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第十八条　听证的全部活动，应当由记录员写成笔录，经听证主持人审阅并由听证主持人和记录员签名后，封卷上交税务机关负责人审阅。</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听证笔录应交当事人或者其代理人、本案调查人员、证人及其他有关人员阅读或者向他们宣读，他们认为有遗漏或者有差错的，可以请求补充或者改正。他们在承认没有错误后，应当签字或者盖章。拒绝签名或者盖章的，记明情况附卷。</w:t>
      </w: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color w:val="auto"/>
          <w:lang w:eastAsia="zh-CN"/>
        </w:rPr>
      </w:pPr>
      <w:r>
        <w:rPr>
          <w:rFonts w:hint="eastAsia"/>
          <w:color w:val="auto"/>
          <w:lang w:eastAsia="zh-CN"/>
        </w:rPr>
        <w:t>第十九条　听证结束后，听证主持人应当将听证情况和处理意见报告税务机关负责人。”</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ind w:firstLine="352" w:firstLineChars="0"/>
              <w:rPr>
                <w:rFonts w:cs="宋体"/>
                <w:color w:val="auto"/>
                <w:kern w:val="0"/>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ascii="宋体" w:hAnsi="宋体" w:eastAsia="宋体"/>
                <w:color w:val="auto"/>
                <w:sz w:val="18"/>
                <w:szCs w:val="18"/>
              </w:rPr>
              <w:t>《听证申请书》</w:t>
            </w:r>
          </w:p>
        </w:tc>
        <w:tc>
          <w:tcPr>
            <w:tcW w:w="709" w:type="dxa"/>
            <w:shd w:val="clear" w:color="auto" w:fill="auto"/>
            <w:vAlign w:val="center"/>
          </w:tcPr>
          <w:p>
            <w:pPr>
              <w:pStyle w:val="13"/>
              <w:widowControl/>
              <w:spacing w:before="100" w:after="100"/>
              <w:ind w:firstLine="352" w:firstLineChars="0"/>
              <w:rPr>
                <w:rFonts w:cs="宋体"/>
                <w:color w:val="auto"/>
                <w:kern w:val="0"/>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ind w:firstLine="352"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ind w:firstLine="352" w:firstLineChars="0"/>
              <w:rPr>
                <w:rFonts w:hint="eastAsia" w:eastAsia="宋体" w:cs="宋体"/>
                <w:color w:val="auto"/>
                <w:kern w:val="0"/>
                <w:sz w:val="18"/>
                <w:szCs w:val="18"/>
                <w:lang w:val="en-US" w:eastAsia="zh-CN"/>
              </w:rPr>
            </w:pPr>
            <w:r>
              <w:rPr>
                <w:rFonts w:hint="eastAsia" w:ascii="宋体" w:hAnsi="宋体" w:eastAsia="宋体" w:cs="微软雅黑"/>
                <w:color w:val="auto"/>
                <w:sz w:val="18"/>
                <w:szCs w:val="18"/>
              </w:rPr>
              <w:t>2</w:t>
            </w:r>
          </w:p>
        </w:tc>
        <w:tc>
          <w:tcPr>
            <w:tcW w:w="2551" w:type="dxa"/>
            <w:shd w:val="clear" w:color="auto" w:fill="auto"/>
            <w:vAlign w:val="center"/>
          </w:tcPr>
          <w:p>
            <w:pPr>
              <w:pStyle w:val="13"/>
              <w:widowControl/>
              <w:spacing w:before="100" w:after="100" w:line="280" w:lineRule="exact"/>
              <w:ind w:firstLine="0" w:firstLineChars="0"/>
              <w:jc w:val="center"/>
              <w:rPr>
                <w:rFonts w:hint="eastAsia" w:ascii="宋体" w:hAnsi="宋体" w:eastAsia="宋体" w:cs="宋体"/>
                <w:color w:val="auto"/>
                <w:sz w:val="18"/>
                <w:szCs w:val="18"/>
              </w:rPr>
            </w:pPr>
            <w:r>
              <w:rPr>
                <w:rFonts w:hint="eastAsia" w:ascii="宋体" w:hAnsi="宋体" w:eastAsia="宋体" w:cs="Arial"/>
                <w:color w:val="auto"/>
                <w:kern w:val="2"/>
                <w:sz w:val="18"/>
                <w:szCs w:val="22"/>
              </w:rPr>
              <w:t>《听证延期申请书》</w:t>
            </w:r>
          </w:p>
        </w:tc>
        <w:tc>
          <w:tcPr>
            <w:tcW w:w="709" w:type="dxa"/>
            <w:shd w:val="clear" w:color="auto" w:fill="auto"/>
            <w:vAlign w:val="center"/>
          </w:tcPr>
          <w:p>
            <w:pPr>
              <w:pStyle w:val="13"/>
              <w:widowControl/>
              <w:spacing w:before="100" w:after="100"/>
              <w:ind w:firstLine="352" w:firstLineChars="0"/>
              <w:rPr>
                <w:rFonts w:ascii="宋体" w:hAnsi="宋体" w:eastAsia="宋体" w:cs="宋体"/>
                <w:color w:val="auto"/>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hint="eastAsia" w:ascii="宋体" w:hAnsi="宋体" w:eastAsia="宋体" w:cs="宋体"/>
                <w:color w:val="auto"/>
                <w:sz w:val="18"/>
                <w:szCs w:val="18"/>
              </w:rPr>
            </w:pPr>
            <w:r>
              <w:rPr>
                <w:rFonts w:hint="eastAsia" w:ascii="宋体" w:hAnsi="宋体" w:eastAsia="宋体" w:cs="微软雅黑"/>
                <w:color w:val="auto"/>
                <w:sz w:val="18"/>
                <w:szCs w:val="18"/>
              </w:rPr>
              <w:t>条件</w:t>
            </w:r>
            <w:r>
              <w:rPr>
                <w:rFonts w:ascii="宋体" w:hAnsi="宋体" w:eastAsia="宋体" w:cs="微软雅黑"/>
                <w:color w:val="auto"/>
                <w:sz w:val="18"/>
                <w:szCs w:val="18"/>
              </w:rPr>
              <w:t>报送</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eastAsia="宋体" w:cs="Arial"/>
                <w:color w:val="auto"/>
                <w:kern w:val="2"/>
                <w:sz w:val="18"/>
                <w:szCs w:val="22"/>
              </w:rPr>
              <w:t>当事人由于不可抗力或者其他特殊情况而耽误听证期限的，在障碍消除后5日以内申请</w:t>
            </w:r>
            <w:r>
              <w:rPr>
                <w:rFonts w:ascii="宋体" w:hAnsi="宋体" w:eastAsia="宋体" w:cs="Arial"/>
                <w:color w:val="auto"/>
                <w:kern w:val="2"/>
                <w:sz w:val="18"/>
                <w:szCs w:val="22"/>
              </w:rPr>
              <w:t>延期</w:t>
            </w:r>
            <w:r>
              <w:rPr>
                <w:rFonts w:hint="eastAsia" w:ascii="宋体" w:hAnsi="宋体" w:eastAsia="宋体" w:cs="Arial"/>
                <w:color w:val="auto"/>
                <w:kern w:val="2"/>
                <w:sz w:val="18"/>
                <w:szCs w:val="22"/>
              </w:rPr>
              <w:t>听</w:t>
            </w:r>
            <w:r>
              <w:rPr>
                <w:rFonts w:ascii="宋体" w:hAnsi="宋体" w:eastAsia="宋体" w:cs="Arial"/>
                <w:color w:val="auto"/>
                <w:kern w:val="2"/>
                <w:sz w:val="18"/>
                <w:szCs w:val="22"/>
              </w:rPr>
              <w:t>证的情</w:t>
            </w:r>
            <w:r>
              <w:rPr>
                <w:rFonts w:hint="eastAsia" w:ascii="宋体" w:hAnsi="宋体" w:eastAsia="宋体" w:cs="Arial"/>
                <w:color w:val="auto"/>
                <w:kern w:val="2"/>
                <w:sz w:val="18"/>
                <w:szCs w:val="22"/>
              </w:rPr>
              <w:t>形</w:t>
            </w:r>
          </w:p>
        </w:tc>
        <w:tc>
          <w:tcPr>
            <w:tcW w:w="1134" w:type="dxa"/>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lang w:eastAsia="zh-CN"/>
              </w:rPr>
              <w:t>税务机关</w:t>
            </w:r>
            <w:r>
              <w:rPr>
                <w:rFonts w:hint="eastAsia" w:ascii="宋体" w:hAnsi="宋体" w:eastAsia="宋体" w:cs="微软雅黑"/>
                <w:color w:val="auto"/>
                <w:sz w:val="18"/>
                <w:szCs w:val="18"/>
              </w:rPr>
              <w:t>留存</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eastAsia="宋体" w:cs="宋体"/>
                <w:color w:val="auto"/>
                <w:kern w:val="0"/>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ind w:firstLine="352" w:firstLineChars="0"/>
              <w:rPr>
                <w:rFonts w:hint="eastAsia" w:eastAsia="宋体" w:cs="宋体"/>
                <w:color w:val="auto"/>
                <w:kern w:val="0"/>
                <w:sz w:val="18"/>
                <w:szCs w:val="18"/>
                <w:lang w:val="en-US" w:eastAsia="zh-CN"/>
              </w:rPr>
            </w:pPr>
            <w:r>
              <w:rPr>
                <w:rFonts w:hint="eastAsia" w:ascii="宋体" w:hAnsi="宋体" w:eastAsia="宋体" w:cs="微软雅黑"/>
                <w:color w:val="auto"/>
                <w:sz w:val="18"/>
                <w:szCs w:val="18"/>
              </w:rPr>
              <w:t>3</w:t>
            </w:r>
          </w:p>
        </w:tc>
        <w:tc>
          <w:tcPr>
            <w:tcW w:w="2551" w:type="dxa"/>
            <w:shd w:val="clear" w:color="auto" w:fill="auto"/>
            <w:vAlign w:val="center"/>
          </w:tcPr>
          <w:p>
            <w:pPr>
              <w:pStyle w:val="13"/>
              <w:widowControl/>
              <w:spacing w:before="100" w:after="100" w:line="280" w:lineRule="exact"/>
              <w:ind w:firstLine="0" w:firstLineChars="0"/>
              <w:jc w:val="center"/>
              <w:rPr>
                <w:rFonts w:hint="eastAsia"/>
                <w:color w:val="auto"/>
                <w:sz w:val="18"/>
                <w:szCs w:val="18"/>
              </w:rPr>
            </w:pPr>
            <w:r>
              <w:rPr>
                <w:rFonts w:hint="eastAsia" w:ascii="宋体" w:hAnsi="宋体" w:eastAsia="宋体" w:cs="Arial"/>
                <w:color w:val="auto"/>
                <w:kern w:val="2"/>
                <w:sz w:val="18"/>
                <w:szCs w:val="22"/>
              </w:rPr>
              <w:t>不可抗力或者其他特殊情况的证明材料</w:t>
            </w:r>
          </w:p>
        </w:tc>
        <w:tc>
          <w:tcPr>
            <w:tcW w:w="709" w:type="dxa"/>
            <w:shd w:val="clear" w:color="auto" w:fill="auto"/>
            <w:vAlign w:val="center"/>
          </w:tcPr>
          <w:p>
            <w:pPr>
              <w:pStyle w:val="13"/>
              <w:widowControl/>
              <w:spacing w:before="100" w:after="100"/>
              <w:ind w:firstLine="352" w:firstLineChars="0"/>
              <w:rPr>
                <w:color w:val="auto"/>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hint="eastAsia"/>
                <w:color w:val="auto"/>
                <w:sz w:val="18"/>
                <w:szCs w:val="18"/>
              </w:rPr>
            </w:pPr>
            <w:r>
              <w:rPr>
                <w:rFonts w:hint="eastAsia" w:ascii="宋体" w:hAnsi="宋体" w:eastAsia="宋体" w:cs="微软雅黑"/>
                <w:color w:val="auto"/>
                <w:sz w:val="18"/>
                <w:szCs w:val="18"/>
              </w:rPr>
              <w:t>条件</w:t>
            </w:r>
            <w:r>
              <w:rPr>
                <w:rFonts w:ascii="宋体" w:hAnsi="宋体" w:eastAsia="宋体" w:cs="微软雅黑"/>
                <w:color w:val="auto"/>
                <w:sz w:val="18"/>
                <w:szCs w:val="18"/>
              </w:rPr>
              <w:t>报送</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eastAsia="宋体" w:cs="Arial"/>
                <w:color w:val="auto"/>
                <w:kern w:val="2"/>
                <w:sz w:val="18"/>
                <w:szCs w:val="22"/>
              </w:rPr>
              <w:t>当事人由于不可抗力或者其他特殊情况而耽误听证期限的，在障碍消除后5日以内申请</w:t>
            </w:r>
            <w:r>
              <w:rPr>
                <w:rFonts w:ascii="宋体" w:hAnsi="宋体" w:eastAsia="宋体" w:cs="Arial"/>
                <w:color w:val="auto"/>
                <w:kern w:val="2"/>
                <w:sz w:val="18"/>
                <w:szCs w:val="22"/>
              </w:rPr>
              <w:t>延期</w:t>
            </w:r>
            <w:r>
              <w:rPr>
                <w:rFonts w:hint="eastAsia" w:ascii="宋体" w:hAnsi="宋体" w:eastAsia="宋体" w:cs="Arial"/>
                <w:color w:val="auto"/>
                <w:kern w:val="2"/>
                <w:sz w:val="18"/>
                <w:szCs w:val="22"/>
              </w:rPr>
              <w:t>听</w:t>
            </w:r>
            <w:r>
              <w:rPr>
                <w:rFonts w:ascii="宋体" w:hAnsi="宋体" w:eastAsia="宋体" w:cs="Arial"/>
                <w:color w:val="auto"/>
                <w:kern w:val="2"/>
                <w:sz w:val="18"/>
                <w:szCs w:val="22"/>
              </w:rPr>
              <w:t>证的情</w:t>
            </w:r>
            <w:r>
              <w:rPr>
                <w:rFonts w:hint="eastAsia" w:ascii="宋体" w:hAnsi="宋体" w:eastAsia="宋体" w:cs="Arial"/>
                <w:color w:val="auto"/>
                <w:kern w:val="2"/>
                <w:sz w:val="18"/>
                <w:szCs w:val="22"/>
              </w:rPr>
              <w:t>形</w:t>
            </w:r>
          </w:p>
        </w:tc>
        <w:tc>
          <w:tcPr>
            <w:tcW w:w="1134" w:type="dxa"/>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lang w:eastAsia="zh-CN"/>
              </w:rPr>
              <w:t>税务机关</w:t>
            </w:r>
            <w:r>
              <w:rPr>
                <w:rFonts w:hint="eastAsia" w:ascii="宋体" w:hAnsi="宋体" w:eastAsia="宋体" w:cs="微软雅黑"/>
                <w:color w:val="auto"/>
                <w:sz w:val="18"/>
                <w:szCs w:val="18"/>
              </w:rPr>
              <w:t>留存</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lang w:eastAsia="zh-CN"/>
              </w:rPr>
            </w:pP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Times New Roman"/>
          <w:color w:val="auto"/>
          <w:kern w:val="2"/>
          <w:sz w:val="24"/>
          <w:szCs w:val="22"/>
          <w:lang w:val="en-US" w:eastAsia="zh-CN" w:bidi="ar-SA"/>
        </w:rPr>
      </w:pPr>
      <w:r>
        <w:rPr>
          <w:rFonts w:ascii="楷体" w:hAnsi="楷体" w:eastAsia="楷体"/>
          <w:color w:val="auto"/>
          <w:sz w:val="28"/>
          <w:szCs w:val="28"/>
        </w:rPr>
        <w:object>
          <v:shape id="_x0000_i1188" o:spt="75" type="#_x0000_t75" style="height:197.3pt;width:439.25pt;" o:ole="t" filled="f" o:preferrelative="t" stroked="f" coordsize="21600,21600">
            <v:path/>
            <v:fill on="f" focussize="0,0"/>
            <v:stroke on="f"/>
            <v:imagedata r:id="rId11" o:title=""/>
            <o:lock v:ext="edit" aspectratio="t"/>
            <w10:wrap type="none"/>
            <w10:anchorlock/>
          </v:shape>
          <o:OLEObject Type="Embed" ProgID="Visio.Drawing.11" ShapeID="_x0000_i1188"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val="en-US" w:eastAsia="zh-CN"/>
        </w:rPr>
        <w:t>限时</w:t>
      </w:r>
      <w:r>
        <w:rPr>
          <w:rFonts w:hint="eastAsia"/>
          <w:color w:val="auto"/>
        </w:rPr>
        <w:t>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1.A12027《听证申请书》</w:t>
      </w:r>
    </w:p>
    <w:p>
      <w:pPr>
        <w:ind w:firstLine="472"/>
        <w:rPr>
          <w:rFonts w:hint="default" w:eastAsia="宋体"/>
          <w:color w:val="auto"/>
          <w:lang w:val="en-US" w:eastAsia="zh-CN"/>
        </w:rPr>
      </w:pPr>
      <w:r>
        <w:rPr>
          <w:rFonts w:hint="eastAsia"/>
          <w:color w:val="auto"/>
          <w:lang w:val="en-US" w:eastAsia="zh-CN"/>
        </w:rPr>
        <w:t>2.A12031《听证延期申请书》</w:t>
      </w:r>
    </w:p>
    <w:p>
      <w:pPr>
        <w:pStyle w:val="3"/>
        <w:ind w:firstLine="552"/>
        <w:rPr>
          <w:color w:val="auto"/>
        </w:rPr>
      </w:pPr>
      <w:r>
        <w:rPr>
          <w:rFonts w:hint="eastAsia"/>
          <w:color w:val="auto"/>
        </w:rPr>
        <w:t>九、注意事项</w:t>
      </w:r>
    </w:p>
    <w:p>
      <w:pPr>
        <w:ind w:firstLine="472"/>
        <w:rPr>
          <w:color w:val="auto"/>
        </w:rPr>
      </w:pPr>
      <w:r>
        <w:rPr>
          <w:rFonts w:hint="eastAsia"/>
          <w:color w:val="auto"/>
        </w:rPr>
        <w:t>1.附报资料中通过电子税务局等渠道已提交电子资料的不再报送纸质资料</w:t>
      </w:r>
      <w:r>
        <w:rPr>
          <w:color w:val="auto"/>
        </w:rPr>
        <w:t>。</w:t>
      </w:r>
    </w:p>
    <w:p>
      <w:pPr>
        <w:ind w:firstLine="472"/>
        <w:rPr>
          <w:color w:val="auto"/>
        </w:rPr>
      </w:pPr>
      <w:r>
        <w:rPr>
          <w:rFonts w:hint="eastAsia"/>
          <w:color w:val="auto"/>
          <w:lang w:val="en-US" w:eastAsia="zh-CN"/>
        </w:rPr>
        <w:t>2</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3</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4</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rFonts w:hint="eastAsia"/>
          <w:color w:val="auto"/>
        </w:rPr>
      </w:pPr>
      <w:r>
        <w:rPr>
          <w:rFonts w:hint="eastAsia"/>
          <w:color w:val="auto"/>
        </w:rPr>
        <w:t>主管税务机关</w:t>
      </w:r>
      <w:r>
        <w:rPr>
          <w:rFonts w:hint="eastAsia"/>
          <w:color w:val="auto"/>
          <w:lang w:val="en-US" w:eastAsia="zh-CN"/>
        </w:rPr>
        <w:t>办理时间</w:t>
      </w:r>
      <w:r>
        <w:rPr>
          <w:rFonts w:hint="eastAsia"/>
          <w:color w:val="auto"/>
        </w:rPr>
        <w:t>详见办税地图：</w:t>
      </w:r>
    </w:p>
    <w:p>
      <w:pPr>
        <w:ind w:firstLine="472"/>
        <w:rPr>
          <w:color w:val="auto"/>
        </w:rPr>
      </w:pPr>
      <w:r>
        <w:rPr>
          <w:rFonts w:hint="eastAsia"/>
          <w:color w:val="auto"/>
        </w:rPr>
        <w:t>https://12366.chinatax.gov.cn/bsfw/bsdt/</w:t>
      </w:r>
    </w:p>
    <w:p>
      <w:pPr>
        <w:pStyle w:val="3"/>
        <w:ind w:firstLine="552"/>
        <w:rPr>
          <w:color w:val="auto"/>
        </w:rPr>
      </w:pPr>
      <w:r>
        <w:rPr>
          <w:rFonts w:hint="eastAsia"/>
          <w:color w:val="auto"/>
        </w:rPr>
        <w:t>十一、办理地点</w:t>
      </w:r>
    </w:p>
    <w:p>
      <w:pPr>
        <w:ind w:firstLine="472"/>
        <w:rPr>
          <w:rFonts w:hint="eastAsia" w:eastAsia="宋体"/>
          <w:color w:val="auto"/>
          <w:lang w:eastAsia="zh-CN"/>
        </w:rPr>
      </w:pPr>
      <w:r>
        <w:rPr>
          <w:rFonts w:hint="eastAsia"/>
          <w:color w:val="auto"/>
        </w:rPr>
        <w:t>主管县（市、区）税务机关法制管理部门</w:t>
      </w:r>
    </w:p>
    <w:p>
      <w:pPr>
        <w:ind w:firstLine="472"/>
        <w:rPr>
          <w:rFonts w:hint="eastAsia"/>
          <w:color w:val="auto"/>
        </w:rPr>
      </w:pPr>
      <w:r>
        <w:rPr>
          <w:rFonts w:hint="eastAsia"/>
          <w:color w:val="auto"/>
        </w:rPr>
        <w:t>主管税务机关</w:t>
      </w:r>
      <w:r>
        <w:rPr>
          <w:rFonts w:hint="eastAsia"/>
          <w:color w:val="auto"/>
          <w:lang w:val="en-US" w:eastAsia="zh-CN"/>
        </w:rPr>
        <w:t>地址</w:t>
      </w:r>
      <w:r>
        <w:rPr>
          <w:rFonts w:hint="eastAsia"/>
          <w:color w:val="auto"/>
        </w:rPr>
        <w:t>详见办税地图：</w:t>
      </w:r>
    </w:p>
    <w:p>
      <w:pPr>
        <w:ind w:firstLine="472"/>
        <w:rPr>
          <w:rFonts w:hint="eastAsia"/>
          <w:color w:val="auto"/>
        </w:rPr>
      </w:pPr>
      <w:r>
        <w:rPr>
          <w:rFonts w:hint="eastAsia"/>
          <w:color w:val="auto"/>
        </w:rPr>
        <w:t>https://12366.chinatax.gov.cn/bsfw/bsdt/</w:t>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拨打12366热线</w:t>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2FC6475D"/>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2019-10-31T05:14:51Z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