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6141"/>
      <w:r>
        <w:rPr>
          <w:rFonts w:hint="eastAsia" w:ascii="黑体" w:hAnsi="黑体" w:cs="黑体"/>
          <w:color w:val="auto"/>
        </w:rPr>
        <w:t>1.5.5.5《出口货物转内销证明》开具</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《出口货物转内销证明》开具</w:t>
      </w:r>
    </w:p>
    <w:p>
      <w:pPr>
        <w:pStyle w:val="3"/>
        <w:ind w:firstLine="552"/>
        <w:rPr>
          <w:color w:val="auto"/>
        </w:rPr>
      </w:pPr>
      <w:r>
        <w:rPr>
          <w:color w:val="auto"/>
        </w:rPr>
        <w:t>二、事项类别</w:t>
      </w:r>
    </w:p>
    <w:p>
      <w:pPr>
        <w:numPr>
          <w:ilvl w:val="0"/>
          <w:numId w:val="3"/>
        </w:numPr>
        <w:ind w:left="0" w:firstLine="480"/>
        <w:rPr>
          <w:rFonts w:hint="eastAsia"/>
          <w:color w:val="auto"/>
        </w:rPr>
      </w:pPr>
      <w:r>
        <w:rPr>
          <w:rFonts w:hint="eastAsia"/>
          <w:color w:val="auto"/>
        </w:rPr>
        <w:t>发起方式：人工发起（纳税人）</w:t>
      </w:r>
    </w:p>
    <w:p>
      <w:pPr>
        <w:numPr>
          <w:ilvl w:val="0"/>
          <w:numId w:val="3"/>
        </w:numPr>
        <w:ind w:left="0" w:firstLine="480"/>
        <w:rPr>
          <w:rFonts w:hint="eastAsia"/>
          <w:color w:val="auto"/>
        </w:rPr>
      </w:pPr>
      <w:r>
        <w:rPr>
          <w:rFonts w:hint="eastAsia"/>
          <w:color w:val="auto"/>
        </w:rPr>
        <w:t>办结方式：即办</w:t>
      </w:r>
    </w:p>
    <w:p>
      <w:pPr>
        <w:numPr>
          <w:ilvl w:val="0"/>
          <w:numId w:val="3"/>
        </w:numPr>
        <w:ind w:left="0" w:firstLine="480"/>
        <w:rPr>
          <w:rFonts w:hint="eastAsia"/>
          <w:color w:val="auto"/>
        </w:rPr>
      </w:pPr>
      <w:r>
        <w:rPr>
          <w:rFonts w:hint="eastAsia"/>
          <w:color w:val="auto"/>
        </w:rPr>
        <w:t>全省通办：否</w:t>
      </w:r>
    </w:p>
    <w:p>
      <w:pPr>
        <w:numPr>
          <w:ilvl w:val="0"/>
          <w:numId w:val="3"/>
        </w:numPr>
        <w:ind w:left="0" w:firstLine="480"/>
        <w:rPr>
          <w:rFonts w:hint="eastAsia"/>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80"/>
        <w:rPr>
          <w:rFonts w:hint="eastAsia"/>
          <w:color w:val="auto"/>
        </w:rPr>
      </w:pPr>
      <w:r>
        <w:rPr>
          <w:rFonts w:hint="eastAsia"/>
          <w:color w:val="auto"/>
        </w:rPr>
        <w:t>外贸企业发生原记入出口库存账的出口货物转内销或视同内销货物征税的，以及已申报退（免）税的出口货物发生退运并转内销的，外贸企业于发生内销或视同内销货物的当月申请开具《出口货物转内销证明》的，税务机关按规定为其开具。</w:t>
      </w:r>
    </w:p>
    <w:p>
      <w:pPr>
        <w:ind w:firstLine="472"/>
        <w:rPr>
          <w:color w:val="auto"/>
        </w:rPr>
      </w:pPr>
      <w:r>
        <w:rPr>
          <w:rFonts w:hint="eastAsia"/>
          <w:color w:val="auto"/>
          <w:szCs w:val="24"/>
        </w:rPr>
        <w:t>原执行免退税办法的企业，在批准变更次月的增值税纳税申报期内可将原计入出口库存账的且未申报免退税的出口货物向主管税务机关申请开具《出口转内销证明》。</w:t>
      </w:r>
    </w:p>
    <w:p>
      <w:pPr>
        <w:pStyle w:val="3"/>
        <w:ind w:firstLine="552"/>
        <w:rPr>
          <w:color w:val="auto"/>
        </w:rPr>
      </w:pPr>
      <w:r>
        <w:rPr>
          <w:rFonts w:hint="eastAsia"/>
          <w:color w:val="auto"/>
        </w:rPr>
        <w:t>四、设定依据</w:t>
      </w:r>
    </w:p>
    <w:p>
      <w:pPr>
        <w:ind w:firstLine="480"/>
        <w:rPr>
          <w:rFonts w:hint="eastAsia" w:eastAsia="宋体"/>
          <w:color w:val="auto"/>
          <w:lang w:val="en-US" w:eastAsia="zh-CN"/>
        </w:rPr>
      </w:pPr>
      <w:r>
        <w:rPr>
          <w:rFonts w:hint="eastAsia"/>
          <w:color w:val="auto"/>
          <w:lang w:val="en-US" w:eastAsia="zh-CN"/>
        </w:rPr>
        <w:t>1.</w:t>
      </w:r>
      <w:r>
        <w:rPr>
          <w:rFonts w:hint="eastAsia"/>
          <w:color w:val="auto"/>
        </w:rPr>
        <w:t>《国家税务总局关于发布〈出口货物劳务增值税和消费税管理办法〉的公告》（国家税务总局公告2012年第24号）第十条</w:t>
      </w:r>
      <w:r>
        <w:rPr>
          <w:rFonts w:hint="eastAsia"/>
          <w:color w:val="auto"/>
          <w:lang w:val="en-US" w:eastAsia="zh-CN"/>
        </w:rPr>
        <w:t>第六款</w:t>
      </w:r>
    </w:p>
    <w:p>
      <w:pPr>
        <w:ind w:firstLine="480"/>
        <w:rPr>
          <w:rFonts w:hint="eastAsia"/>
          <w:color w:val="auto"/>
        </w:rPr>
      </w:pPr>
      <w:r>
        <w:rPr>
          <w:rFonts w:hint="eastAsia"/>
          <w:color w:val="auto"/>
          <w:kern w:val="0"/>
          <w:lang w:eastAsia="zh-CN"/>
        </w:rPr>
        <w:t>“</w:t>
      </w:r>
      <w:r>
        <w:rPr>
          <w:rFonts w:hint="eastAsia" w:ascii="宋体" w:hAnsi="宋体"/>
          <w:color w:val="auto"/>
          <w:kern w:val="0"/>
        </w:rPr>
        <w:t>十、</w:t>
      </w:r>
      <w:r>
        <w:rPr>
          <w:rFonts w:hint="eastAsia"/>
          <w:color w:val="auto"/>
        </w:rPr>
        <w:t>有关单证证明的办理</w:t>
      </w:r>
    </w:p>
    <w:p>
      <w:pPr>
        <w:rPr>
          <w:rFonts w:hint="eastAsia" w:ascii="宋体" w:hAnsi="宋体" w:eastAsia="宋体"/>
          <w:color w:val="auto"/>
          <w:kern w:val="0"/>
          <w:lang w:val="en-US" w:eastAsia="zh-CN"/>
        </w:rPr>
      </w:pPr>
      <w:r>
        <w:rPr>
          <w:rFonts w:hint="eastAsia"/>
          <w:color w:val="auto"/>
        </w:rPr>
        <w:t>（六）出口货物转内销证明</w:t>
      </w:r>
      <w:r>
        <w:rPr>
          <w:rFonts w:hint="eastAsia"/>
          <w:color w:val="auto"/>
        </w:rPr>
        <w:br w:type="textWrapping"/>
      </w:r>
      <w:r>
        <w:rPr>
          <w:rFonts w:hint="eastAsia"/>
          <w:color w:val="auto"/>
        </w:rPr>
        <w:t>　　外贸企业发生原记入出口库存账的出口货物转内销或视同内销货物征税的，以及已申报退（免）税的出口货物发生退运并转内销的，外贸企业应于发生内销或视同内销货物的当月向主管税务机关申请开具出口货物转内销证明。申请开具出口货物转内销证明时，应填报《出口货物转内销证明申报表》，提供正式申报电子数据及下列资料：</w:t>
      </w:r>
      <w:r>
        <w:rPr>
          <w:rFonts w:hint="eastAsia"/>
          <w:color w:val="auto"/>
        </w:rPr>
        <w:br w:type="textWrapping"/>
      </w:r>
      <w:r>
        <w:rPr>
          <w:rFonts w:hint="eastAsia"/>
          <w:color w:val="auto"/>
        </w:rPr>
        <w:t>　　1．增值税专用发票（抵扣联）、海关进口增值税专用缴款书、进货分批申报单、出口货物退运已补税（未退税）证明原件及复印件；</w:t>
      </w:r>
      <w:r>
        <w:rPr>
          <w:rFonts w:hint="eastAsia"/>
          <w:color w:val="auto"/>
        </w:rPr>
        <w:br w:type="textWrapping"/>
      </w:r>
      <w:r>
        <w:rPr>
          <w:rFonts w:hint="eastAsia"/>
          <w:color w:val="auto"/>
        </w:rPr>
        <w:t>　　2．内销货物发票（记账联）原件及复印件；</w:t>
      </w:r>
      <w:r>
        <w:rPr>
          <w:rFonts w:hint="eastAsia"/>
          <w:color w:val="auto"/>
        </w:rPr>
        <w:br w:type="textWrapping"/>
      </w:r>
      <w:r>
        <w:rPr>
          <w:rFonts w:hint="eastAsia"/>
          <w:color w:val="auto"/>
        </w:rPr>
        <w:t>　　3．主管税务机关要求报送的其他资料。</w:t>
      </w:r>
      <w:r>
        <w:rPr>
          <w:rFonts w:hint="eastAsia"/>
          <w:color w:val="auto"/>
        </w:rPr>
        <w:br w:type="textWrapping"/>
      </w:r>
      <w:r>
        <w:rPr>
          <w:rFonts w:hint="eastAsia"/>
          <w:color w:val="auto"/>
        </w:rPr>
        <w:t>　　外贸企业应在取得出口货物转内销证明的下一个增值税纳税申报期内申报纳税时，以此作为进项税额的抵扣凭证使用。</w:t>
      </w:r>
      <w:r>
        <w:rPr>
          <w:rFonts w:hint="eastAsia"/>
          <w:color w:val="auto"/>
          <w:kern w:val="0"/>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2551" w:type="dxa"/>
            <w:shd w:val="clear" w:color="auto" w:fill="auto"/>
            <w:vAlign w:val="center"/>
          </w:tcPr>
          <w:p>
            <w:pPr>
              <w:widowControl/>
              <w:spacing w:line="240" w:lineRule="exact"/>
              <w:ind w:firstLine="0" w:firstLineChars="0"/>
              <w:jc w:val="left"/>
              <w:rPr>
                <w:rFonts w:cs="宋体"/>
                <w:color w:val="auto"/>
                <w:kern w:val="0"/>
                <w:sz w:val="18"/>
                <w:szCs w:val="18"/>
              </w:rPr>
            </w:pPr>
            <w:r>
              <w:rPr>
                <w:rFonts w:hint="eastAsia" w:cs="宋体"/>
                <w:color w:val="auto"/>
                <w:kern w:val="0"/>
                <w:sz w:val="18"/>
                <w:szCs w:val="18"/>
              </w:rPr>
              <w:t>《出口货物转内销证明申报表》及正式申报电子数据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40" w:lineRule="exact"/>
              <w:ind w:firstLine="0" w:firstLineChars="0"/>
              <w:jc w:val="left"/>
              <w:rPr>
                <w:rFonts w:cs="宋体"/>
                <w:color w:val="auto"/>
                <w:kern w:val="0"/>
                <w:sz w:val="18"/>
                <w:szCs w:val="18"/>
              </w:rPr>
            </w:pPr>
            <w:r>
              <w:rPr>
                <w:rFonts w:hint="eastAsia" w:cs="宋体"/>
                <w:color w:val="auto"/>
                <w:kern w:val="0"/>
                <w:sz w:val="18"/>
                <w:szCs w:val="18"/>
              </w:rPr>
              <w:t>增值税专用发票（抵扣联）复印件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增值税专用发票（抵扣联）复印件为未抵扣且未申报退税的货物发生内销时企业申请时提供。</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3</w:t>
            </w:r>
          </w:p>
        </w:tc>
        <w:tc>
          <w:tcPr>
            <w:tcW w:w="2551" w:type="dxa"/>
            <w:shd w:val="clear" w:color="auto" w:fill="auto"/>
            <w:vAlign w:val="center"/>
          </w:tcPr>
          <w:p>
            <w:pPr>
              <w:widowControl/>
              <w:spacing w:line="240" w:lineRule="exact"/>
              <w:ind w:firstLine="0" w:firstLineChars="0"/>
              <w:jc w:val="left"/>
              <w:rPr>
                <w:rFonts w:hint="eastAsia" w:cs="宋体"/>
                <w:color w:val="auto"/>
                <w:kern w:val="0"/>
                <w:sz w:val="18"/>
                <w:szCs w:val="18"/>
              </w:rPr>
            </w:pPr>
            <w:r>
              <w:rPr>
                <w:rFonts w:hint="eastAsia" w:cs="宋体"/>
                <w:color w:val="auto"/>
                <w:kern w:val="0"/>
                <w:sz w:val="18"/>
                <w:szCs w:val="18"/>
              </w:rPr>
              <w:t>海关进口增值税专用缴款书复印件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海关进口增值税专用缴款书复印件为未抵扣且未申报退税的进口货物发生内销的，企业申请时提供。</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4</w:t>
            </w:r>
          </w:p>
        </w:tc>
        <w:tc>
          <w:tcPr>
            <w:tcW w:w="2551" w:type="dxa"/>
            <w:shd w:val="clear" w:color="auto" w:fill="auto"/>
            <w:vAlign w:val="center"/>
          </w:tcPr>
          <w:p>
            <w:pPr>
              <w:widowControl/>
              <w:spacing w:line="240" w:lineRule="exact"/>
              <w:ind w:firstLine="0" w:firstLineChars="0"/>
              <w:jc w:val="left"/>
              <w:rPr>
                <w:rFonts w:hint="eastAsia" w:cs="宋体"/>
                <w:color w:val="auto"/>
                <w:kern w:val="0"/>
                <w:sz w:val="18"/>
                <w:szCs w:val="18"/>
              </w:rPr>
            </w:pPr>
            <w:r>
              <w:rPr>
                <w:rFonts w:hint="eastAsia" w:cs="宋体"/>
                <w:color w:val="auto"/>
                <w:kern w:val="0"/>
                <w:sz w:val="18"/>
                <w:szCs w:val="18"/>
              </w:rPr>
              <w:t>出口货物退运已补税（未退税）证明复印件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.A05026出口货物退运已补税（未退税）证明为已申报退（免）税的出口货物发生退运补税并转内销的，企业申请时提供。</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5</w:t>
            </w:r>
          </w:p>
        </w:tc>
        <w:tc>
          <w:tcPr>
            <w:tcW w:w="2551" w:type="dxa"/>
            <w:shd w:val="clear" w:color="auto" w:fill="auto"/>
            <w:vAlign w:val="center"/>
          </w:tcPr>
          <w:p>
            <w:pPr>
              <w:widowControl/>
              <w:spacing w:line="240" w:lineRule="exact"/>
              <w:ind w:firstLine="0" w:firstLineChars="0"/>
              <w:jc w:val="left"/>
              <w:rPr>
                <w:rFonts w:hint="eastAsia" w:cs="宋体"/>
                <w:color w:val="auto"/>
                <w:kern w:val="0"/>
                <w:sz w:val="18"/>
                <w:szCs w:val="18"/>
              </w:rPr>
            </w:pPr>
            <w:r>
              <w:rPr>
                <w:rFonts w:hint="eastAsia" w:cs="宋体"/>
                <w:color w:val="auto"/>
                <w:kern w:val="0"/>
                <w:sz w:val="18"/>
                <w:szCs w:val="18"/>
              </w:rPr>
              <w:t>内销货物发票（记账联）复印件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外贸企业出口视同内销征税的货物时不需提供</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6</w:t>
            </w:r>
          </w:p>
        </w:tc>
        <w:tc>
          <w:tcPr>
            <w:tcW w:w="2551" w:type="dxa"/>
            <w:shd w:val="clear" w:color="auto" w:fill="auto"/>
            <w:vAlign w:val="center"/>
          </w:tcPr>
          <w:p>
            <w:pPr>
              <w:widowControl/>
              <w:spacing w:line="240" w:lineRule="exact"/>
              <w:ind w:firstLine="0" w:firstLineChars="0"/>
              <w:jc w:val="left"/>
              <w:rPr>
                <w:rFonts w:hint="eastAsia" w:cs="宋体"/>
                <w:color w:val="auto"/>
                <w:kern w:val="0"/>
                <w:sz w:val="18"/>
                <w:szCs w:val="18"/>
              </w:rPr>
            </w:pPr>
            <w:r>
              <w:rPr>
                <w:rFonts w:hint="eastAsia" w:cs="宋体"/>
                <w:color w:val="auto"/>
                <w:kern w:val="0"/>
                <w:sz w:val="18"/>
                <w:szCs w:val="18"/>
              </w:rPr>
              <w:t>计提销项税的记账凭证复印件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外贸企业出口视同内销征税的货物时提供</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cs="微软雅黑"/>
          <w:color w:val="auto"/>
        </w:rPr>
        <w:object>
          <v:shape id="_x0000_i1135" o:spt="75" type="#_x0000_t75" style="height:119.1pt;width:354.2pt;" o:ole="t" filled="f" o:preferrelative="t" stroked="f" coordsize="21600,21600">
            <v:path/>
            <v:fill on="f" focussize="0,0"/>
            <v:stroke on="f"/>
            <v:imagedata r:id="rId11" o:title=""/>
            <o:lock v:ext="edit" aspectratio="f"/>
            <w10:wrap type="none"/>
            <w10:anchorlock/>
          </v:shape>
          <o:OLEObject Type="Embed" ProgID="" ShapeID="_x0000_i113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1.A05018《出口货物转内销证明申报表》(A05018《出口货物转内销证明申报表》（填写样例）)</w:t>
      </w:r>
    </w:p>
    <w:p>
      <w:pPr>
        <w:pStyle w:val="3"/>
        <w:ind w:firstLine="552"/>
        <w:rPr>
          <w:color w:val="auto"/>
        </w:rPr>
      </w:pPr>
      <w:r>
        <w:rPr>
          <w:rFonts w:hint="eastAsia"/>
          <w:color w:val="auto"/>
        </w:rPr>
        <w:t>九、注意事项</w:t>
      </w:r>
    </w:p>
    <w:p>
      <w:pPr>
        <w:ind w:firstLine="471" w:firstLineChars="0"/>
        <w:rPr>
          <w:rFonts w:hint="eastAsia"/>
          <w:color w:val="auto"/>
          <w:lang w:val="en-US" w:eastAsia="zh-CN"/>
        </w:rPr>
      </w:pPr>
      <w:r>
        <w:rPr>
          <w:rFonts w:hint="eastAsia"/>
          <w:color w:val="auto"/>
          <w:lang w:val="en-US" w:eastAsia="zh-CN"/>
        </w:rPr>
        <w:t>1.纳税人对报送资料的真实性和合法性承担责任。</w:t>
      </w:r>
    </w:p>
    <w:p>
      <w:pPr>
        <w:rPr>
          <w:rFonts w:hint="eastAsia"/>
          <w:color w:val="auto"/>
          <w:lang w:val="en-US" w:eastAsia="zh-CN"/>
        </w:rPr>
      </w:pPr>
      <w:r>
        <w:rPr>
          <w:rFonts w:hint="eastAsia"/>
          <w:color w:val="auto"/>
          <w:lang w:val="en-US" w:eastAsia="zh-CN"/>
        </w:rPr>
        <w:t>2.最多跑一次是在资料完整且符合法定受理条件的前提下，最多只需要到税务机关跑一次。</w:t>
      </w:r>
    </w:p>
    <w:p>
      <w:pPr>
        <w:rPr>
          <w:rFonts w:hint="eastAsia"/>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C600A09"/>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2019-10-31T04:53:04Z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