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29246"/>
      <w:r>
        <w:rPr>
          <w:rFonts w:hint="eastAsia" w:ascii="黑体" w:hAnsi="黑体"/>
          <w:color w:val="auto"/>
        </w:rPr>
        <w:t>1.2.8发票防伪用品核销</w:t>
      </w:r>
      <w:bookmarkEnd w:id="0"/>
    </w:p>
    <w:p>
      <w:pPr>
        <w:pStyle w:val="3"/>
        <w:ind w:firstLine="552"/>
        <w:rPr>
          <w:color w:val="auto"/>
        </w:rPr>
      </w:pPr>
      <w:r>
        <w:rPr>
          <w:color w:val="auto"/>
        </w:rPr>
        <w:t>一、事项名称</w:t>
      </w:r>
    </w:p>
    <w:p>
      <w:pPr>
        <w:ind w:firstLine="472"/>
        <w:rPr>
          <w:color w:val="auto"/>
        </w:rPr>
      </w:pPr>
      <w:r>
        <w:rPr>
          <w:rFonts w:hint="eastAsia"/>
          <w:color w:val="auto"/>
        </w:rPr>
        <w:t>发票防伪用品核销</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办结方式：限时办结</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网上办理：否</w:t>
      </w:r>
    </w:p>
    <w:p>
      <w:pPr>
        <w:pStyle w:val="47"/>
        <w:numPr>
          <w:ilvl w:val="0"/>
          <w:numId w:val="3"/>
        </w:numPr>
        <w:ind w:firstLineChars="0"/>
        <w:rPr>
          <w:color w:val="auto"/>
        </w:rPr>
      </w:pPr>
      <w:r>
        <w:rPr>
          <w:rFonts w:hint="eastAsia"/>
          <w:color w:val="auto"/>
        </w:rPr>
        <w:t>适用层级：</w:t>
      </w:r>
      <w:r>
        <w:rPr>
          <w:color w:val="auto"/>
        </w:rPr>
        <w:t>省级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rFonts w:hint="eastAsia"/>
          <w:color w:val="auto"/>
        </w:rPr>
        <w:t>三、办理条件</w:t>
      </w:r>
    </w:p>
    <w:p>
      <w:pPr>
        <w:ind w:firstLine="472"/>
        <w:rPr>
          <w:color w:val="auto"/>
        </w:rPr>
      </w:pPr>
      <w:r>
        <w:rPr>
          <w:rFonts w:hint="eastAsia"/>
          <w:color w:val="auto"/>
        </w:rPr>
        <w:t>发票印制企业在印制发票过程中出现发票监制章磨损、发票防伪纸废次张和边角料时，清点后集中存放，由税务机关监督，及时销毁。</w:t>
      </w:r>
    </w:p>
    <w:p>
      <w:pPr>
        <w:pStyle w:val="3"/>
        <w:ind w:firstLine="552"/>
        <w:rPr>
          <w:color w:val="auto"/>
        </w:rPr>
      </w:pPr>
      <w:r>
        <w:rPr>
          <w:rFonts w:hint="eastAsia"/>
          <w:color w:val="auto"/>
        </w:rPr>
        <w:t>四、设定依据</w:t>
      </w:r>
    </w:p>
    <w:p>
      <w:pPr>
        <w:adjustRightInd w:val="0"/>
        <w:snapToGrid w:val="0"/>
        <w:ind w:firstLine="472"/>
        <w:rPr>
          <w:color w:val="auto"/>
        </w:rPr>
      </w:pPr>
      <w:r>
        <w:rPr>
          <w:rFonts w:hint="eastAsia"/>
          <w:color w:val="auto"/>
        </w:rPr>
        <w:t>1.《中华人民共和国发票管理办法》（中华人民共和国国务院令第587号）第二十四条</w:t>
      </w:r>
    </w:p>
    <w:p>
      <w:pPr>
        <w:adjustRightInd w:val="0"/>
        <w:snapToGrid w:val="0"/>
        <w:ind w:firstLine="472"/>
        <w:rPr>
          <w:color w:val="auto"/>
        </w:rPr>
      </w:pPr>
      <w:r>
        <w:rPr>
          <w:rFonts w:hint="eastAsia"/>
          <w:color w:val="auto"/>
        </w:rPr>
        <w:t>“第二十四条使用电子计算机开具发票，须经主管税务机关批准，并使用税务机关统一监制的机外发票，开具后的存根联应当按照顺序号装订成册。”</w:t>
      </w:r>
    </w:p>
    <w:p>
      <w:pPr>
        <w:adjustRightInd w:val="0"/>
        <w:snapToGrid w:val="0"/>
        <w:ind w:firstLine="472"/>
        <w:rPr>
          <w:color w:val="auto"/>
        </w:rPr>
      </w:pPr>
      <w:r>
        <w:rPr>
          <w:rFonts w:hint="eastAsia"/>
          <w:color w:val="auto"/>
        </w:rPr>
        <w:t>2.《中华人民共和国发票管理办法实施细则》（国家税务总局令第37号）第七条</w:t>
      </w:r>
    </w:p>
    <w:p>
      <w:pPr>
        <w:adjustRightInd w:val="0"/>
        <w:snapToGrid w:val="0"/>
        <w:ind w:firstLine="472"/>
        <w:rPr>
          <w:color w:val="auto"/>
        </w:rPr>
      </w:pPr>
      <w:r>
        <w:rPr>
          <w:rFonts w:hint="eastAsia"/>
          <w:color w:val="auto"/>
        </w:rPr>
        <w:t>“第七条全国统一的发票防伪措施由国家税务总局确定，省税务局可以根据需要增加本地区的发票防伪措施,并向国家税务总局备案。</w:t>
      </w:r>
    </w:p>
    <w:p>
      <w:pPr>
        <w:adjustRightInd w:val="0"/>
        <w:snapToGrid w:val="0"/>
        <w:ind w:firstLine="472"/>
        <w:rPr>
          <w:color w:val="auto"/>
        </w:rPr>
      </w:pPr>
      <w:r>
        <w:rPr>
          <w:rFonts w:hint="eastAsia"/>
          <w:color w:val="auto"/>
        </w:rPr>
        <w:t>发票防伪专用品应当按照规定专库保管，不得丢失。次品、废品应当在税务机关监督下集中销毁。”</w:t>
      </w:r>
    </w:p>
    <w:p>
      <w:pPr>
        <w:adjustRightInd w:val="0"/>
        <w:snapToGrid w:val="0"/>
        <w:ind w:firstLine="472"/>
        <w:rPr>
          <w:color w:val="auto"/>
        </w:rPr>
      </w:pPr>
      <w:r>
        <w:rPr>
          <w:rFonts w:hint="eastAsia"/>
          <w:color w:val="auto"/>
        </w:rPr>
        <w:t>3.《国家税务总局关于发票防伪专用品问题的批复》（国税函发〔1994〕398号）全文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1969"/>
        <w:gridCol w:w="850"/>
        <w:gridCol w:w="980"/>
        <w:gridCol w:w="1587"/>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196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85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8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58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1</w:t>
            </w:r>
          </w:p>
        </w:tc>
        <w:tc>
          <w:tcPr>
            <w:tcW w:w="1969" w:type="dxa"/>
            <w:shd w:val="clear" w:color="auto" w:fill="auto"/>
            <w:vAlign w:val="center"/>
          </w:tcPr>
          <w:p>
            <w:pPr>
              <w:pStyle w:val="13"/>
              <w:widowControl/>
              <w:spacing w:before="100" w:after="10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《发票防伪用品核销申请表》</w:t>
            </w:r>
          </w:p>
        </w:tc>
        <w:tc>
          <w:tcPr>
            <w:tcW w:w="850" w:type="dxa"/>
            <w:shd w:val="clear" w:color="auto" w:fill="auto"/>
            <w:vAlign w:val="center"/>
          </w:tcPr>
          <w:p>
            <w:pPr>
              <w:pStyle w:val="13"/>
              <w:widowControl/>
              <w:spacing w:before="100" w:after="10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1</w:t>
            </w:r>
          </w:p>
        </w:tc>
        <w:tc>
          <w:tcPr>
            <w:tcW w:w="980" w:type="dxa"/>
            <w:shd w:val="clear" w:color="auto" w:fill="auto"/>
            <w:vAlign w:val="center"/>
          </w:tcPr>
          <w:p>
            <w:pPr>
              <w:pStyle w:val="13"/>
              <w:widowControl/>
              <w:spacing w:before="100" w:after="10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必报</w:t>
            </w:r>
          </w:p>
        </w:tc>
        <w:tc>
          <w:tcPr>
            <w:tcW w:w="1587" w:type="dxa"/>
            <w:shd w:val="clear" w:color="auto" w:fill="auto"/>
            <w:vAlign w:val="center"/>
          </w:tcPr>
          <w:p>
            <w:pPr>
              <w:pStyle w:val="13"/>
              <w:widowControl/>
              <w:spacing w:before="100" w:after="100" w:line="280" w:lineRule="exact"/>
              <w:jc w:val="center"/>
              <w:rPr>
                <w:rFonts w:ascii="宋体" w:hAnsi="宋体" w:eastAsia="宋体" w:cs="宋体"/>
                <w:color w:val="auto"/>
                <w:sz w:val="18"/>
                <w:szCs w:val="18"/>
              </w:rPr>
            </w:pPr>
          </w:p>
        </w:tc>
        <w:tc>
          <w:tcPr>
            <w:tcW w:w="1134" w:type="dxa"/>
            <w:vAlign w:val="center"/>
          </w:tcPr>
          <w:p>
            <w:pPr>
              <w:pStyle w:val="13"/>
              <w:widowControl/>
              <w:spacing w:before="100" w:after="10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2</w:t>
            </w:r>
          </w:p>
        </w:tc>
        <w:tc>
          <w:tcPr>
            <w:tcW w:w="1969" w:type="dxa"/>
            <w:shd w:val="clear" w:color="auto" w:fill="auto"/>
            <w:vAlign w:val="center"/>
          </w:tcPr>
          <w:p>
            <w:pPr>
              <w:pStyle w:val="13"/>
              <w:widowControl/>
              <w:spacing w:before="100" w:after="10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居民身份证</w:t>
            </w:r>
          </w:p>
        </w:tc>
        <w:tc>
          <w:tcPr>
            <w:tcW w:w="850" w:type="dxa"/>
            <w:shd w:val="clear" w:color="auto" w:fill="auto"/>
            <w:vAlign w:val="center"/>
          </w:tcPr>
          <w:p>
            <w:pPr>
              <w:pStyle w:val="13"/>
              <w:widowControl/>
              <w:spacing w:before="100" w:after="10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1</w:t>
            </w:r>
          </w:p>
        </w:tc>
        <w:tc>
          <w:tcPr>
            <w:tcW w:w="980" w:type="dxa"/>
            <w:shd w:val="clear" w:color="auto" w:fill="auto"/>
            <w:vAlign w:val="center"/>
          </w:tcPr>
          <w:p>
            <w:pPr>
              <w:pStyle w:val="13"/>
              <w:widowControl/>
              <w:spacing w:before="100" w:after="10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必报</w:t>
            </w:r>
          </w:p>
        </w:tc>
        <w:tc>
          <w:tcPr>
            <w:tcW w:w="1587" w:type="dxa"/>
            <w:shd w:val="clear" w:color="auto" w:fill="auto"/>
            <w:vAlign w:val="center"/>
          </w:tcPr>
          <w:p>
            <w:pPr>
              <w:pStyle w:val="13"/>
              <w:widowControl/>
              <w:spacing w:before="100" w:after="100" w:line="280" w:lineRule="exact"/>
              <w:jc w:val="center"/>
              <w:rPr>
                <w:rFonts w:ascii="宋体" w:hAnsi="宋体" w:eastAsia="宋体" w:cs="宋体"/>
                <w:color w:val="auto"/>
                <w:sz w:val="18"/>
                <w:szCs w:val="18"/>
              </w:rPr>
            </w:pPr>
          </w:p>
        </w:tc>
        <w:tc>
          <w:tcPr>
            <w:tcW w:w="1134" w:type="dxa"/>
            <w:vAlign w:val="center"/>
          </w:tcPr>
          <w:p>
            <w:pPr>
              <w:pStyle w:val="13"/>
              <w:widowControl/>
              <w:spacing w:before="100" w:after="10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spacing w:line="240" w:lineRule="auto"/>
        <w:ind w:firstLine="0" w:firstLineChars="0"/>
        <w:rPr>
          <w:color w:val="auto"/>
        </w:rPr>
      </w:pPr>
      <w:r>
        <w:rPr>
          <w:color w:val="auto"/>
        </w:rPr>
        <w:object>
          <v:shape id="_x0000_i1079" o:spt="75" type="#_x0000_t75" style="height:82.9pt;width:375.05pt;" o:ole="t" filled="f" o:preferrelative="t" stroked="f" coordsize="21600,21600">
            <v:path/>
            <v:fill on="f" focussize="0,0"/>
            <v:stroke on="f" joinstyle="miter"/>
            <v:imagedata r:id="rId11" o:title=""/>
            <o:lock v:ext="edit" aspectratio="t"/>
            <w10:wrap type="none"/>
            <w10:anchorlock/>
          </v:shape>
          <o:OLEObject Type="Embed" ProgID="Visio.Drawing.11" ShapeID="_x0000_i1079"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资料齐全、符合法定形式的，税务机关受理后2个工作日办结。</w:t>
      </w:r>
    </w:p>
    <w:p>
      <w:pPr>
        <w:pStyle w:val="3"/>
        <w:ind w:firstLine="552"/>
        <w:rPr>
          <w:color w:val="auto"/>
        </w:rPr>
      </w:pPr>
      <w:r>
        <w:rPr>
          <w:rFonts w:hint="eastAsia"/>
          <w:color w:val="auto"/>
        </w:rPr>
        <w:t>八、表证单书</w:t>
      </w:r>
    </w:p>
    <w:p>
      <w:pPr>
        <w:ind w:firstLine="472"/>
        <w:rPr>
          <w:color w:val="auto"/>
        </w:rPr>
      </w:pPr>
      <w:r>
        <w:rPr>
          <w:rFonts w:hint="eastAsia"/>
          <w:color w:val="auto"/>
        </w:rPr>
        <w:t>1.A02032《发票防伪用品核销申请表》(A02032《发票防伪用品核销申请表》（填写样例）)</w:t>
      </w:r>
    </w:p>
    <w:p>
      <w:pPr>
        <w:pStyle w:val="3"/>
        <w:ind w:firstLine="552"/>
        <w:rPr>
          <w:color w:val="auto"/>
        </w:rPr>
      </w:pPr>
      <w:r>
        <w:rPr>
          <w:rFonts w:hint="eastAsia"/>
          <w:color w:val="auto"/>
        </w:rPr>
        <w:t>九、注意事项</w:t>
      </w:r>
    </w:p>
    <w:p>
      <w:pPr>
        <w:ind w:firstLine="472"/>
        <w:rPr>
          <w:color w:val="auto"/>
        </w:rPr>
      </w:pPr>
      <w:r>
        <w:rPr>
          <w:rFonts w:hint="eastAsia"/>
          <w:color w:val="auto"/>
        </w:rPr>
        <w:t>1.附报资料中通过电子税务局等渠道提交电子资料的不再报送纸质资料。</w:t>
      </w:r>
    </w:p>
    <w:p>
      <w:pPr>
        <w:ind w:firstLine="472"/>
        <w:rPr>
          <w:color w:val="auto"/>
        </w:rPr>
      </w:pPr>
      <w:r>
        <w:rPr>
          <w:rFonts w:hint="eastAsia"/>
          <w:color w:val="auto"/>
        </w:rPr>
        <w:t>2.纳税人对报送资料的真实性和合法性承担责任。</w:t>
      </w:r>
    </w:p>
    <w:p>
      <w:pPr>
        <w:ind w:firstLine="472"/>
        <w:jc w:val="left"/>
        <w:rPr>
          <w:color w:val="auto"/>
        </w:rPr>
      </w:pPr>
      <w:r>
        <w:rPr>
          <w:rFonts w:hint="eastAsia"/>
          <w:color w:val="auto"/>
        </w:rPr>
        <w:t>3.最多跑一次是在资料完整且符合法定受理条件的前提下，最多只需要到税务机关跑一次。</w:t>
      </w:r>
    </w:p>
    <w:p>
      <w:pPr>
        <w:ind w:firstLine="472"/>
        <w:jc w:val="left"/>
        <w:rPr>
          <w:color w:val="auto"/>
        </w:rPr>
      </w:pPr>
      <w:r>
        <w:rPr>
          <w:rFonts w:hint="eastAsia"/>
          <w:color w:val="auto"/>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rFonts w:hint="eastAsia"/>
          <w:color w:val="auto"/>
          <w:lang w:val="en-US" w:eastAsia="zh-CN"/>
        </w:rPr>
      </w:pPr>
      <w:r>
        <w:rPr>
          <w:rFonts w:hint="eastAsia"/>
          <w:color w:val="auto"/>
          <w:lang w:val="en-US" w:eastAsia="zh-CN"/>
        </w:rPr>
        <w:t>国家税务总局河南省税务局办理时间</w:t>
      </w:r>
    </w:p>
    <w:p>
      <w:pPr>
        <w:ind w:firstLine="472"/>
        <w:rPr>
          <w:color w:val="auto"/>
        </w:rPr>
      </w:pPr>
      <w:r>
        <w:rPr>
          <w:rFonts w:hint="eastAsia"/>
          <w:color w:val="auto"/>
          <w:lang w:val="en-US" w:eastAsia="zh-CN"/>
        </w:rPr>
        <w:t>上午8:00-12:00，下午14:30-17:30（冬）15:00-18:00（夏））</w:t>
      </w:r>
    </w:p>
    <w:p>
      <w:pPr>
        <w:pStyle w:val="3"/>
        <w:ind w:firstLine="552"/>
        <w:rPr>
          <w:color w:val="auto"/>
        </w:rPr>
      </w:pPr>
      <w:r>
        <w:rPr>
          <w:rFonts w:hint="eastAsia"/>
          <w:color w:val="auto"/>
        </w:rPr>
        <w:t>十一、办理地点</w:t>
      </w:r>
    </w:p>
    <w:p>
      <w:pPr>
        <w:ind w:firstLine="472"/>
        <w:rPr>
          <w:rFonts w:hint="eastAsia"/>
          <w:color w:val="auto"/>
          <w:lang w:val="en-US" w:eastAsia="zh-CN"/>
        </w:rPr>
      </w:pPr>
      <w:r>
        <w:rPr>
          <w:rFonts w:hint="eastAsia"/>
          <w:color w:val="auto"/>
          <w:lang w:val="en-US" w:eastAsia="zh-CN"/>
        </w:rPr>
        <w:t>国家税务总局河南省税务局征管和科技发展处</w:t>
      </w:r>
    </w:p>
    <w:p>
      <w:pPr>
        <w:ind w:firstLine="472"/>
        <w:rPr>
          <w:rFonts w:hint="eastAsia"/>
          <w:color w:val="auto"/>
        </w:rPr>
      </w:pPr>
      <w:r>
        <w:rPr>
          <w:rFonts w:hint="eastAsia"/>
          <w:color w:val="auto"/>
          <w:lang w:val="en-US" w:eastAsia="zh-CN"/>
        </w:rPr>
        <w:t>地址：郑州市金水区丰产路111号。</w:t>
      </w:r>
    </w:p>
    <w:p>
      <w:pPr>
        <w:pStyle w:val="3"/>
        <w:ind w:firstLine="552"/>
        <w:rPr>
          <w:rFonts w:hint="eastAsia"/>
          <w:color w:val="auto"/>
        </w:rPr>
      </w:pPr>
      <w:r>
        <w:rPr>
          <w:rFonts w:hint="eastAsia"/>
          <w:color w:val="auto"/>
        </w:rPr>
        <w:t>十二、办理机构</w:t>
      </w:r>
    </w:p>
    <w:p>
      <w:pPr>
        <w:ind w:firstLine="472"/>
        <w:rPr>
          <w:rFonts w:hint="eastAsia" w:eastAsia="宋体"/>
          <w:color w:val="auto"/>
          <w:lang w:val="en-US" w:eastAsia="zh-CN"/>
        </w:rPr>
      </w:pPr>
      <w:r>
        <w:rPr>
          <w:rFonts w:hint="eastAsia"/>
          <w:color w:val="auto"/>
          <w:lang w:val="en-US" w:eastAsia="zh-CN"/>
        </w:rPr>
        <w:t>国家税务总局河南省税务局</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rFonts w:hint="eastAsia"/>
          <w:color w:val="auto"/>
        </w:rPr>
      </w:pPr>
      <w:r>
        <w:rPr>
          <w:rFonts w:hint="eastAsia"/>
          <w:color w:val="auto"/>
        </w:rPr>
        <w:t>拨打</w:t>
      </w:r>
      <w:r>
        <w:rPr>
          <w:color w:val="auto"/>
        </w:rPr>
        <w:t>12366</w:t>
      </w:r>
      <w:r>
        <w:rPr>
          <w:rFonts w:hint="eastAsia"/>
          <w:color w:val="auto"/>
        </w:rPr>
        <w:t>热线</w:t>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0DB3844"/>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2019-10-31T03:42:58Z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