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1672"/>
      <w:r>
        <w:rPr>
          <w:rFonts w:hint="eastAsia" w:ascii="黑体" w:hAnsi="黑体"/>
          <w:color w:val="auto"/>
        </w:rPr>
        <w:t>1.3.11耕地占用税申报</w:t>
      </w:r>
      <w:bookmarkEnd w:id="0"/>
    </w:p>
    <w:p>
      <w:pPr>
        <w:pStyle w:val="3"/>
        <w:ind w:firstLine="552"/>
        <w:rPr>
          <w:color w:val="auto"/>
        </w:rPr>
      </w:pPr>
      <w:r>
        <w:rPr>
          <w:color w:val="auto"/>
        </w:rPr>
        <w:t>一、事项名称</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耕地占用税申报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color w:val="auto"/>
        </w:rPr>
      </w:pPr>
      <w:r>
        <w:rPr>
          <w:rFonts w:hint="eastAsia"/>
          <w:color w:val="auto"/>
        </w:rPr>
        <w:t>在中华人民共和国境内占用耕地建设建筑物、构筑物或者从事非农业建设的单位或者个人，为耕地占用税的纳税人，应当缴纳耕地占用税。占用耕地建设农田水利设施的，不缴纳耕地占用税。耕地，是指用于种植农作物的土地。耕地占用税以纳税人实际占用的耕地面积为计税依据，按照规定的适用税额一次性征收。</w:t>
      </w:r>
    </w:p>
    <w:p>
      <w:pPr>
        <w:ind w:firstLine="472"/>
        <w:rPr>
          <w:rFonts w:hint="eastAsia"/>
          <w:color w:val="auto"/>
        </w:rPr>
      </w:pPr>
      <w:r>
        <w:rPr>
          <w:rFonts w:hint="eastAsia"/>
          <w:color w:val="auto"/>
        </w:rPr>
        <w:t>1.经批准占用耕地的，耕地占用税纳税义务发生时间为纳税人收到自然资源主管部门办理占用农用地手续的书面通知的当天。未经批准占用耕地的，耕地占用税纳税义务发生时间为纳税人实际占用耕地的当天。纳税人占用耕地或其他农用地，应当在耕地或其他农用地所在地申报纳税。自然资源主管部门在通知单位或者个人办理占用耕地手续时，应当同时通知耕地所在地同级税务机关。获准占用耕地的单位或者个人应当在收到自然资源主管部门的通知之日起30日内缴纳耕地占用税。自然资源主管部门凭耕地占用税完税凭证或者免税凭证和其他有关文件发放建设用地批准书。</w:t>
      </w:r>
    </w:p>
    <w:p>
      <w:pPr>
        <w:ind w:firstLine="472"/>
        <w:rPr>
          <w:color w:val="auto"/>
        </w:rPr>
      </w:pPr>
      <w:r>
        <w:rPr>
          <w:rFonts w:hint="eastAsia"/>
          <w:color w:val="auto"/>
        </w:rPr>
        <w:t>2.自2019年1月1日起至2021年12月31日，对我省增值税小规模纳税人按50%的税额幅度减征资源税(不含水资源税)、城市维护建设税、房产税、城镇土地使用税、印花税(不含证券交易印花税)、耕地占用税和教育费附加、地方教育附加。纳税人可以叠加享受以前出台的优惠政策和增值税小规模纳税人优惠政策，增值税小规模纳税人优惠政策在计算应纳税额、其他政策减免税额之后叠加。</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rPr>
        <w:t>2.《中华人民共和国耕地占用税法》第二条、第十二条</w:t>
      </w:r>
    </w:p>
    <w:p>
      <w:pPr>
        <w:ind w:firstLine="472"/>
        <w:rPr>
          <w:rFonts w:hint="eastAsia"/>
          <w:color w:val="auto"/>
        </w:rPr>
      </w:pPr>
      <w:r>
        <w:rPr>
          <w:rFonts w:hint="eastAsia"/>
          <w:color w:val="auto"/>
        </w:rPr>
        <w:t>“第二条　在中华人民共和国境内占用耕地建设建筑物、构筑物或者从事非农业建设的单位和个人，为耕地占用税的纳税人，应当依照本法规定缴纳耕地占用税。</w:t>
      </w:r>
    </w:p>
    <w:p>
      <w:pPr>
        <w:ind w:firstLine="472"/>
        <w:rPr>
          <w:rFonts w:hint="eastAsia"/>
          <w:color w:val="auto"/>
        </w:rPr>
      </w:pPr>
      <w:r>
        <w:rPr>
          <w:rFonts w:hint="eastAsia"/>
          <w:color w:val="auto"/>
        </w:rPr>
        <w:t>占用耕地建设农田水利设施的，不缴纳耕地占用税。</w:t>
      </w:r>
    </w:p>
    <w:p>
      <w:pPr>
        <w:ind w:firstLine="472"/>
        <w:rPr>
          <w:rFonts w:hint="eastAsia"/>
          <w:color w:val="auto"/>
        </w:rPr>
      </w:pPr>
      <w:r>
        <w:rPr>
          <w:rFonts w:hint="eastAsia"/>
          <w:color w:val="auto"/>
        </w:rPr>
        <w:t>本法所称耕地，是指用于种植农作物的土地。</w:t>
      </w:r>
    </w:p>
    <w:p>
      <w:pPr>
        <w:ind w:firstLine="472"/>
        <w:rPr>
          <w:rFonts w:hint="eastAsia"/>
          <w:color w:val="auto"/>
        </w:rPr>
      </w:pPr>
      <w:r>
        <w:rPr>
          <w:rFonts w:hint="eastAsia"/>
          <w:color w:val="auto"/>
        </w:rPr>
        <w:t>第十二条　占用园地、林地、草地、农田水利用地、养殖水面、渔业水域滩涂以及其他农用地建设建筑物、构筑物或者从事非农业建设的，依照本法的规定缴纳耕地占用税。</w:t>
      </w:r>
    </w:p>
    <w:p>
      <w:pPr>
        <w:ind w:firstLine="472"/>
        <w:rPr>
          <w:rFonts w:hint="eastAsia"/>
          <w:color w:val="auto"/>
        </w:rPr>
      </w:pPr>
      <w:r>
        <w:rPr>
          <w:rFonts w:hint="eastAsia"/>
          <w:color w:val="auto"/>
        </w:rPr>
        <w:t>占用前款规定的农用地的，适用税额可以适当低于本地区按照本法第四条第二款确定的适用税额，但降低的部分不得超过百分之五十。具体适用税额由省、自治区、直辖市人民政府提出，报同级人民代表大会常务委员会决定，并报全国人民代表大会常务委员会和国务院备案。</w:t>
      </w:r>
    </w:p>
    <w:p>
      <w:pPr>
        <w:ind w:firstLine="472"/>
        <w:rPr>
          <w:color w:val="auto"/>
        </w:rPr>
      </w:pPr>
      <w:r>
        <w:rPr>
          <w:rFonts w:hint="eastAsia"/>
          <w:color w:val="auto"/>
        </w:rPr>
        <w:t>占用本条第一款规定的农用地建设直接为农业生产服务的生产设施的，不缴纳耕地占用税。”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《耕地占用税纳税申报表》</w:t>
            </w:r>
          </w:p>
        </w:tc>
        <w:tc>
          <w:tcPr>
            <w:tcW w:w="709"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olor w:val="auto"/>
                <w:sz w:val="18"/>
                <w:szCs w:val="18"/>
              </w:rPr>
              <w:t>有效身份证明原件</w:t>
            </w:r>
          </w:p>
        </w:tc>
        <w:tc>
          <w:tcPr>
            <w:tcW w:w="709" w:type="dxa"/>
            <w:shd w:val="clear" w:color="auto" w:fill="auto"/>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olor w:val="auto"/>
                <w:sz w:val="18"/>
                <w:szCs w:val="18"/>
              </w:rPr>
              <w:t>农用地转用审批文件复印件</w:t>
            </w:r>
          </w:p>
        </w:tc>
        <w:tc>
          <w:tcPr>
            <w:tcW w:w="709" w:type="dxa"/>
            <w:shd w:val="clear" w:color="auto" w:fill="auto"/>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asciiTheme="minorHAnsi" w:hAnsiTheme="minorHAnsi"/>
                <w:color w:val="auto"/>
                <w:sz w:val="18"/>
                <w:szCs w:val="18"/>
              </w:rPr>
              <w:t>经批准占用应税土地的</w:t>
            </w:r>
            <w:r>
              <w:rPr>
                <w:rFonts w:cs="宋体" w:asciiTheme="minorHAnsi" w:hAnsiTheme="minorHAnsi"/>
                <w:color w:val="auto"/>
                <w:sz w:val="18"/>
                <w:szCs w:val="18"/>
              </w:rPr>
              <w:t>情形</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olor w:val="auto"/>
                <w:sz w:val="18"/>
                <w:szCs w:val="18"/>
              </w:rPr>
              <w:t>实际占用耕地的证明的材料复印件</w:t>
            </w:r>
          </w:p>
        </w:tc>
        <w:tc>
          <w:tcPr>
            <w:tcW w:w="709" w:type="dxa"/>
            <w:shd w:val="clear" w:color="auto" w:fill="auto"/>
            <w:vAlign w:val="center"/>
          </w:tcPr>
          <w:p>
            <w:pPr>
              <w:pStyle w:val="13"/>
              <w:widowControl/>
              <w:spacing w:beforeAutospacing="0" w:afterAutospacing="0" w:line="280" w:lineRule="exact"/>
              <w:ind w:firstLine="352" w:firstLineChars="0"/>
              <w:rPr>
                <w:rFonts w:ascii="宋体" w:hAnsi="宋体" w:eastAsia="宋体" w:cs="宋体"/>
                <w:color w:val="auto"/>
                <w:sz w:val="18"/>
                <w:szCs w:val="18"/>
              </w:rPr>
            </w:pPr>
            <w:r>
              <w:rPr>
                <w:rFonts w:hint="eastAsia" w:ascii="宋体" w:hAnsi="宋体" w:eastAsia="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未经批准占用耕地的有</w:t>
            </w:r>
            <w:r>
              <w:rPr>
                <w:color w:val="auto"/>
                <w:sz w:val="18"/>
                <w:szCs w:val="18"/>
              </w:rPr>
              <w:t>情</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rPr>
          <w:rFonts w:hint="eastAsia"/>
          <w:color w:val="auto"/>
        </w:rPr>
      </w:pPr>
      <w:r>
        <w:rPr>
          <w:color w:val="auto"/>
        </w:rPr>
        <w:pict>
          <v:shape id="_x0000_s1054" o:spid="_x0000_s1054" o:spt="75" type="#_x0000_t75" style="position:absolute;left:0pt;margin-left:6.75pt;margin-top:34.7pt;height:101.35pt;width:423.6pt;mso-wrap-distance-bottom:0pt;mso-wrap-distance-left:9pt;mso-wrap-distance-right:9pt;mso-wrap-distance-top:0pt;z-index:251753472;mso-width-relative:page;mso-height-relative:page;" o:ole="t" filled="f" o:preferrelative="t" stroked="f" coordsize="21600,21600">
            <v:path/>
            <v:fill on="f" focussize="0,0"/>
            <v:stroke on="f"/>
            <v:imagedata r:id="rId10" o:title=""/>
            <o:lock v:ext="edit" aspectratio="t"/>
            <w10:wrap type="square"/>
          </v:shape>
          <o:OLEObject Type="Embed" ProgID="Visio.Drawing.15" ShapeID="_x0000_s1054"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1.A06114《耕地占用税纳税申报表》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耕地占用税纳税人依照税收法律法规及相关规定，应在获准占用应税土地收到土地管理部门的通知之日起30日内向主管税务机关申报缴纳耕地占用税；未经批准占用应税土地的纳税人，应在实际占地之日起30日内申报缴纳耕地占用税。对超过规定期限缴纳耕地占用税的，应按照《税收征管法》的有关规定加收滞纳金。</w:t>
      </w:r>
    </w:p>
    <w:p>
      <w:pPr>
        <w:ind w:firstLine="472"/>
        <w:rPr>
          <w:rFonts w:hint="eastAsia"/>
          <w:color w:val="auto"/>
        </w:rPr>
      </w:pPr>
      <w:r>
        <w:rPr>
          <w:rFonts w:hint="eastAsia"/>
          <w:color w:val="auto"/>
        </w:rPr>
        <w:t>2.税（费）种申报监控。在办理耕地占用税的纳税申报时如未做税（费）种申报，应当即补全信息。</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5D4AFB"/>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2019-10-31T06:25:02Z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