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ascii="黑体" w:hAnsi="黑体"/>
          <w:color w:val="auto"/>
        </w:rPr>
      </w:pPr>
      <w:bookmarkStart w:id="1" w:name="_GoBack"/>
      <w:bookmarkEnd w:id="1"/>
      <w:bookmarkStart w:id="0" w:name="_Toc14606"/>
      <w:r>
        <w:rPr>
          <w:rFonts w:hint="default" w:ascii="黑体" w:hAnsi="黑体"/>
          <w:color w:val="auto"/>
        </w:rPr>
        <w:t>4.3.1.10查阅行政复议资料申请</w:t>
      </w:r>
      <w:bookmarkEnd w:id="0"/>
    </w:p>
    <w:p>
      <w:pPr>
        <w:pStyle w:val="3"/>
        <w:ind w:firstLine="552"/>
        <w:rPr>
          <w:color w:val="auto"/>
        </w:rPr>
      </w:pPr>
      <w:r>
        <w:rPr>
          <w:color w:val="auto"/>
        </w:rPr>
        <w:t>一、事项名称</w:t>
      </w:r>
    </w:p>
    <w:p>
      <w:pPr>
        <w:ind w:firstLine="472"/>
        <w:rPr>
          <w:color w:val="auto"/>
        </w:rPr>
      </w:pPr>
      <w:r>
        <w:rPr>
          <w:rFonts w:hint="eastAsia"/>
          <w:color w:val="auto"/>
        </w:rPr>
        <w:t>查阅行政复议资料申请</w:t>
      </w:r>
    </w:p>
    <w:p>
      <w:pPr>
        <w:pStyle w:val="3"/>
        <w:ind w:firstLine="552"/>
        <w:rPr>
          <w:color w:val="auto"/>
        </w:rPr>
      </w:pPr>
      <w:r>
        <w:rPr>
          <w:color w:val="auto"/>
        </w:rPr>
        <w:t>二、事项类别</w:t>
      </w:r>
    </w:p>
    <w:p>
      <w:pPr>
        <w:pStyle w:val="106"/>
        <w:numPr>
          <w:ilvl w:val="0"/>
          <w:numId w:val="3"/>
        </w:numPr>
        <w:ind w:firstLineChars="0"/>
        <w:rPr>
          <w:color w:val="auto"/>
          <w:szCs w:val="24"/>
        </w:rPr>
      </w:pPr>
      <w:r>
        <w:rPr>
          <w:rFonts w:hint="eastAsia"/>
          <w:color w:val="auto"/>
          <w:szCs w:val="24"/>
        </w:rPr>
        <w:t>发起方式：人工发起（纳税人）</w:t>
      </w:r>
    </w:p>
    <w:p>
      <w:pPr>
        <w:pStyle w:val="106"/>
        <w:numPr>
          <w:ilvl w:val="0"/>
          <w:numId w:val="3"/>
        </w:numPr>
        <w:ind w:firstLineChars="0"/>
        <w:rPr>
          <w:color w:val="auto"/>
          <w:szCs w:val="24"/>
        </w:rPr>
      </w:pPr>
      <w:r>
        <w:rPr>
          <w:rFonts w:hint="eastAsia"/>
          <w:color w:val="auto"/>
          <w:szCs w:val="24"/>
        </w:rPr>
        <w:t>办结方式：限时办结</w:t>
      </w:r>
    </w:p>
    <w:p>
      <w:pPr>
        <w:pStyle w:val="106"/>
        <w:numPr>
          <w:ilvl w:val="0"/>
          <w:numId w:val="3"/>
        </w:numPr>
        <w:ind w:firstLineChars="0"/>
        <w:rPr>
          <w:color w:val="auto"/>
          <w:szCs w:val="24"/>
        </w:rPr>
      </w:pPr>
      <w:r>
        <w:rPr>
          <w:rFonts w:hint="eastAsia"/>
          <w:color w:val="auto"/>
          <w:szCs w:val="24"/>
        </w:rPr>
        <w:t>全省通办：否</w:t>
      </w:r>
    </w:p>
    <w:p>
      <w:pPr>
        <w:pStyle w:val="106"/>
        <w:numPr>
          <w:ilvl w:val="0"/>
          <w:numId w:val="3"/>
        </w:numPr>
        <w:ind w:firstLineChars="0"/>
        <w:rPr>
          <w:color w:val="auto"/>
          <w:szCs w:val="24"/>
        </w:rPr>
      </w:pPr>
      <w:r>
        <w:rPr>
          <w:rFonts w:hint="eastAsia"/>
          <w:color w:val="auto"/>
          <w:szCs w:val="24"/>
        </w:rPr>
        <w:t>网上办理：否</w:t>
      </w:r>
    </w:p>
    <w:p>
      <w:pPr>
        <w:pStyle w:val="106"/>
        <w:numPr>
          <w:ilvl w:val="0"/>
          <w:numId w:val="3"/>
        </w:numPr>
        <w:ind w:firstLineChars="0"/>
        <w:rPr>
          <w:color w:val="auto"/>
          <w:szCs w:val="24"/>
        </w:rPr>
      </w:pPr>
      <w:r>
        <w:rPr>
          <w:rFonts w:hint="eastAsia"/>
          <w:color w:val="auto"/>
          <w:szCs w:val="24"/>
        </w:rPr>
        <w:t>适用层级：省、市、县（市、区）级</w:t>
      </w:r>
    </w:p>
    <w:p>
      <w:pPr>
        <w:pStyle w:val="47"/>
        <w:numPr>
          <w:ilvl w:val="0"/>
          <w:numId w:val="4"/>
        </w:numPr>
        <w:ind w:firstLineChars="0"/>
        <w:rPr>
          <w:color w:val="auto"/>
        </w:rPr>
      </w:pPr>
      <w:r>
        <w:rPr>
          <w:rFonts w:hint="eastAsia"/>
          <w:color w:val="auto"/>
        </w:rPr>
        <w:t>最多跑一次：否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pStyle w:val="13"/>
        <w:spacing w:beforeAutospacing="0" w:afterAutospacing="0" w:line="578" w:lineRule="exact"/>
        <w:ind w:firstLine="472" w:firstLineChars="200"/>
        <w:rPr>
          <w:rFonts w:ascii="宋体" w:hAnsi="宋体"/>
          <w:color w:val="auto"/>
        </w:rPr>
      </w:pPr>
      <w:r>
        <w:rPr>
          <w:rFonts w:hint="eastAsia" w:ascii="宋体" w:hAnsi="宋体"/>
          <w:color w:val="auto"/>
        </w:rPr>
        <w:t>查阅行政复议资料申请业务适用于申请人和第三人申请查阅相关案卷材料，经复议机关核准后，用于记录查阅哪些材料的情况。</w:t>
      </w:r>
    </w:p>
    <w:p>
      <w:pPr>
        <w:pStyle w:val="3"/>
        <w:ind w:firstLine="552"/>
        <w:rPr>
          <w:color w:val="auto"/>
        </w:rPr>
      </w:pPr>
      <w:r>
        <w:rPr>
          <w:rFonts w:hint="eastAsia"/>
          <w:color w:val="auto"/>
        </w:rPr>
        <w:t>四、设定依据</w:t>
      </w:r>
    </w:p>
    <w:p>
      <w:pPr>
        <w:ind w:firstLine="472"/>
        <w:rPr>
          <w:color w:val="auto"/>
          <w:szCs w:val="24"/>
        </w:rPr>
      </w:pPr>
      <w:r>
        <w:rPr>
          <w:rFonts w:hint="eastAsia"/>
          <w:color w:val="auto"/>
          <w:szCs w:val="24"/>
        </w:rPr>
        <w:t>1.《中华人民共和国行政复议法》（中华人民共和国主席令第</w:t>
      </w:r>
      <w:r>
        <w:rPr>
          <w:color w:val="auto"/>
          <w:szCs w:val="24"/>
        </w:rPr>
        <w:t>16号）</w:t>
      </w:r>
      <w:r>
        <w:rPr>
          <w:rFonts w:hint="eastAsia"/>
          <w:color w:val="auto"/>
          <w:szCs w:val="24"/>
        </w:rPr>
        <w:t>第二十三条</w:t>
      </w:r>
    </w:p>
    <w:p>
      <w:pPr>
        <w:ind w:firstLine="472"/>
        <w:rPr>
          <w:color w:val="auto"/>
          <w:szCs w:val="24"/>
        </w:rPr>
      </w:pPr>
      <w:r>
        <w:rPr>
          <w:rFonts w:hint="eastAsia"/>
          <w:color w:val="auto"/>
          <w:szCs w:val="24"/>
        </w:rPr>
        <w:t>“行政复议机关负责法制工作的机构应当自行政复议申请受理之日起七日内，将行政复议申请书副本或者行政复议申请笔录复印件发送被申请人。被申请人应当自收到申请书副本或者申请笔录复印件之日起十日内，提出书面答复，并提交当初作出具体行政行为的证据、依据和其他有关材料。</w:t>
      </w:r>
    </w:p>
    <w:p>
      <w:pPr>
        <w:ind w:firstLine="472"/>
        <w:rPr>
          <w:color w:val="auto"/>
          <w:szCs w:val="24"/>
        </w:rPr>
      </w:pPr>
      <w:r>
        <w:rPr>
          <w:rFonts w:hint="eastAsia"/>
          <w:color w:val="auto"/>
          <w:szCs w:val="24"/>
        </w:rPr>
        <w:t>申请人、第三人可以查阅被申请人提出的书面答复、作出具体行政行为的证据、依据和其他有关材料，除涉及国家秘密、商业秘密或者个人隐私外，行政复议机关不得拒绝。”</w:t>
      </w:r>
    </w:p>
    <w:p>
      <w:pPr>
        <w:ind w:firstLine="472"/>
        <w:rPr>
          <w:color w:val="auto"/>
          <w:szCs w:val="24"/>
        </w:rPr>
      </w:pPr>
      <w:r>
        <w:rPr>
          <w:rFonts w:hint="eastAsia"/>
          <w:color w:val="auto"/>
          <w:szCs w:val="24"/>
        </w:rPr>
        <w:t>2.《中华人民共和国行政复议法实施条例》（中华人民共和国国务院令第</w:t>
      </w:r>
      <w:r>
        <w:rPr>
          <w:color w:val="auto"/>
          <w:szCs w:val="24"/>
        </w:rPr>
        <w:t>499号）</w:t>
      </w:r>
      <w:r>
        <w:rPr>
          <w:rFonts w:hint="eastAsia"/>
          <w:color w:val="auto"/>
          <w:szCs w:val="24"/>
        </w:rPr>
        <w:t>第三十五条</w:t>
      </w:r>
    </w:p>
    <w:p>
      <w:pPr>
        <w:ind w:firstLine="472"/>
        <w:rPr>
          <w:color w:val="auto"/>
          <w:szCs w:val="24"/>
        </w:rPr>
      </w:pPr>
      <w:r>
        <w:rPr>
          <w:rFonts w:hint="eastAsia"/>
          <w:color w:val="auto"/>
          <w:szCs w:val="24"/>
        </w:rPr>
        <w:t>“行政复议机关应当为申请人、第三人查阅有关材料提供必要条件。”</w:t>
      </w:r>
    </w:p>
    <w:p>
      <w:pPr>
        <w:ind w:firstLine="472"/>
        <w:rPr>
          <w:color w:val="auto"/>
          <w:szCs w:val="24"/>
        </w:rPr>
      </w:pPr>
      <w:r>
        <w:rPr>
          <w:rFonts w:hint="eastAsia"/>
          <w:color w:val="auto"/>
          <w:szCs w:val="24"/>
        </w:rPr>
        <w:t>3.</w:t>
      </w:r>
      <w:r>
        <w:rPr>
          <w:color w:val="auto"/>
          <w:szCs w:val="24"/>
        </w:rPr>
        <w:t>《税务行政复议规则》（国家税务</w:t>
      </w:r>
      <w:r>
        <w:rPr>
          <w:rFonts w:hint="eastAsia"/>
          <w:color w:val="auto"/>
          <w:szCs w:val="24"/>
        </w:rPr>
        <w:t>总局令</w:t>
      </w:r>
      <w:r>
        <w:rPr>
          <w:color w:val="auto"/>
          <w:szCs w:val="24"/>
        </w:rPr>
        <w:t>第21号）</w:t>
      </w:r>
      <w:r>
        <w:rPr>
          <w:rFonts w:hint="eastAsia"/>
          <w:color w:val="auto"/>
          <w:szCs w:val="24"/>
        </w:rPr>
        <w:t>第六十一条</w:t>
      </w:r>
    </w:p>
    <w:p>
      <w:pPr>
        <w:ind w:firstLine="472"/>
        <w:rPr>
          <w:color w:val="auto"/>
          <w:szCs w:val="24"/>
        </w:rPr>
      </w:pPr>
      <w:r>
        <w:rPr>
          <w:rFonts w:hint="eastAsia"/>
          <w:color w:val="auto"/>
          <w:szCs w:val="24"/>
        </w:rPr>
        <w:t>“申请人和第三人可以查阅被申请人提出的书面答复、作出具体行政行为的证据、依据和其他有关材料，除涉及国家秘密、商业秘密或者个人隐私外，行政复议机关不得拒绝。”</w:t>
      </w:r>
    </w:p>
    <w:p>
      <w:pPr>
        <w:pStyle w:val="3"/>
        <w:ind w:firstLine="552"/>
        <w:rPr>
          <w:color w:val="auto"/>
        </w:rPr>
      </w:pPr>
      <w:r>
        <w:rPr>
          <w:rFonts w:hint="eastAsia"/>
          <w:color w:val="auto"/>
        </w:rPr>
        <w:t>五、办理材料</w:t>
      </w:r>
    </w:p>
    <w:p>
      <w:pPr>
        <w:ind w:firstLine="472"/>
        <w:rPr>
          <w:color w:val="auto"/>
        </w:rPr>
      </w:pPr>
      <w:r>
        <w:rPr>
          <w:rFonts w:hint="eastAsia"/>
          <w:color w:val="auto"/>
        </w:rPr>
        <w:t>无。</w:t>
      </w:r>
    </w:p>
    <w:p>
      <w:pPr>
        <w:pStyle w:val="3"/>
        <w:ind w:firstLine="552"/>
        <w:rPr>
          <w:color w:val="auto"/>
        </w:rPr>
      </w:pPr>
      <w:r>
        <w:rPr>
          <w:rFonts w:hint="eastAsia"/>
          <w:color w:val="auto"/>
        </w:rPr>
        <w:t>六</w:t>
      </w:r>
      <w:r>
        <w:rPr>
          <w:color w:val="auto"/>
        </w:rPr>
        <w:t>、办理流程</w:t>
      </w:r>
    </w:p>
    <w:p>
      <w:pPr>
        <w:ind w:left="472" w:firstLine="0" w:firstLineChars="0"/>
        <w:rPr>
          <w:color w:val="auto"/>
        </w:rPr>
      </w:pPr>
    </w:p>
    <w:p>
      <w:pPr>
        <w:spacing w:line="240" w:lineRule="auto"/>
        <w:ind w:left="471" w:firstLine="0" w:firstLineChars="0"/>
        <w:rPr>
          <w:color w:val="auto"/>
        </w:rPr>
      </w:pPr>
      <w:r>
        <w:rPr>
          <w:color w:val="auto"/>
        </w:rPr>
        <w:object>
          <v:shape id="_x0000_i1196" o:spt="75" type="#_x0000_t75" style="height:103.3pt;width:289.25pt;" o:ole="t" filled="f" o:preferrelative="t" stroked="f" coordsize="21600,21600">
            <v:path/>
            <v:fill on="f" focussize="0,0"/>
            <v:stroke on="f" joinstyle="miter"/>
            <v:imagedata r:id="rId11" o:title=""/>
            <o:lock v:ext="edit" aspectratio="t"/>
            <w10:wrap type="none"/>
            <w10:anchorlock/>
          </v:shape>
          <o:OLEObject Type="Embed" ProgID="Visio.Drawing.11" ShapeID="_x0000_i1196"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szCs w:val="24"/>
        </w:rPr>
        <w:t>限时办结</w:t>
      </w:r>
      <w:r>
        <w:rPr>
          <w:rFonts w:hint="eastAsia"/>
          <w:color w:val="auto"/>
        </w:rPr>
        <w:t>。</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rFonts w:hint="eastAsia"/>
          <w:color w:val="auto"/>
        </w:rPr>
      </w:pPr>
      <w:r>
        <w:rPr>
          <w:rFonts w:hint="eastAsia"/>
          <w:color w:val="auto"/>
        </w:rPr>
        <w:t>2.最多跑一次是在资料完整且符合法定受理条件的前提下，最多只需要到税务机关跑一次。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lang w:val="en-US" w:eastAsia="zh-CN"/>
        </w:rPr>
        <w:t>主管税务机关</w:t>
      </w:r>
      <w:r>
        <w:rPr>
          <w:rFonts w:hint="eastAsia"/>
          <w:color w:val="auto"/>
        </w:rPr>
        <w:t>办理时间可在国家税务总局河南省税务局网站查询</w:t>
      </w:r>
    </w:p>
    <w:p>
      <w:pPr>
        <w:ind w:firstLine="472"/>
        <w:rPr>
          <w:color w:val="auto"/>
        </w:rPr>
      </w:pPr>
      <w:r>
        <w:rPr>
          <w:rFonts w:hint="eastAsia"/>
          <w:color w:val="auto"/>
        </w:rPr>
        <w:t>网址：http://henan.chinatax.gov.cn</w:t>
      </w:r>
    </w:p>
    <w:p>
      <w:pPr>
        <w:pStyle w:val="3"/>
        <w:ind w:firstLine="552"/>
        <w:rPr>
          <w:color w:val="auto"/>
        </w:rPr>
      </w:pPr>
      <w:r>
        <w:rPr>
          <w:rFonts w:hint="eastAsia"/>
          <w:color w:val="auto"/>
        </w:rPr>
        <w:t>十一、办理地点</w:t>
      </w:r>
    </w:p>
    <w:p>
      <w:pPr>
        <w:ind w:firstLine="472"/>
        <w:rPr>
          <w:rFonts w:hint="eastAsia"/>
          <w:color w:val="auto"/>
          <w:lang w:val="en-US" w:eastAsia="zh-CN"/>
        </w:rPr>
      </w:pPr>
      <w:r>
        <w:rPr>
          <w:rFonts w:hint="eastAsia"/>
          <w:color w:val="auto"/>
          <w:lang w:val="en-US" w:eastAsia="zh-CN"/>
        </w:rPr>
        <w:t>主管税务机关法制管理部门</w:t>
      </w:r>
    </w:p>
    <w:p>
      <w:pPr>
        <w:ind w:firstLine="472"/>
        <w:rPr>
          <w:rFonts w:hint="eastAsia"/>
          <w:color w:val="auto"/>
        </w:rPr>
      </w:pPr>
      <w:r>
        <w:rPr>
          <w:rFonts w:hint="eastAsia"/>
          <w:color w:val="auto"/>
          <w:lang w:val="en-US" w:eastAsia="zh-CN"/>
        </w:rPr>
        <w:t>主管税务机关地址</w:t>
      </w:r>
      <w:r>
        <w:rPr>
          <w:rFonts w:hint="eastAsia"/>
          <w:color w:val="auto"/>
        </w:rPr>
        <w:t>可在国家税务总局河南省税务局网站查询</w:t>
      </w:r>
    </w:p>
    <w:p>
      <w:pPr>
        <w:ind w:firstLine="472"/>
        <w:rPr>
          <w:rFonts w:hint="eastAsia"/>
          <w:color w:val="auto"/>
        </w:rPr>
      </w:pPr>
      <w:r>
        <w:rPr>
          <w:rFonts w:hint="eastAsia"/>
          <w:color w:val="auto"/>
        </w:rPr>
        <w:t>网址：http://henan.chinatax.gov.cn</w:t>
      </w:r>
    </w:p>
    <w:p>
      <w:pPr>
        <w:pStyle w:val="3"/>
        <w:ind w:firstLine="552"/>
        <w:rPr>
          <w:rFonts w:hint="eastAsia"/>
          <w:color w:val="auto"/>
        </w:rPr>
      </w:pPr>
      <w:r>
        <w:rPr>
          <w:rFonts w:hint="eastAsia"/>
          <w:color w:val="auto"/>
        </w:rPr>
        <w:t>十二、办理机构</w:t>
      </w:r>
    </w:p>
    <w:p>
      <w:pPr>
        <w:ind w:firstLine="472"/>
        <w:rPr>
          <w:rFonts w:hint="eastAsia" w:eastAsia="宋体"/>
          <w:color w:val="auto"/>
          <w:lang w:val="en-US" w:eastAsia="zh-CN"/>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w:t>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12AE6"/>
    <w:multiLevelType w:val="multilevel"/>
    <w:tmpl w:val="11E12AE6"/>
    <w:lvl w:ilvl="0" w:tentative="0">
      <w:start w:val="1"/>
      <w:numFmt w:val="bullet"/>
      <w:lvlText w:val=""/>
      <w:lvlJc w:val="left"/>
      <w:pPr>
        <w:ind w:left="891" w:hanging="420"/>
      </w:pPr>
      <w:rPr>
        <w:rFonts w:hint="default" w:ascii="Wingdings" w:hAnsi="Wingdings"/>
      </w:rPr>
    </w:lvl>
    <w:lvl w:ilvl="1" w:tentative="0">
      <w:start w:val="1"/>
      <w:numFmt w:val="bullet"/>
      <w:lvlText w:val=""/>
      <w:lvlJc w:val="left"/>
      <w:pPr>
        <w:ind w:left="1311" w:hanging="420"/>
      </w:pPr>
      <w:rPr>
        <w:rFonts w:hint="default" w:ascii="Wingdings" w:hAnsi="Wingdings"/>
      </w:rPr>
    </w:lvl>
    <w:lvl w:ilvl="2" w:tentative="0">
      <w:start w:val="1"/>
      <w:numFmt w:val="bullet"/>
      <w:lvlText w:val=""/>
      <w:lvlJc w:val="left"/>
      <w:pPr>
        <w:ind w:left="1731" w:hanging="420"/>
      </w:pPr>
      <w:rPr>
        <w:rFonts w:hint="default" w:ascii="Wingdings" w:hAnsi="Wingdings"/>
      </w:rPr>
    </w:lvl>
    <w:lvl w:ilvl="3" w:tentative="0">
      <w:start w:val="1"/>
      <w:numFmt w:val="bullet"/>
      <w:lvlText w:val=""/>
      <w:lvlJc w:val="left"/>
      <w:pPr>
        <w:ind w:left="2151" w:hanging="420"/>
      </w:pPr>
      <w:rPr>
        <w:rFonts w:hint="default" w:ascii="Wingdings" w:hAnsi="Wingdings"/>
      </w:rPr>
    </w:lvl>
    <w:lvl w:ilvl="4" w:tentative="0">
      <w:start w:val="1"/>
      <w:numFmt w:val="bullet"/>
      <w:lvlText w:val=""/>
      <w:lvlJc w:val="left"/>
      <w:pPr>
        <w:ind w:left="2571" w:hanging="420"/>
      </w:pPr>
      <w:rPr>
        <w:rFonts w:hint="default" w:ascii="Wingdings" w:hAnsi="Wingdings"/>
      </w:rPr>
    </w:lvl>
    <w:lvl w:ilvl="5" w:tentative="0">
      <w:start w:val="1"/>
      <w:numFmt w:val="bullet"/>
      <w:lvlText w:val=""/>
      <w:lvlJc w:val="left"/>
      <w:pPr>
        <w:ind w:left="2991" w:hanging="420"/>
      </w:pPr>
      <w:rPr>
        <w:rFonts w:hint="default" w:ascii="Wingdings" w:hAnsi="Wingdings"/>
      </w:rPr>
    </w:lvl>
    <w:lvl w:ilvl="6" w:tentative="0">
      <w:start w:val="1"/>
      <w:numFmt w:val="bullet"/>
      <w:lvlText w:val=""/>
      <w:lvlJc w:val="left"/>
      <w:pPr>
        <w:ind w:left="3411" w:hanging="420"/>
      </w:pPr>
      <w:rPr>
        <w:rFonts w:hint="default" w:ascii="Wingdings" w:hAnsi="Wingdings"/>
      </w:rPr>
    </w:lvl>
    <w:lvl w:ilvl="7" w:tentative="0">
      <w:start w:val="1"/>
      <w:numFmt w:val="bullet"/>
      <w:lvlText w:val=""/>
      <w:lvlJc w:val="left"/>
      <w:pPr>
        <w:ind w:left="3831" w:hanging="420"/>
      </w:pPr>
      <w:rPr>
        <w:rFonts w:hint="default" w:ascii="Wingdings" w:hAnsi="Wingdings"/>
      </w:rPr>
    </w:lvl>
    <w:lvl w:ilvl="8" w:tentative="0">
      <w:start w:val="1"/>
      <w:numFmt w:val="bullet"/>
      <w:lvlText w:val=""/>
      <w:lvlJc w:val="left"/>
      <w:pPr>
        <w:ind w:left="4251"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BA663B4"/>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2019-10-31T05:19:23Z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