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s="黑体"/>
          <w:color w:val="auto"/>
        </w:rPr>
      </w:pPr>
      <w:bookmarkStart w:id="1" w:name="_GoBack"/>
      <w:bookmarkEnd w:id="1"/>
      <w:bookmarkStart w:id="0" w:name="_Toc25750"/>
      <w:r>
        <w:rPr>
          <w:rFonts w:hint="eastAsia" w:ascii="黑体" w:hAnsi="黑体" w:cs="黑体"/>
          <w:color w:val="auto"/>
        </w:rPr>
        <w:t>1.1.4.3环境保护税基础信息采集</w:t>
      </w:r>
      <w:bookmarkEnd w:id="0"/>
    </w:p>
    <w:p>
      <w:pPr>
        <w:pStyle w:val="3"/>
        <w:ind w:firstLine="552"/>
        <w:rPr>
          <w:color w:val="auto"/>
        </w:rPr>
      </w:pPr>
      <w:r>
        <w:rPr>
          <w:rFonts w:hint="eastAsia"/>
          <w:color w:val="auto"/>
        </w:rPr>
        <w:t>一、事项名称</w:t>
      </w:r>
    </w:p>
    <w:p>
      <w:pPr>
        <w:ind w:firstLine="471" w:firstLineChars="0"/>
        <w:rPr>
          <w:rFonts w:hint="eastAsia" w:ascii="宋体" w:hAnsi="宋体"/>
          <w:color w:val="auto"/>
        </w:rPr>
      </w:pPr>
      <w:r>
        <w:rPr>
          <w:rFonts w:hint="eastAsia" w:ascii="宋体" w:hAnsi="宋体"/>
          <w:color w:val="auto"/>
        </w:rPr>
        <w:t>环境保护税基础信息采集</w:t>
      </w:r>
    </w:p>
    <w:p>
      <w:pPr>
        <w:pStyle w:val="3"/>
        <w:ind w:firstLine="552"/>
        <w:rPr>
          <w:color w:val="auto"/>
        </w:rPr>
      </w:pPr>
      <w:r>
        <w:rPr>
          <w:rFonts w:hint="eastAsia"/>
          <w:color w:val="auto"/>
        </w:rPr>
        <w:t>二、事项类别</w:t>
      </w:r>
    </w:p>
    <w:p>
      <w:pPr>
        <w:numPr>
          <w:ilvl w:val="0"/>
          <w:numId w:val="3"/>
        </w:numPr>
        <w:ind w:firstLineChars="0"/>
        <w:rPr>
          <w:color w:val="auto"/>
        </w:rPr>
      </w:pPr>
      <w:r>
        <w:rPr>
          <w:rFonts w:hint="eastAsia"/>
          <w:color w:val="auto"/>
        </w:rPr>
        <w:t>发起方式：人工发起（纳税人）</w:t>
      </w:r>
    </w:p>
    <w:p>
      <w:pPr>
        <w:numPr>
          <w:ilvl w:val="0"/>
          <w:numId w:val="3"/>
        </w:numPr>
        <w:ind w:firstLineChars="0"/>
        <w:rPr>
          <w:color w:val="auto"/>
        </w:rPr>
      </w:pPr>
      <w:r>
        <w:rPr>
          <w:rFonts w:hint="eastAsia"/>
          <w:color w:val="auto"/>
        </w:rPr>
        <w:t>办结方式：即办</w:t>
      </w:r>
    </w:p>
    <w:p>
      <w:pPr>
        <w:numPr>
          <w:ilvl w:val="0"/>
          <w:numId w:val="3"/>
        </w:numPr>
        <w:ind w:firstLineChars="0"/>
        <w:rPr>
          <w:color w:val="auto"/>
        </w:rPr>
      </w:pPr>
      <w:r>
        <w:rPr>
          <w:rFonts w:hint="eastAsia"/>
          <w:color w:val="auto"/>
        </w:rPr>
        <w:t>全省通办：是</w:t>
      </w:r>
    </w:p>
    <w:p>
      <w:pPr>
        <w:numPr>
          <w:ilvl w:val="0"/>
          <w:numId w:val="3"/>
        </w:numPr>
        <w:ind w:firstLineChars="0"/>
        <w:rPr>
          <w:color w:val="auto"/>
        </w:rPr>
      </w:pPr>
      <w:r>
        <w:rPr>
          <w:rFonts w:hint="eastAsia"/>
          <w:color w:val="auto"/>
        </w:rPr>
        <w:t>网上办理：是</w:t>
      </w:r>
    </w:p>
    <w:p>
      <w:pPr>
        <w:numPr>
          <w:ilvl w:val="0"/>
          <w:numId w:val="3"/>
        </w:numPr>
        <w:ind w:firstLineChars="0"/>
        <w:rPr>
          <w:color w:val="auto"/>
        </w:rPr>
      </w:pPr>
      <w:r>
        <w:rPr>
          <w:rFonts w:hint="eastAsia"/>
          <w:color w:val="auto"/>
        </w:rPr>
        <w:t>适用层级：县</w:t>
      </w:r>
      <w:r>
        <w:rPr>
          <w:color w:val="auto"/>
        </w:rPr>
        <w:t>(</w:t>
      </w:r>
      <w:r>
        <w:rPr>
          <w:rFonts w:hint="eastAsia"/>
          <w:color w:val="auto"/>
        </w:rPr>
        <w:t>市、区</w:t>
      </w:r>
      <w:r>
        <w:rPr>
          <w:color w:val="auto"/>
        </w:rPr>
        <w:t>)</w:t>
      </w:r>
      <w:r>
        <w:rPr>
          <w:rFonts w:hint="eastAsia"/>
          <w:color w:val="auto"/>
        </w:rPr>
        <w:t>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w:t>
      </w:r>
      <w:r>
        <w:rPr>
          <w:rFonts w:hint="eastAsia" w:ascii="等线 Light" w:hAnsi="等线 Light" w:eastAsia="黑体" w:cs="Times New Roman"/>
          <w:bCs/>
          <w:color w:val="auto"/>
          <w:sz w:val="28"/>
          <w:szCs w:val="32"/>
          <w:lang w:eastAsia="zh-CN"/>
        </w:rPr>
        <w:t>办理条件</w:t>
      </w:r>
    </w:p>
    <w:p>
      <w:pPr>
        <w:ind w:firstLine="471" w:firstLineChars="0"/>
        <w:rPr>
          <w:rFonts w:hint="eastAsia" w:ascii="宋体" w:hAnsi="宋体" w:eastAsia="宋体"/>
          <w:bCs w:val="0"/>
          <w:color w:val="auto"/>
          <w:sz w:val="24"/>
          <w:szCs w:val="22"/>
        </w:rPr>
      </w:pPr>
      <w:r>
        <w:rPr>
          <w:rFonts w:hint="eastAsia" w:ascii="宋体" w:hAnsi="宋体" w:eastAsia="宋体"/>
          <w:bCs w:val="0"/>
          <w:color w:val="auto"/>
          <w:sz w:val="24"/>
          <w:szCs w:val="22"/>
        </w:rPr>
        <w:t>环境保护税基础信息采集是指为了方便环境保护税申报，减轻纳税人的申报负担，而进行的将纳税人税务登记信息、污染物排放口、排放污染物种类和标准等基础信息等予以采集的一项业务活动。</w:t>
      </w:r>
    </w:p>
    <w:p>
      <w:pPr>
        <w:pStyle w:val="3"/>
        <w:ind w:firstLine="552"/>
        <w:rPr>
          <w:color w:val="auto"/>
        </w:rPr>
      </w:pPr>
      <w:r>
        <w:rPr>
          <w:rFonts w:hint="eastAsia"/>
          <w:color w:val="auto"/>
        </w:rPr>
        <w:t>四、设定依据</w:t>
      </w:r>
    </w:p>
    <w:p>
      <w:pPr>
        <w:ind w:firstLine="472"/>
        <w:rPr>
          <w:color w:val="auto"/>
        </w:rPr>
      </w:pPr>
      <w:r>
        <w:rPr>
          <w:color w:val="auto"/>
        </w:rPr>
        <w:t>1.</w:t>
      </w:r>
      <w:r>
        <w:rPr>
          <w:rFonts w:hint="eastAsia"/>
          <w:color w:val="auto"/>
        </w:rPr>
        <w:t>《国家税务总局关于发布</w:t>
      </w:r>
      <w:r>
        <w:rPr>
          <w:color w:val="auto"/>
        </w:rPr>
        <w:t>&lt;</w:t>
      </w:r>
      <w:r>
        <w:rPr>
          <w:rFonts w:hint="eastAsia"/>
          <w:color w:val="auto"/>
        </w:rPr>
        <w:t>环境保护税纳税申报表</w:t>
      </w:r>
      <w:r>
        <w:rPr>
          <w:color w:val="auto"/>
        </w:rPr>
        <w:t>&gt;</w:t>
      </w:r>
      <w:r>
        <w:rPr>
          <w:rFonts w:hint="eastAsia"/>
          <w:color w:val="auto"/>
        </w:rPr>
        <w:t>的公告》（</w:t>
      </w:r>
      <w:r>
        <w:rPr>
          <w:color w:val="auto"/>
        </w:rPr>
        <w:t>2018</w:t>
      </w:r>
      <w:r>
        <w:rPr>
          <w:rFonts w:hint="eastAsia"/>
          <w:color w:val="auto"/>
        </w:rPr>
        <w:t>年</w:t>
      </w:r>
      <w:r>
        <w:rPr>
          <w:color w:val="auto"/>
        </w:rPr>
        <w:t>7</w:t>
      </w:r>
      <w:r>
        <w:rPr>
          <w:rFonts w:hint="eastAsia"/>
          <w:color w:val="auto"/>
        </w:rPr>
        <w:t>号公告）全文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beforeAutospacing="1" w:after="100" w:afterAutospacing="1"/>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beforeAutospacing="1" w:after="100" w:afterAutospacing="1"/>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beforeAutospacing="1" w:after="100" w:afterAutospacing="1"/>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beforeAutospacing="1" w:after="100" w:afterAutospacing="1"/>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beforeAutospacing="1" w:after="100" w:afterAutospacing="1"/>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beforeAutospacing="1" w:after="100" w:afterAutospacing="1"/>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beforeAutospacing="1" w:after="100" w:afterAutospacing="1"/>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vAlign w:val="center"/>
          </w:tcPr>
          <w:p>
            <w:pPr>
              <w:pStyle w:val="13"/>
              <w:spacing w:line="280" w:lineRule="exact"/>
              <w:ind w:firstLine="353"/>
              <w:jc w:val="center"/>
              <w:rPr>
                <w:rStyle w:val="17"/>
                <w:rFonts w:ascii="宋体" w:hAnsi="宋体" w:eastAsia="宋体" w:cs="微软雅黑"/>
                <w:b w:val="0"/>
                <w:color w:val="auto"/>
                <w:sz w:val="18"/>
                <w:szCs w:val="18"/>
              </w:rPr>
            </w:pPr>
            <w:r>
              <w:rPr>
                <w:rStyle w:val="17"/>
                <w:rFonts w:ascii="宋体" w:hAnsi="宋体" w:eastAsia="宋体" w:cs="微软雅黑"/>
                <w:b w:val="0"/>
                <w:color w:val="auto"/>
                <w:sz w:val="18"/>
                <w:szCs w:val="18"/>
              </w:rPr>
              <w:t>1</w:t>
            </w:r>
          </w:p>
        </w:tc>
        <w:tc>
          <w:tcPr>
            <w:tcW w:w="2551" w:type="dxa"/>
            <w:vAlign w:val="center"/>
          </w:tcPr>
          <w:p>
            <w:pPr>
              <w:pStyle w:val="13"/>
              <w:widowControl/>
              <w:spacing w:line="280" w:lineRule="exact"/>
              <w:rPr>
                <w:rFonts w:ascii="宋体" w:hAnsi="宋体" w:eastAsia="宋体"/>
                <w:color w:val="auto"/>
                <w:sz w:val="18"/>
                <w:szCs w:val="18"/>
              </w:rPr>
            </w:pPr>
            <w:r>
              <w:rPr>
                <w:rFonts w:hint="eastAsia" w:ascii="宋体" w:hAnsi="宋体" w:eastAsia="宋体"/>
                <w:color w:val="auto"/>
                <w:sz w:val="18"/>
                <w:szCs w:val="18"/>
              </w:rPr>
              <w:t>《环境保护税基础信息采集表》</w:t>
            </w:r>
          </w:p>
        </w:tc>
        <w:tc>
          <w:tcPr>
            <w:tcW w:w="709" w:type="dxa"/>
            <w:vAlign w:val="center"/>
          </w:tcPr>
          <w:p>
            <w:pPr>
              <w:pStyle w:val="13"/>
              <w:spacing w:line="280" w:lineRule="exact"/>
              <w:jc w:val="center"/>
              <w:rPr>
                <w:rStyle w:val="17"/>
                <w:rFonts w:ascii="宋体" w:hAnsi="宋体" w:eastAsia="宋体" w:cs="微软雅黑"/>
                <w:b w:val="0"/>
                <w:color w:val="auto"/>
                <w:sz w:val="18"/>
                <w:szCs w:val="18"/>
              </w:rPr>
            </w:pPr>
            <w:r>
              <w:rPr>
                <w:rStyle w:val="17"/>
                <w:rFonts w:ascii="宋体" w:hAnsi="宋体" w:eastAsia="宋体" w:cs="微软雅黑"/>
                <w:b w:val="0"/>
                <w:color w:val="auto"/>
                <w:sz w:val="18"/>
                <w:szCs w:val="18"/>
              </w:rPr>
              <w:t>2</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vAlign w:val="center"/>
          </w:tcPr>
          <w:p>
            <w:pPr>
              <w:pStyle w:val="13"/>
              <w:widowControl/>
              <w:spacing w:line="280" w:lineRule="exact"/>
              <w:rPr>
                <w:rFonts w:ascii="宋体" w:hAnsi="宋体" w:eastAsia="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留存1份</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pStyle w:val="13"/>
              <w:spacing w:line="280" w:lineRule="exact"/>
              <w:ind w:firstLine="353"/>
              <w:jc w:val="center"/>
              <w:rPr>
                <w:rStyle w:val="17"/>
                <w:rFonts w:ascii="宋体" w:hAnsi="宋体" w:eastAsia="宋体" w:cs="微软雅黑"/>
                <w:b w:val="0"/>
                <w:color w:val="auto"/>
                <w:sz w:val="18"/>
                <w:szCs w:val="18"/>
              </w:rPr>
            </w:pPr>
            <w:r>
              <w:rPr>
                <w:rStyle w:val="17"/>
                <w:rFonts w:ascii="宋体" w:hAnsi="宋体" w:eastAsia="宋体" w:cs="微软雅黑"/>
                <w:b w:val="0"/>
                <w:color w:val="auto"/>
                <w:sz w:val="18"/>
                <w:szCs w:val="18"/>
              </w:rPr>
              <w:t>2</w:t>
            </w:r>
          </w:p>
        </w:tc>
        <w:tc>
          <w:tcPr>
            <w:tcW w:w="2551" w:type="dxa"/>
            <w:vAlign w:val="center"/>
          </w:tcPr>
          <w:p>
            <w:pPr>
              <w:pStyle w:val="13"/>
              <w:widowControl/>
              <w:spacing w:line="280" w:lineRule="exact"/>
              <w:rPr>
                <w:rFonts w:ascii="宋体" w:hAnsi="宋体" w:eastAsia="宋体"/>
                <w:color w:val="auto"/>
                <w:sz w:val="18"/>
                <w:szCs w:val="18"/>
              </w:rPr>
            </w:pPr>
            <w:r>
              <w:rPr>
                <w:rFonts w:hint="eastAsia" w:ascii="宋体" w:hAnsi="宋体" w:eastAsia="宋体"/>
                <w:color w:val="auto"/>
                <w:sz w:val="18"/>
                <w:szCs w:val="18"/>
              </w:rPr>
              <w:t>《大气、水污染物基础信息采集表》</w:t>
            </w:r>
          </w:p>
        </w:tc>
        <w:tc>
          <w:tcPr>
            <w:tcW w:w="709" w:type="dxa"/>
            <w:vAlign w:val="center"/>
          </w:tcPr>
          <w:p>
            <w:pPr>
              <w:pStyle w:val="13"/>
              <w:spacing w:line="280" w:lineRule="exact"/>
              <w:jc w:val="center"/>
              <w:rPr>
                <w:rFonts w:ascii="宋体" w:hAnsi="宋体" w:eastAsia="宋体"/>
                <w:color w:val="auto"/>
                <w:sz w:val="18"/>
                <w:szCs w:val="18"/>
              </w:rPr>
            </w:pPr>
            <w:r>
              <w:rPr>
                <w:rFonts w:ascii="宋体" w:hAnsi="宋体" w:eastAsia="宋体"/>
                <w:color w:val="auto"/>
                <w:sz w:val="18"/>
                <w:szCs w:val="18"/>
              </w:rPr>
              <w:t>2</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vAlign w:val="center"/>
          </w:tcPr>
          <w:p>
            <w:pPr>
              <w:pStyle w:val="13"/>
              <w:widowControl/>
              <w:spacing w:line="280" w:lineRule="exact"/>
              <w:rPr>
                <w:rFonts w:ascii="宋体" w:hAnsi="宋体" w:eastAsia="宋体"/>
                <w:color w:val="auto"/>
                <w:sz w:val="18"/>
                <w:szCs w:val="18"/>
              </w:rPr>
            </w:pPr>
            <w:r>
              <w:rPr>
                <w:rFonts w:hint="eastAsia" w:ascii="宋体" w:hAnsi="宋体" w:eastAsia="宋体"/>
                <w:color w:val="auto"/>
                <w:sz w:val="18"/>
                <w:szCs w:val="18"/>
              </w:rPr>
              <w:t>排放应税大气、水污染物的纳税人填报</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留存1份</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pStyle w:val="13"/>
              <w:spacing w:line="280" w:lineRule="exact"/>
              <w:ind w:firstLine="353"/>
              <w:jc w:val="center"/>
              <w:rPr>
                <w:rStyle w:val="17"/>
                <w:rFonts w:ascii="宋体" w:hAnsi="宋体" w:eastAsia="宋体" w:cs="微软雅黑"/>
                <w:b w:val="0"/>
                <w:color w:val="auto"/>
                <w:sz w:val="18"/>
                <w:szCs w:val="18"/>
              </w:rPr>
            </w:pPr>
            <w:r>
              <w:rPr>
                <w:rStyle w:val="17"/>
                <w:rFonts w:ascii="宋体" w:hAnsi="宋体" w:eastAsia="宋体" w:cs="微软雅黑"/>
                <w:b w:val="0"/>
                <w:color w:val="auto"/>
                <w:sz w:val="18"/>
                <w:szCs w:val="18"/>
              </w:rPr>
              <w:t>3</w:t>
            </w:r>
          </w:p>
        </w:tc>
        <w:tc>
          <w:tcPr>
            <w:tcW w:w="2551" w:type="dxa"/>
            <w:vAlign w:val="center"/>
          </w:tcPr>
          <w:p>
            <w:pPr>
              <w:pStyle w:val="13"/>
              <w:widowControl/>
              <w:spacing w:line="280" w:lineRule="exact"/>
              <w:rPr>
                <w:b/>
                <w:color w:val="auto"/>
              </w:rPr>
            </w:pPr>
            <w:r>
              <w:rPr>
                <w:rFonts w:hint="eastAsia" w:ascii="宋体" w:hAnsi="宋体" w:eastAsia="宋体"/>
                <w:color w:val="auto"/>
                <w:sz w:val="18"/>
                <w:szCs w:val="18"/>
              </w:rPr>
              <w:t>《固体废物基础信息采集表》</w:t>
            </w:r>
          </w:p>
        </w:tc>
        <w:tc>
          <w:tcPr>
            <w:tcW w:w="709" w:type="dxa"/>
            <w:vAlign w:val="center"/>
          </w:tcPr>
          <w:p>
            <w:pPr>
              <w:pStyle w:val="13"/>
              <w:spacing w:line="280" w:lineRule="exact"/>
              <w:jc w:val="center"/>
              <w:rPr>
                <w:rStyle w:val="17"/>
                <w:rFonts w:ascii="宋体" w:hAnsi="宋体" w:eastAsia="宋体" w:cs="微软雅黑"/>
                <w:b w:val="0"/>
                <w:color w:val="auto"/>
                <w:sz w:val="18"/>
                <w:szCs w:val="18"/>
              </w:rPr>
            </w:pPr>
            <w:r>
              <w:rPr>
                <w:rStyle w:val="17"/>
                <w:rFonts w:ascii="宋体" w:hAnsi="宋体" w:eastAsia="宋体" w:cs="微软雅黑"/>
                <w:b w:val="0"/>
                <w:color w:val="auto"/>
                <w:sz w:val="18"/>
                <w:szCs w:val="18"/>
              </w:rPr>
              <w:t>2</w:t>
            </w:r>
          </w:p>
        </w:tc>
        <w:tc>
          <w:tcPr>
            <w:tcW w:w="992" w:type="dxa"/>
            <w:vAlign w:val="center"/>
          </w:tcPr>
          <w:p>
            <w:pPr>
              <w:pStyle w:val="13"/>
              <w:spacing w:line="280" w:lineRule="exact"/>
              <w:jc w:val="center"/>
              <w:rPr>
                <w:rFonts w:ascii="宋体" w:hAnsi="宋体" w:eastAsia="宋体"/>
                <w:color w:val="auto"/>
                <w:sz w:val="18"/>
                <w:szCs w:val="18"/>
              </w:rPr>
            </w:pPr>
            <w:r>
              <w:rPr>
                <w:rFonts w:hint="eastAsia" w:ascii="宋体" w:hAnsi="宋体" w:eastAsia="宋体"/>
                <w:color w:val="auto"/>
                <w:sz w:val="18"/>
                <w:szCs w:val="18"/>
              </w:rPr>
              <w:t>条件报送</w:t>
            </w:r>
          </w:p>
        </w:tc>
        <w:tc>
          <w:tcPr>
            <w:tcW w:w="1134" w:type="dxa"/>
            <w:vAlign w:val="center"/>
          </w:tcPr>
          <w:p>
            <w:pPr>
              <w:pStyle w:val="13"/>
              <w:widowControl/>
              <w:spacing w:line="280" w:lineRule="exact"/>
              <w:rPr>
                <w:rFonts w:ascii="宋体" w:hAnsi="宋体" w:eastAsia="宋体"/>
                <w:color w:val="auto"/>
                <w:sz w:val="18"/>
                <w:szCs w:val="18"/>
              </w:rPr>
            </w:pPr>
            <w:r>
              <w:rPr>
                <w:rFonts w:hint="eastAsia" w:ascii="宋体" w:hAnsi="宋体" w:eastAsia="宋体"/>
                <w:color w:val="auto"/>
                <w:sz w:val="18"/>
                <w:szCs w:val="18"/>
              </w:rPr>
              <w:t>排放应税固体废物的纳税人填报</w:t>
            </w:r>
          </w:p>
        </w:tc>
        <w:tc>
          <w:tcPr>
            <w:tcW w:w="1134" w:type="dxa"/>
            <w:vAlign w:val="center"/>
          </w:tcPr>
          <w:p>
            <w:pPr>
              <w:pStyle w:val="63"/>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w:t>
            </w:r>
            <w:r>
              <w:rPr>
                <w:rFonts w:hint="eastAsia" w:ascii="宋体" w:hAnsi="宋体" w:eastAsia="宋体" w:cs="微软雅黑"/>
                <w:color w:val="auto"/>
                <w:sz w:val="18"/>
                <w:szCs w:val="18"/>
              </w:rPr>
              <w:t>留存1份</w:t>
            </w:r>
          </w:p>
        </w:tc>
        <w:tc>
          <w:tcPr>
            <w:tcW w:w="1134" w:type="dxa"/>
            <w:vAlign w:val="center"/>
          </w:tcPr>
          <w:p>
            <w:pPr>
              <w:pStyle w:val="63"/>
              <w:widowControl/>
              <w:spacing w:line="280" w:lineRule="exact"/>
              <w:ind w:firstLine="352" w:firstLineChars="0"/>
              <w:rPr>
                <w:rFonts w:cs="宋体"/>
                <w:color w:val="auto"/>
                <w:kern w:val="0"/>
                <w:sz w:val="18"/>
                <w:szCs w:val="18"/>
              </w:rPr>
            </w:pPr>
            <w:r>
              <w:rPr>
                <w:rStyle w:val="17"/>
                <w:rFonts w:hint="eastAsia" w:ascii="宋体" w:hAnsi="宋体" w:eastAsia="宋体" w:cs="微软雅黑"/>
                <w:b w:val="0"/>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pStyle w:val="13"/>
              <w:spacing w:line="280" w:lineRule="exact"/>
              <w:ind w:firstLine="353"/>
              <w:jc w:val="center"/>
              <w:rPr>
                <w:rStyle w:val="17"/>
                <w:rFonts w:ascii="宋体" w:hAnsi="宋体" w:eastAsia="宋体" w:cs="微软雅黑"/>
                <w:b w:val="0"/>
                <w:color w:val="auto"/>
                <w:sz w:val="18"/>
                <w:szCs w:val="18"/>
              </w:rPr>
            </w:pPr>
            <w:r>
              <w:rPr>
                <w:rStyle w:val="17"/>
                <w:rFonts w:ascii="宋体" w:hAnsi="宋体" w:eastAsia="宋体" w:cs="微软雅黑"/>
                <w:b w:val="0"/>
                <w:color w:val="auto"/>
                <w:sz w:val="18"/>
                <w:szCs w:val="18"/>
              </w:rPr>
              <w:t>4</w:t>
            </w:r>
          </w:p>
        </w:tc>
        <w:tc>
          <w:tcPr>
            <w:tcW w:w="2551" w:type="dxa"/>
            <w:vAlign w:val="center"/>
          </w:tcPr>
          <w:p>
            <w:pPr>
              <w:pStyle w:val="13"/>
              <w:widowControl/>
              <w:spacing w:line="280" w:lineRule="exact"/>
              <w:rPr>
                <w:b/>
                <w:color w:val="auto"/>
              </w:rPr>
            </w:pPr>
            <w:r>
              <w:rPr>
                <w:rFonts w:hint="eastAsia" w:ascii="宋体" w:hAnsi="宋体" w:eastAsia="宋体"/>
                <w:color w:val="auto"/>
                <w:sz w:val="18"/>
                <w:szCs w:val="18"/>
              </w:rPr>
              <w:t>《噪声基础信息采集表》</w:t>
            </w:r>
          </w:p>
        </w:tc>
        <w:tc>
          <w:tcPr>
            <w:tcW w:w="709" w:type="dxa"/>
            <w:vAlign w:val="center"/>
          </w:tcPr>
          <w:p>
            <w:pPr>
              <w:pStyle w:val="13"/>
              <w:spacing w:line="280" w:lineRule="exact"/>
              <w:jc w:val="center"/>
              <w:rPr>
                <w:rStyle w:val="17"/>
                <w:rFonts w:ascii="宋体" w:hAnsi="宋体" w:eastAsia="宋体" w:cs="微软雅黑"/>
                <w:b w:val="0"/>
                <w:color w:val="auto"/>
                <w:sz w:val="18"/>
                <w:szCs w:val="18"/>
              </w:rPr>
            </w:pPr>
            <w:r>
              <w:rPr>
                <w:rStyle w:val="17"/>
                <w:rFonts w:ascii="宋体" w:hAnsi="宋体" w:eastAsia="宋体" w:cs="微软雅黑"/>
                <w:b w:val="0"/>
                <w:color w:val="auto"/>
                <w:sz w:val="18"/>
                <w:szCs w:val="18"/>
              </w:rPr>
              <w:t>2</w:t>
            </w:r>
          </w:p>
        </w:tc>
        <w:tc>
          <w:tcPr>
            <w:tcW w:w="992" w:type="dxa"/>
            <w:vAlign w:val="center"/>
          </w:tcPr>
          <w:p>
            <w:pPr>
              <w:pStyle w:val="13"/>
              <w:spacing w:line="280" w:lineRule="exact"/>
              <w:jc w:val="center"/>
              <w:rPr>
                <w:rFonts w:ascii="宋体" w:hAnsi="宋体" w:eastAsia="宋体"/>
                <w:color w:val="auto"/>
                <w:sz w:val="18"/>
                <w:szCs w:val="18"/>
              </w:rPr>
            </w:pPr>
            <w:r>
              <w:rPr>
                <w:rFonts w:hint="eastAsia" w:ascii="宋体" w:hAnsi="宋体" w:eastAsia="宋体"/>
                <w:color w:val="auto"/>
                <w:sz w:val="18"/>
                <w:szCs w:val="18"/>
              </w:rPr>
              <w:t>条件报送</w:t>
            </w:r>
          </w:p>
        </w:tc>
        <w:tc>
          <w:tcPr>
            <w:tcW w:w="1134" w:type="dxa"/>
            <w:vAlign w:val="center"/>
          </w:tcPr>
          <w:p>
            <w:pPr>
              <w:pStyle w:val="13"/>
              <w:widowControl/>
              <w:spacing w:line="280" w:lineRule="exact"/>
              <w:rPr>
                <w:rFonts w:ascii="宋体" w:hAnsi="宋体" w:eastAsia="宋体"/>
                <w:color w:val="auto"/>
                <w:sz w:val="18"/>
                <w:szCs w:val="18"/>
              </w:rPr>
            </w:pPr>
            <w:r>
              <w:rPr>
                <w:rFonts w:hint="eastAsia" w:ascii="宋体" w:hAnsi="宋体" w:eastAsia="宋体"/>
                <w:color w:val="auto"/>
                <w:sz w:val="18"/>
                <w:szCs w:val="18"/>
              </w:rPr>
              <w:t>超标排放噪声的纳税人填报</w:t>
            </w:r>
          </w:p>
        </w:tc>
        <w:tc>
          <w:tcPr>
            <w:tcW w:w="1134" w:type="dxa"/>
            <w:vAlign w:val="center"/>
          </w:tcPr>
          <w:p>
            <w:pPr>
              <w:pStyle w:val="63"/>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w:t>
            </w:r>
            <w:r>
              <w:rPr>
                <w:rFonts w:hint="eastAsia" w:ascii="宋体" w:hAnsi="宋体" w:eastAsia="宋体" w:cs="微软雅黑"/>
                <w:color w:val="auto"/>
                <w:sz w:val="18"/>
                <w:szCs w:val="18"/>
              </w:rPr>
              <w:t>留存1份</w:t>
            </w:r>
          </w:p>
        </w:tc>
        <w:tc>
          <w:tcPr>
            <w:tcW w:w="1134" w:type="dxa"/>
            <w:vAlign w:val="center"/>
          </w:tcPr>
          <w:p>
            <w:pPr>
              <w:pStyle w:val="63"/>
              <w:widowControl/>
              <w:spacing w:line="280" w:lineRule="exact"/>
              <w:ind w:firstLine="352" w:firstLineChars="0"/>
              <w:rPr>
                <w:rFonts w:cs="宋体"/>
                <w:color w:val="auto"/>
                <w:kern w:val="0"/>
                <w:sz w:val="18"/>
                <w:szCs w:val="18"/>
              </w:rPr>
            </w:pPr>
            <w:r>
              <w:rPr>
                <w:rStyle w:val="17"/>
                <w:rFonts w:hint="eastAsia" w:ascii="宋体" w:hAnsi="宋体" w:eastAsia="宋体" w:cs="微软雅黑"/>
                <w:b w:val="0"/>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tcBorders>
              <w:bottom w:val="single" w:color="auto" w:sz="12" w:space="0"/>
            </w:tcBorders>
            <w:vAlign w:val="center"/>
          </w:tcPr>
          <w:p>
            <w:pPr>
              <w:pStyle w:val="13"/>
              <w:spacing w:line="280" w:lineRule="exact"/>
              <w:ind w:firstLine="353"/>
              <w:jc w:val="center"/>
              <w:rPr>
                <w:rStyle w:val="17"/>
                <w:rFonts w:ascii="宋体" w:hAnsi="宋体" w:eastAsia="宋体" w:cs="微软雅黑"/>
                <w:b w:val="0"/>
                <w:color w:val="auto"/>
                <w:sz w:val="18"/>
                <w:szCs w:val="18"/>
              </w:rPr>
            </w:pPr>
            <w:r>
              <w:rPr>
                <w:rStyle w:val="17"/>
                <w:rFonts w:ascii="宋体" w:hAnsi="宋体" w:eastAsia="宋体" w:cs="微软雅黑"/>
                <w:b w:val="0"/>
                <w:color w:val="auto"/>
                <w:sz w:val="18"/>
                <w:szCs w:val="18"/>
              </w:rPr>
              <w:t>5</w:t>
            </w:r>
          </w:p>
        </w:tc>
        <w:tc>
          <w:tcPr>
            <w:tcW w:w="2551" w:type="dxa"/>
            <w:tcBorders>
              <w:bottom w:val="single" w:color="auto" w:sz="12" w:space="0"/>
            </w:tcBorders>
            <w:vAlign w:val="center"/>
          </w:tcPr>
          <w:p>
            <w:pPr>
              <w:pStyle w:val="13"/>
              <w:widowControl/>
              <w:spacing w:line="280" w:lineRule="exact"/>
              <w:rPr>
                <w:b/>
                <w:color w:val="auto"/>
              </w:rPr>
            </w:pPr>
            <w:r>
              <w:rPr>
                <w:rFonts w:hint="eastAsia" w:ascii="宋体" w:hAnsi="宋体" w:eastAsia="宋体"/>
                <w:color w:val="auto"/>
                <w:sz w:val="18"/>
                <w:szCs w:val="18"/>
              </w:rPr>
              <w:t>《产排污系数基础信息采集表》</w:t>
            </w:r>
          </w:p>
        </w:tc>
        <w:tc>
          <w:tcPr>
            <w:tcW w:w="709" w:type="dxa"/>
            <w:tcBorders>
              <w:bottom w:val="single" w:color="auto" w:sz="12" w:space="0"/>
            </w:tcBorders>
            <w:vAlign w:val="center"/>
          </w:tcPr>
          <w:p>
            <w:pPr>
              <w:pStyle w:val="13"/>
              <w:spacing w:line="280" w:lineRule="exact"/>
              <w:jc w:val="center"/>
              <w:rPr>
                <w:rStyle w:val="17"/>
                <w:rFonts w:ascii="宋体" w:hAnsi="宋体" w:eastAsia="宋体" w:cs="微软雅黑"/>
                <w:b w:val="0"/>
                <w:color w:val="auto"/>
                <w:sz w:val="18"/>
                <w:szCs w:val="18"/>
              </w:rPr>
            </w:pPr>
            <w:r>
              <w:rPr>
                <w:rStyle w:val="17"/>
                <w:rFonts w:ascii="宋体" w:hAnsi="宋体" w:eastAsia="宋体" w:cs="微软雅黑"/>
                <w:b w:val="0"/>
                <w:color w:val="auto"/>
                <w:sz w:val="18"/>
                <w:szCs w:val="18"/>
              </w:rPr>
              <w:t>2</w:t>
            </w:r>
          </w:p>
        </w:tc>
        <w:tc>
          <w:tcPr>
            <w:tcW w:w="992" w:type="dxa"/>
            <w:tcBorders>
              <w:bottom w:val="single" w:color="auto" w:sz="12" w:space="0"/>
            </w:tcBorders>
            <w:vAlign w:val="center"/>
          </w:tcPr>
          <w:p>
            <w:pPr>
              <w:pStyle w:val="13"/>
              <w:spacing w:line="280" w:lineRule="exact"/>
              <w:jc w:val="center"/>
              <w:rPr>
                <w:rFonts w:ascii="宋体" w:hAnsi="宋体" w:eastAsia="宋体"/>
                <w:color w:val="auto"/>
                <w:sz w:val="18"/>
                <w:szCs w:val="18"/>
              </w:rPr>
            </w:pPr>
            <w:r>
              <w:rPr>
                <w:rFonts w:hint="eastAsia" w:ascii="宋体" w:hAnsi="宋体" w:eastAsia="宋体"/>
                <w:color w:val="auto"/>
                <w:sz w:val="18"/>
                <w:szCs w:val="18"/>
              </w:rPr>
              <w:t>条件报送</w:t>
            </w:r>
          </w:p>
        </w:tc>
        <w:tc>
          <w:tcPr>
            <w:tcW w:w="1134" w:type="dxa"/>
            <w:tcBorders>
              <w:bottom w:val="single" w:color="auto" w:sz="12" w:space="0"/>
            </w:tcBorders>
            <w:vAlign w:val="center"/>
          </w:tcPr>
          <w:p>
            <w:pPr>
              <w:pStyle w:val="13"/>
              <w:widowControl/>
              <w:spacing w:line="280" w:lineRule="exact"/>
              <w:rPr>
                <w:rFonts w:ascii="宋体" w:hAnsi="宋体" w:eastAsia="宋体"/>
                <w:color w:val="auto"/>
                <w:sz w:val="18"/>
                <w:szCs w:val="18"/>
              </w:rPr>
            </w:pPr>
            <w:r>
              <w:rPr>
                <w:rFonts w:hint="eastAsia" w:ascii="宋体" w:hAnsi="宋体" w:eastAsia="宋体"/>
                <w:color w:val="auto"/>
                <w:sz w:val="18"/>
                <w:szCs w:val="18"/>
              </w:rPr>
              <w:t>适用排污系数方法计算污染物排放量的纳税人填报</w:t>
            </w:r>
          </w:p>
        </w:tc>
        <w:tc>
          <w:tcPr>
            <w:tcW w:w="1134" w:type="dxa"/>
            <w:tcBorders>
              <w:bottom w:val="single" w:color="auto" w:sz="12" w:space="0"/>
            </w:tcBorders>
            <w:vAlign w:val="center"/>
          </w:tcPr>
          <w:p>
            <w:pPr>
              <w:pStyle w:val="63"/>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w:t>
            </w:r>
            <w:r>
              <w:rPr>
                <w:rFonts w:hint="eastAsia" w:ascii="宋体" w:hAnsi="宋体" w:eastAsia="宋体" w:cs="微软雅黑"/>
                <w:color w:val="auto"/>
                <w:sz w:val="18"/>
                <w:szCs w:val="18"/>
              </w:rPr>
              <w:t>留存1份</w:t>
            </w:r>
          </w:p>
        </w:tc>
        <w:tc>
          <w:tcPr>
            <w:tcW w:w="1134" w:type="dxa"/>
            <w:tcBorders>
              <w:bottom w:val="single" w:color="auto" w:sz="12" w:space="0"/>
            </w:tcBorders>
            <w:vAlign w:val="center"/>
          </w:tcPr>
          <w:p>
            <w:pPr>
              <w:pStyle w:val="63"/>
              <w:widowControl/>
              <w:spacing w:line="280" w:lineRule="exact"/>
              <w:ind w:firstLine="352" w:firstLineChars="0"/>
              <w:rPr>
                <w:rFonts w:cs="宋体"/>
                <w:color w:val="auto"/>
                <w:kern w:val="0"/>
                <w:sz w:val="18"/>
                <w:szCs w:val="18"/>
              </w:rPr>
            </w:pPr>
            <w:r>
              <w:rPr>
                <w:rStyle w:val="17"/>
                <w:rFonts w:hint="eastAsia" w:ascii="宋体" w:hAnsi="宋体" w:eastAsia="宋体" w:cs="微软雅黑"/>
                <w:b w:val="0"/>
                <w:color w:val="auto"/>
                <w:sz w:val="18"/>
                <w:szCs w:val="18"/>
              </w:rPr>
              <w:t>是</w:t>
            </w:r>
          </w:p>
        </w:tc>
      </w:tr>
    </w:tbl>
    <w:p>
      <w:pPr>
        <w:pStyle w:val="3"/>
        <w:ind w:firstLine="552"/>
        <w:rPr>
          <w:color w:val="auto"/>
        </w:rPr>
      </w:pPr>
      <w:r>
        <w:rPr>
          <w:rFonts w:hint="eastAsia"/>
          <w:color w:val="auto"/>
        </w:rPr>
        <w:t>六、办理流程</w:t>
      </w:r>
    </w:p>
    <w:p>
      <w:pPr>
        <w:spacing w:line="240" w:lineRule="auto"/>
        <w:ind w:firstLineChars="0"/>
        <w:rPr>
          <w:color w:val="auto"/>
        </w:rPr>
      </w:pPr>
    </w:p>
    <w:p>
      <w:pPr>
        <w:spacing w:line="240" w:lineRule="auto"/>
        <w:ind w:left="472" w:firstLine="0" w:firstLineChars="0"/>
        <w:rPr>
          <w:color w:val="auto"/>
        </w:rPr>
      </w:pPr>
    </w:p>
    <w:p>
      <w:pPr>
        <w:spacing w:line="240" w:lineRule="auto"/>
        <w:ind w:left="472" w:firstLine="0" w:firstLineChars="0"/>
        <w:rPr>
          <w:color w:val="auto"/>
        </w:rPr>
      </w:pPr>
      <w:r>
        <w:rPr>
          <w:rFonts w:ascii="Calibri" w:hAnsi="Calibri"/>
          <w:color w:val="auto"/>
          <w:sz w:val="28"/>
          <w:szCs w:val="28"/>
        </w:rPr>
        <w:object>
          <v:shape id="_x0000_i1039" o:spt="75" type="#_x0000_t75" style="height:101.35pt;width:424.65pt;" o:ole="t" filled="f" o:preferrelative="t" stroked="f" coordsize="21600,21600">
            <v:path/>
            <v:fill on="f" focussize="0,0"/>
            <v:stroke on="f"/>
            <v:imagedata r:id="rId10" o:title=""/>
            <o:lock v:ext="edit" aspectratio="t"/>
            <w10:wrap type="none"/>
            <w10:anchorlock/>
          </v:shape>
          <o:OLEObject Type="Embed" ProgID="" ShapeID="_x0000_i1039" DrawAspect="Content" ObjectID="_1468075725">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eastAsia="宋体"/>
          <w:color w:val="auto"/>
          <w:lang w:eastAsia="zh-CN"/>
        </w:rPr>
      </w:pPr>
      <w:r>
        <w:rPr>
          <w:rFonts w:hint="eastAsia"/>
          <w:color w:val="auto"/>
        </w:rPr>
        <w:t>1.A01070《环境保护税基础信息采集表》</w:t>
      </w:r>
    </w:p>
    <w:p>
      <w:pPr>
        <w:ind w:firstLine="472"/>
        <w:rPr>
          <w:rFonts w:hint="eastAsia" w:eastAsia="宋体"/>
          <w:color w:val="auto"/>
          <w:lang w:eastAsia="zh-CN"/>
        </w:rPr>
      </w:pPr>
      <w:r>
        <w:rPr>
          <w:rFonts w:hint="eastAsia"/>
          <w:color w:val="auto"/>
        </w:rPr>
        <w:t>2.A01071《大气、水污染物基础信息采集表》</w:t>
      </w:r>
    </w:p>
    <w:p>
      <w:pPr>
        <w:ind w:firstLine="472"/>
        <w:rPr>
          <w:rFonts w:hint="eastAsia" w:eastAsia="宋体"/>
          <w:color w:val="auto"/>
          <w:lang w:eastAsia="zh-CN"/>
        </w:rPr>
      </w:pPr>
      <w:r>
        <w:rPr>
          <w:rFonts w:hint="eastAsia"/>
          <w:color w:val="auto"/>
        </w:rPr>
        <w:t>3.A01072《固体废物基础信息采集表》</w:t>
      </w:r>
    </w:p>
    <w:p>
      <w:pPr>
        <w:ind w:firstLine="472"/>
        <w:rPr>
          <w:rFonts w:hint="eastAsia" w:eastAsia="宋体"/>
          <w:color w:val="auto"/>
          <w:lang w:eastAsia="zh-CN"/>
        </w:rPr>
      </w:pPr>
      <w:r>
        <w:rPr>
          <w:rFonts w:hint="eastAsia"/>
          <w:color w:val="auto"/>
        </w:rPr>
        <w:t>4.A01073《噪声基础信息采集表》</w:t>
      </w:r>
    </w:p>
    <w:p>
      <w:pPr>
        <w:ind w:firstLine="472"/>
        <w:rPr>
          <w:rFonts w:hint="eastAsia" w:eastAsia="宋体"/>
          <w:color w:val="auto"/>
          <w:lang w:eastAsia="zh-CN"/>
        </w:rPr>
      </w:pPr>
      <w:r>
        <w:rPr>
          <w:rFonts w:hint="eastAsia"/>
          <w:color w:val="auto"/>
        </w:rPr>
        <w:t>5.A01074《产排污系数基础信息采集表》</w:t>
      </w:r>
    </w:p>
    <w:p>
      <w:pPr>
        <w:pStyle w:val="3"/>
        <w:ind w:firstLine="552"/>
        <w:rPr>
          <w:color w:val="auto"/>
        </w:rPr>
      </w:pPr>
      <w:r>
        <w:rPr>
          <w:rFonts w:hint="eastAsia"/>
          <w:color w:val="auto"/>
        </w:rPr>
        <w:t>九、注意事项</w:t>
      </w:r>
    </w:p>
    <w:p>
      <w:pPr>
        <w:ind w:firstLine="472"/>
        <w:rPr>
          <w:color w:val="auto"/>
        </w:rPr>
      </w:pPr>
      <w:r>
        <w:rPr>
          <w:color w:val="auto"/>
        </w:rPr>
        <w:t>1.</w:t>
      </w:r>
      <w:r>
        <w:rPr>
          <w:rFonts w:hint="eastAsia"/>
          <w:color w:val="auto"/>
        </w:rPr>
        <w:t>环境保护税无需进行税（费）种认定，其应（未）申报信息根据《环境保护税基础信息采集表》识别、生成。</w:t>
      </w:r>
    </w:p>
    <w:p>
      <w:pPr>
        <w:ind w:firstLine="472"/>
        <w:rPr>
          <w:color w:val="auto"/>
        </w:rPr>
      </w:pPr>
      <w:r>
        <w:rPr>
          <w:color w:val="auto"/>
        </w:rPr>
        <w:t>2.</w:t>
      </w:r>
      <w:r>
        <w:rPr>
          <w:rFonts w:hint="eastAsia"/>
          <w:color w:val="auto"/>
        </w:rPr>
        <w:t>纳税人据以填报《环境保护税基础信息采集表》的排污许可证、符合固体废物综合利用管理规范的证明材料、依法设立城乡污水、生活垃圾集中处理场所的成立文件和相关证明材料、固体废物管理台账等，由纳税人留存备查。</w:t>
      </w:r>
    </w:p>
    <w:p>
      <w:pPr>
        <w:ind w:firstLine="472"/>
        <w:rPr>
          <w:color w:val="auto"/>
        </w:rPr>
      </w:pPr>
      <w:r>
        <w:rPr>
          <w:color w:val="auto"/>
        </w:rPr>
        <w:t>3.</w:t>
      </w:r>
      <w:r>
        <w:rPr>
          <w:rFonts w:hint="eastAsia"/>
          <w:color w:val="auto"/>
        </w:rPr>
        <w:t>农业生产（不包括规模化养殖）排放应税污染物的，以及机动车、铁路机车、非道路移动机械、船舶和航空器等流动污染源排放应税污染物的暂不作环境保护税基础信息采集。</w:t>
      </w:r>
    </w:p>
    <w:p>
      <w:pPr>
        <w:ind w:firstLine="472"/>
        <w:rPr>
          <w:color w:val="auto"/>
        </w:rPr>
      </w:pPr>
      <w:r>
        <w:rPr>
          <w:color w:val="auto"/>
        </w:rPr>
        <w:t>4.</w:t>
      </w:r>
      <w:r>
        <w:rPr>
          <w:rFonts w:hint="eastAsia"/>
          <w:color w:val="auto"/>
        </w:rPr>
        <w:t>附报资料中通过电子税务局渠道已提交电子资料的不再报送纸质资料。。</w:t>
      </w:r>
    </w:p>
    <w:p>
      <w:pPr>
        <w:ind w:firstLine="472"/>
        <w:rPr>
          <w:color w:val="auto"/>
        </w:rPr>
      </w:pPr>
      <w:r>
        <w:rPr>
          <w:color w:val="auto"/>
        </w:rPr>
        <w:t>5.</w:t>
      </w:r>
      <w:r>
        <w:rPr>
          <w:rFonts w:hint="eastAsia"/>
          <w:color w:val="auto"/>
        </w:rPr>
        <w:t>纳税人对报送资料的真实性和合法性承担责任。</w:t>
      </w:r>
    </w:p>
    <w:p>
      <w:pPr>
        <w:ind w:firstLine="472"/>
        <w:jc w:val="left"/>
        <w:rPr>
          <w:rFonts w:hint="eastAsia"/>
          <w:color w:val="auto"/>
        </w:rPr>
      </w:pPr>
      <w:r>
        <w:rPr>
          <w:color w:val="auto"/>
        </w:rPr>
        <w:t>6.</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7</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0896CC6"/>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2019-10-31T03:31:59Z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