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6178"/>
      <w:r>
        <w:rPr>
          <w:rFonts w:ascii="黑体" w:hAnsi="黑体" w:cs="黑体"/>
          <w:color w:val="auto"/>
        </w:rPr>
        <w:t>2.</w:t>
      </w:r>
      <w:r>
        <w:rPr>
          <w:rFonts w:hint="eastAsia" w:ascii="黑体" w:hAnsi="黑体" w:cs="黑体"/>
          <w:color w:val="auto"/>
        </w:rPr>
        <w:t>2</w:t>
      </w:r>
      <w:r>
        <w:rPr>
          <w:rFonts w:ascii="黑体" w:hAnsi="黑体" w:cs="黑体"/>
          <w:color w:val="auto"/>
        </w:rPr>
        <w:t>.1</w:t>
      </w:r>
      <w:r>
        <w:rPr>
          <w:rFonts w:hint="eastAsia" w:ascii="黑体" w:hAnsi="黑体" w:cs="黑体"/>
          <w:color w:val="auto"/>
        </w:rPr>
        <w:t>.1</w:t>
      </w:r>
      <w:r>
        <w:rPr>
          <w:rFonts w:hint="eastAsia"/>
          <w:color w:val="auto"/>
        </w:rPr>
        <w:t>企业印制发票审批</w:t>
      </w:r>
      <w:bookmarkEnd w:id="0"/>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一、事项名称</w:t>
      </w:r>
    </w:p>
    <w:p>
      <w:pPr>
        <w:ind w:firstLine="472"/>
        <w:rPr>
          <w:rFonts w:hint="eastAsia" w:eastAsia="宋体" w:cs="Times New Roman"/>
          <w:color w:val="auto"/>
        </w:rPr>
      </w:pPr>
      <w:r>
        <w:rPr>
          <w:rFonts w:hint="eastAsia"/>
          <w:color w:val="auto"/>
        </w:rPr>
        <w:t>企业印制发票审批</w:t>
      </w:r>
    </w:p>
    <w:p>
      <w:pPr>
        <w:pStyle w:val="3"/>
        <w:ind w:firstLine="552"/>
        <w:rPr>
          <w:color w:val="auto"/>
        </w:rPr>
      </w:pPr>
      <w:r>
        <w:rPr>
          <w:rFonts w:ascii="等线 Light" w:hAnsi="等线 Light" w:eastAsia="黑体" w:cs="Times New Roman"/>
          <w:bCs/>
          <w:color w:val="auto"/>
          <w:kern w:val="2"/>
          <w:sz w:val="28"/>
          <w:szCs w:val="32"/>
          <w:lang w:val="en-US" w:eastAsia="zh-CN" w:bidi="ar-SA"/>
        </w:rPr>
        <w:t>二、事项类别</w:t>
      </w:r>
    </w:p>
    <w:p>
      <w:pPr>
        <w:pStyle w:val="49"/>
        <w:numPr>
          <w:ilvl w:val="0"/>
          <w:numId w:val="3"/>
        </w:numPr>
        <w:ind w:firstLineChars="0"/>
        <w:rPr>
          <w:color w:val="auto"/>
        </w:rPr>
      </w:pPr>
      <w:r>
        <w:rPr>
          <w:rFonts w:hint="eastAsia"/>
          <w:color w:val="auto"/>
        </w:rPr>
        <w:t>发起方式：人工发起（纳税人）</w:t>
      </w:r>
    </w:p>
    <w:p>
      <w:pPr>
        <w:pStyle w:val="49"/>
        <w:numPr>
          <w:ilvl w:val="0"/>
          <w:numId w:val="3"/>
        </w:numPr>
        <w:ind w:firstLineChars="0"/>
        <w:rPr>
          <w:color w:val="auto"/>
        </w:rPr>
      </w:pPr>
      <w:r>
        <w:rPr>
          <w:rFonts w:hint="eastAsia"/>
          <w:color w:val="auto"/>
        </w:rPr>
        <w:t>办结方式：限时办结</w:t>
      </w:r>
    </w:p>
    <w:p>
      <w:pPr>
        <w:pStyle w:val="49"/>
        <w:numPr>
          <w:ilvl w:val="0"/>
          <w:numId w:val="3"/>
        </w:numPr>
        <w:ind w:firstLineChars="0"/>
        <w:rPr>
          <w:color w:val="auto"/>
        </w:rPr>
      </w:pPr>
      <w:r>
        <w:rPr>
          <w:rFonts w:hint="eastAsia"/>
          <w:color w:val="auto"/>
        </w:rPr>
        <w:t>全省通办：否</w:t>
      </w:r>
    </w:p>
    <w:p>
      <w:pPr>
        <w:pStyle w:val="49"/>
        <w:numPr>
          <w:ilvl w:val="0"/>
          <w:numId w:val="3"/>
        </w:numPr>
        <w:ind w:firstLineChars="0"/>
        <w:rPr>
          <w:color w:val="auto"/>
        </w:rPr>
      </w:pPr>
      <w:r>
        <w:rPr>
          <w:rFonts w:hint="eastAsia"/>
          <w:color w:val="auto"/>
        </w:rPr>
        <w:t>网上办理：是</w:t>
      </w:r>
    </w:p>
    <w:p>
      <w:pPr>
        <w:pStyle w:val="49"/>
        <w:numPr>
          <w:ilvl w:val="0"/>
          <w:numId w:val="3"/>
        </w:numPr>
        <w:ind w:firstLineChars="0"/>
        <w:rPr>
          <w:color w:val="auto"/>
        </w:rPr>
      </w:pPr>
      <w:r>
        <w:rPr>
          <w:rFonts w:hint="eastAsia"/>
          <w:color w:val="auto"/>
        </w:rPr>
        <w:t>适用层级：省级</w:t>
      </w:r>
    </w:p>
    <w:p>
      <w:pPr>
        <w:widowControl w:val="0"/>
        <w:numPr>
          <w:ilvl w:val="0"/>
          <w:numId w:val="4"/>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最多跑一次：是</w:t>
      </w:r>
    </w:p>
    <w:p>
      <w:pPr>
        <w:pStyle w:val="3"/>
        <w:ind w:firstLine="552"/>
        <w:rPr>
          <w:rFonts w:hint="eastAsia" w:eastAsia="黑体"/>
          <w:color w:val="auto"/>
          <w:lang w:val="en-US" w:eastAsia="zh-CN"/>
        </w:rPr>
      </w:pPr>
      <w:r>
        <w:rPr>
          <w:rFonts w:hint="eastAsia"/>
          <w:color w:val="auto"/>
          <w:lang w:val="en-US" w:eastAsia="zh-CN"/>
        </w:rPr>
        <w:t>三</w:t>
      </w:r>
      <w:r>
        <w:rPr>
          <w:color w:val="auto"/>
        </w:rPr>
        <w:t>、</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1</w:t>
      </w:r>
      <w:r>
        <w:rPr>
          <w:color w:val="auto"/>
        </w:rPr>
        <w:t>.</w:t>
      </w:r>
      <w:r>
        <w:rPr>
          <w:rFonts w:hint="eastAsia"/>
          <w:color w:val="auto"/>
        </w:rPr>
        <w:t>增值税专用发票由国务院税务主管部门确定的企业印制；其他发票，按照国务院税务主管部门的规定，由省、自治区、直辖市税务机关确定的企业印制。禁止私自印制、伪造、变造发票。</w:t>
      </w:r>
    </w:p>
    <w:p>
      <w:pPr>
        <w:ind w:firstLine="472"/>
        <w:rPr>
          <w:color w:val="auto"/>
        </w:rPr>
      </w:pPr>
      <w:r>
        <w:rPr>
          <w:rFonts w:hint="eastAsia"/>
          <w:color w:val="auto"/>
        </w:rPr>
        <w:t>2.印制发票的企业应当具备下列条件：</w:t>
      </w:r>
    </w:p>
    <w:p>
      <w:pPr>
        <w:ind w:firstLine="472"/>
        <w:rPr>
          <w:color w:val="auto"/>
        </w:rPr>
      </w:pPr>
      <w:r>
        <w:rPr>
          <w:rFonts w:hint="eastAsia"/>
          <w:color w:val="auto"/>
        </w:rPr>
        <w:t>（1）取得印刷经营许可证和营业执照；</w:t>
      </w:r>
    </w:p>
    <w:p>
      <w:pPr>
        <w:ind w:firstLine="472"/>
        <w:rPr>
          <w:color w:val="auto"/>
        </w:rPr>
      </w:pPr>
      <w:r>
        <w:rPr>
          <w:rFonts w:hint="eastAsia"/>
          <w:color w:val="auto"/>
        </w:rPr>
        <w:t>（2）设备、技术水平能够满足印制发票的需要；</w:t>
      </w:r>
    </w:p>
    <w:p>
      <w:pPr>
        <w:ind w:firstLine="472"/>
        <w:rPr>
          <w:color w:val="auto"/>
        </w:rPr>
      </w:pPr>
      <w:r>
        <w:rPr>
          <w:rFonts w:hint="eastAsia"/>
          <w:color w:val="auto"/>
        </w:rPr>
        <w:t>（3）有健全的财务制度和严格的质量监督、安全管理、保密制度。</w:t>
      </w:r>
    </w:p>
    <w:p>
      <w:pPr>
        <w:ind w:firstLine="472"/>
        <w:rPr>
          <w:color w:val="auto"/>
        </w:rPr>
      </w:pPr>
      <w:r>
        <w:rPr>
          <w:rFonts w:hint="eastAsia"/>
          <w:color w:val="auto"/>
        </w:rPr>
        <w:t>税务机关应当以招标方式确定印制发票的企业，并发给发票准印证。发票准印证由国家税务总局统一监制，省税务机关核发。</w:t>
      </w:r>
    </w:p>
    <w:p>
      <w:pPr>
        <w:ind w:firstLine="472"/>
        <w:rPr>
          <w:color w:val="auto"/>
        </w:rPr>
      </w:pPr>
      <w:r>
        <w:rPr>
          <w:color w:val="auto"/>
        </w:rPr>
        <w:t>3.印制发票的企业按照税务机关的统一规定，建立发票印制管理制度和保管措施。</w:t>
      </w:r>
      <w:r>
        <w:rPr>
          <w:rFonts w:hint="eastAsia"/>
          <w:color w:val="auto"/>
        </w:rPr>
        <w:t>发票监制章和发票防伪专用品的使用和管理实行专人负责制度。</w:t>
      </w:r>
    </w:p>
    <w:p>
      <w:pPr>
        <w:ind w:firstLine="472"/>
        <w:rPr>
          <w:color w:val="auto"/>
        </w:rPr>
      </w:pPr>
      <w:r>
        <w:rPr>
          <w:color w:val="auto"/>
        </w:rPr>
        <w:t>4.</w:t>
      </w:r>
      <w:r>
        <w:rPr>
          <w:rFonts w:hint="eastAsia"/>
          <w:color w:val="auto"/>
        </w:rPr>
        <w:t>国家税务总局确定印制增值税专用发票的企业。各省（自治区、直辖市）税务机关应当按照政府采购规定的要求，通过招标方式作出准予或者不予企业印制发票的税务行政许可决定。国家税务总局和省（自治区、直辖市）税务机关应当向被许可人颁发加盖本税务机关印章的发票准印证。招标的具体程序，依照有关法律、法规等规定实施。</w:t>
      </w:r>
    </w:p>
    <w:p>
      <w:pPr>
        <w:ind w:firstLine="472"/>
        <w:rPr>
          <w:color w:val="auto"/>
        </w:rPr>
      </w:pPr>
      <w:r>
        <w:rPr>
          <w:color w:val="auto"/>
        </w:rPr>
        <w:t>5.</w:t>
      </w:r>
      <w:r>
        <w:rPr>
          <w:rFonts w:hint="eastAsia"/>
          <w:color w:val="auto"/>
        </w:rPr>
        <w:t>纳税</w:t>
      </w:r>
      <w:r>
        <w:rPr>
          <w:color w:val="auto"/>
        </w:rPr>
        <w:t>人申请期限：在购买标书时提出申请。</w:t>
      </w:r>
    </w:p>
    <w:p>
      <w:pPr>
        <w:ind w:firstLine="472"/>
        <w:rPr>
          <w:color w:val="auto"/>
        </w:rPr>
      </w:pPr>
      <w:r>
        <w:rPr>
          <w:color w:val="auto"/>
        </w:rPr>
        <w:t>6.代办转报服务。税务行政许可实施机关与申请人不在同一县（市、区、旗）的，申请人可在规定的申请期限内，选择由其主管税务机关代为转报申请材料。主管税务机关在核对申请材料后向申请人出具材料接收清单，并向税务行政许可实施机关转报。代办转报一般应当在5个工作日内完成。有条件的税务机关可以通过信息化手段实现申请资料网上传递。税务行政许可实施机关收到转报材料后，对符合受理条件的，出具并及时送达《税务行政许可受理通知书》。税务机关对代办转报事项应当做好台账登记。代办转报不得收取任何费用。</w:t>
      </w:r>
    </w:p>
    <w:p>
      <w:pPr>
        <w:pStyle w:val="3"/>
        <w:ind w:firstLine="552"/>
        <w:rPr>
          <w:color w:val="auto"/>
        </w:rPr>
      </w:pPr>
      <w:r>
        <w:rPr>
          <w:rFonts w:hint="eastAsia"/>
          <w:color w:val="auto"/>
          <w:lang w:val="en-US" w:eastAsia="zh-CN"/>
        </w:rPr>
        <w:t>四</w:t>
      </w:r>
      <w:r>
        <w:rPr>
          <w:rFonts w:hint="eastAsia"/>
          <w:color w:val="auto"/>
        </w:rPr>
        <w:t>、</w:t>
      </w:r>
      <w:r>
        <w:rPr>
          <w:rFonts w:hint="eastAsia"/>
          <w:color w:val="auto"/>
          <w:lang w:val="en-US" w:eastAsia="zh-CN"/>
        </w:rPr>
        <w:t>设定</w:t>
      </w:r>
      <w:r>
        <w:rPr>
          <w:rFonts w:hint="eastAsia"/>
          <w:color w:val="auto"/>
        </w:rPr>
        <w:t>依据</w:t>
      </w:r>
    </w:p>
    <w:p>
      <w:pPr>
        <w:pStyle w:val="13"/>
        <w:keepNext w:val="0"/>
        <w:keepLines w:val="0"/>
        <w:widowControl/>
        <w:numPr>
          <w:ilvl w:val="0"/>
          <w:numId w:val="0"/>
        </w:numPr>
        <w:suppressLineNumbers w:val="0"/>
        <w:spacing w:before="0" w:beforeAutospacing="0" w:after="0" w:afterAutospacing="0" w:line="540" w:lineRule="atLeast"/>
        <w:ind w:firstLine="472" w:firstLineChars="200"/>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1.《中华人民共和国税收征收管理法》第二十二条 　　</w:t>
      </w:r>
    </w:p>
    <w:p>
      <w:pPr>
        <w:pStyle w:val="13"/>
        <w:keepNext w:val="0"/>
        <w:keepLines w:val="0"/>
        <w:widowControl/>
        <w:numPr>
          <w:ilvl w:val="0"/>
          <w:numId w:val="0"/>
        </w:numPr>
        <w:suppressLineNumbers w:val="0"/>
        <w:spacing w:before="0" w:beforeAutospacing="0" w:after="0" w:afterAutospacing="0" w:line="540" w:lineRule="atLeast"/>
        <w:ind w:firstLine="472" w:firstLineChars="200"/>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增值税专用发票由国务院税务主管部门指定的企业印制；其他发票，按照国务院税务主管部门的规定，分别由省、自治区、直辖市国家税务局、地方税务局指定企业印制。未经前款规定的税务机关指定，不得印制发票。”</w:t>
      </w:r>
    </w:p>
    <w:p>
      <w:pPr>
        <w:numPr>
          <w:ilvl w:val="0"/>
          <w:numId w:val="0"/>
        </w:numPr>
        <w:wordWrap w:val="0"/>
        <w:spacing w:line="360" w:lineRule="auto"/>
        <w:ind w:firstLine="472" w:firstLineChars="200"/>
        <w:rPr>
          <w:rFonts w:hint="eastAsia" w:ascii="宋体" w:hAnsi="宋体" w:eastAsia="宋体" w:cs="Times New Roman"/>
          <w:color w:val="auto"/>
          <w:kern w:val="2"/>
          <w:sz w:val="24"/>
          <w:szCs w:val="22"/>
          <w:lang w:val="en-US" w:eastAsia="zh-CN" w:bidi="ar-SA"/>
        </w:rPr>
      </w:pPr>
      <w:r>
        <w:rPr>
          <w:rFonts w:hint="eastAsia" w:cs="Times New Roman"/>
          <w:color w:val="auto"/>
          <w:kern w:val="2"/>
          <w:sz w:val="24"/>
          <w:szCs w:val="22"/>
          <w:lang w:val="en-US" w:eastAsia="zh-CN" w:bidi="ar-SA"/>
        </w:rPr>
        <w:t>2.</w:t>
      </w:r>
      <w:r>
        <w:rPr>
          <w:rFonts w:hint="eastAsia" w:ascii="宋体" w:hAnsi="宋体" w:eastAsia="宋体" w:cs="Times New Roman"/>
          <w:color w:val="auto"/>
          <w:kern w:val="2"/>
          <w:sz w:val="24"/>
          <w:szCs w:val="22"/>
          <w:lang w:val="en-US" w:eastAsia="zh-CN" w:bidi="ar-SA"/>
        </w:rPr>
        <w:t>《中华人民共和国发票管理办法》第七条、第八条</w:t>
      </w:r>
    </w:p>
    <w:p>
      <w:pPr>
        <w:keepNext w:val="0"/>
        <w:keepLines w:val="0"/>
        <w:widowControl/>
        <w:suppressLineNumbers w:val="0"/>
        <w:pBdr>
          <w:top w:val="none" w:color="auto" w:sz="0" w:space="0"/>
          <w:left w:val="none" w:color="auto" w:sz="0" w:space="0"/>
          <w:bottom w:val="none" w:color="auto" w:sz="0" w:space="0"/>
          <w:right w:val="none" w:color="auto" w:sz="0" w:space="0"/>
        </w:pBdr>
        <w:spacing w:line="540" w:lineRule="atLeast"/>
        <w:jc w:val="left"/>
        <w:rPr>
          <w:rFonts w:hint="eastAsia" w:ascii="宋体" w:hAnsi="宋体" w:eastAsia="宋体" w:cs="Times New Roman"/>
          <w:color w:val="auto"/>
          <w:kern w:val="2"/>
          <w:sz w:val="24"/>
          <w:szCs w:val="22"/>
          <w:lang w:val="en-US" w:eastAsia="zh-CN" w:bidi="ar-SA"/>
        </w:rPr>
      </w:pPr>
      <w:r>
        <w:rPr>
          <w:rFonts w:hint="eastAsia" w:cs="Times New Roman"/>
          <w:color w:val="auto"/>
          <w:kern w:val="2"/>
          <w:sz w:val="24"/>
          <w:szCs w:val="22"/>
          <w:lang w:val="en-US" w:eastAsia="zh-CN" w:bidi="ar-SA"/>
        </w:rPr>
        <w:t>“</w:t>
      </w:r>
      <w:r>
        <w:rPr>
          <w:rFonts w:hint="eastAsia" w:ascii="宋体" w:hAnsi="宋体" w:eastAsia="宋体" w:cs="Times New Roman"/>
          <w:color w:val="auto"/>
          <w:kern w:val="2"/>
          <w:sz w:val="24"/>
          <w:szCs w:val="22"/>
          <w:lang w:val="en-US" w:eastAsia="zh-CN" w:bidi="ar-SA"/>
        </w:rPr>
        <w:t>第七条发票由省、自治区、直辖市税务机关指定的企业印制；增值税专用发票由国家税务总局统一印制。禁止私印、伪造、变造发票。</w:t>
      </w:r>
    </w:p>
    <w:p>
      <w:pPr>
        <w:keepNext w:val="0"/>
        <w:keepLines w:val="0"/>
        <w:widowControl/>
        <w:suppressLineNumbers w:val="0"/>
        <w:pBdr>
          <w:top w:val="none" w:color="auto" w:sz="0" w:space="0"/>
          <w:left w:val="none" w:color="auto" w:sz="0" w:space="0"/>
          <w:bottom w:val="none" w:color="auto" w:sz="0" w:space="0"/>
          <w:right w:val="none" w:color="auto" w:sz="0" w:space="0"/>
        </w:pBdr>
        <w:spacing w:line="540" w:lineRule="atLeast"/>
        <w:jc w:val="left"/>
        <w:rPr>
          <w:rFonts w:hint="eastAsia"/>
          <w:color w:val="auto"/>
        </w:rPr>
      </w:pPr>
      <w:r>
        <w:rPr>
          <w:rFonts w:hint="eastAsia" w:ascii="宋体" w:hAnsi="宋体" w:eastAsia="宋体" w:cs="Times New Roman"/>
          <w:color w:val="auto"/>
          <w:kern w:val="2"/>
          <w:sz w:val="24"/>
          <w:szCs w:val="22"/>
          <w:lang w:val="en-US" w:eastAsia="zh-CN" w:bidi="ar-SA"/>
        </w:rPr>
        <w:t>第八条 发票防伪专用品由国家税务总局指定的企业生产。禁止非法制造发票防伪专用品。</w:t>
      </w:r>
      <w:r>
        <w:rPr>
          <w:rFonts w:hint="eastAsia" w:cs="Times New Roman"/>
          <w:color w:val="auto"/>
          <w:kern w:val="2"/>
          <w:sz w:val="24"/>
          <w:szCs w:val="22"/>
          <w:lang w:val="en-US" w:eastAsia="zh-CN" w:bidi="ar-SA"/>
        </w:rPr>
        <w:t>”</w:t>
      </w:r>
    </w:p>
    <w:p>
      <w:pPr>
        <w:keepNext/>
        <w:keepLines/>
        <w:widowControl w:val="0"/>
        <w:spacing w:line="578" w:lineRule="exact"/>
        <w:ind w:firstLine="552" w:firstLineChars="200"/>
        <w:jc w:val="both"/>
        <w:outlineLvl w:val="1"/>
        <w:rPr>
          <w:rFonts w:ascii="Calibri Light" w:hAnsi="Calibri Light" w:eastAsia="黑体" w:cs="Times New Roman"/>
          <w:bCs/>
          <w:color w:val="auto"/>
          <w:kern w:val="2"/>
          <w:sz w:val="28"/>
          <w:szCs w:val="32"/>
          <w:lang w:val="en-US" w:eastAsia="zh-CN" w:bidi="ar-SA"/>
        </w:rPr>
      </w:pPr>
      <w:r>
        <w:rPr>
          <w:rFonts w:hint="eastAsia" w:ascii="Calibri Light" w:hAnsi="Calibri Light" w:eastAsia="黑体" w:cs="Times New Roman"/>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序号</w:t>
            </w:r>
          </w:p>
        </w:tc>
        <w:tc>
          <w:tcPr>
            <w:tcW w:w="2551"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资料名称</w:t>
            </w:r>
          </w:p>
        </w:tc>
        <w:tc>
          <w:tcPr>
            <w:tcW w:w="709"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份数</w:t>
            </w:r>
          </w:p>
        </w:tc>
        <w:tc>
          <w:tcPr>
            <w:tcW w:w="992"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报送类型</w:t>
            </w:r>
          </w:p>
        </w:tc>
        <w:tc>
          <w:tcPr>
            <w:tcW w:w="1134"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报送条件</w:t>
            </w:r>
          </w:p>
        </w:tc>
        <w:tc>
          <w:tcPr>
            <w:tcW w:w="1134" w:type="dxa"/>
            <w:noWrap w:val="0"/>
            <w:vAlign w:val="center"/>
          </w:tcPr>
          <w:p>
            <w:pPr>
              <w:widowControl/>
              <w:adjustRightInd w:val="0"/>
              <w:snapToGrid w:val="0"/>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Fonts w:hint="eastAsia" w:ascii="宋体" w:hAnsi="宋体" w:eastAsia="宋体" w:cs="Times New Roman"/>
                <w:b/>
                <w:color w:val="auto"/>
                <w:kern w:val="0"/>
                <w:sz w:val="18"/>
                <w:szCs w:val="18"/>
                <w:lang w:val="en-US" w:eastAsia="zh-CN" w:bidi="ar-SA"/>
              </w:rPr>
              <w:t>资料处理方式（适用于办税服务厅办理）</w:t>
            </w:r>
          </w:p>
        </w:tc>
        <w:tc>
          <w:tcPr>
            <w:tcW w:w="1134" w:type="dxa"/>
            <w:noWrap w:val="0"/>
            <w:vAlign w:val="center"/>
          </w:tcPr>
          <w:p>
            <w:pPr>
              <w:widowControl/>
              <w:adjustRightInd w:val="0"/>
              <w:snapToGrid w:val="0"/>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电子资料上传（</w:t>
            </w:r>
            <w:r>
              <w:rPr>
                <w:rFonts w:hint="eastAsia" w:ascii="宋体" w:hAnsi="宋体" w:eastAsia="宋体" w:cs="Times New Roman"/>
                <w:b/>
                <w:color w:val="auto"/>
                <w:kern w:val="0"/>
                <w:sz w:val="18"/>
                <w:szCs w:val="18"/>
                <w:lang w:val="en-US" w:eastAsia="zh-CN" w:bidi="ar-SA"/>
              </w:rPr>
              <w:t>适用于电子税务局办理</w:t>
            </w:r>
            <w:r>
              <w:rPr>
                <w:rStyle w:val="17"/>
                <w:rFonts w:hint="eastAsia" w:ascii="宋体" w:hAnsi="宋体" w:eastAsia="宋体" w:cs="微软雅黑"/>
                <w:color w:val="auto"/>
                <w:kern w:val="0"/>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widowControl/>
              <w:spacing w:line="280" w:lineRule="exact"/>
              <w:ind w:firstLine="0" w:firstLineChars="0"/>
              <w:jc w:val="center"/>
              <w:rPr>
                <w:rFonts w:cs="宋体"/>
                <w:color w:val="auto"/>
                <w:kern w:val="0"/>
                <w:sz w:val="18"/>
                <w:szCs w:val="18"/>
              </w:rPr>
            </w:pPr>
            <w:r>
              <w:rPr>
                <w:color w:val="auto"/>
                <w:sz w:val="18"/>
                <w:szCs w:val="18"/>
              </w:rPr>
              <w:t>1</w:t>
            </w:r>
          </w:p>
        </w:tc>
        <w:tc>
          <w:tcPr>
            <w:tcW w:w="2551" w:type="dxa"/>
            <w:noWrap w:val="0"/>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《税务行政许可申请表》</w:t>
            </w:r>
          </w:p>
        </w:tc>
        <w:tc>
          <w:tcPr>
            <w:tcW w:w="709" w:type="dxa"/>
            <w:noWrap w:val="0"/>
            <w:vAlign w:val="center"/>
          </w:tcPr>
          <w:p>
            <w:pPr>
              <w:widowControl/>
              <w:spacing w:line="280" w:lineRule="exact"/>
              <w:ind w:firstLine="0" w:firstLineChars="0"/>
              <w:jc w:val="center"/>
              <w:rPr>
                <w:rFonts w:cs="宋体"/>
                <w:color w:val="auto"/>
                <w:kern w:val="0"/>
                <w:sz w:val="18"/>
                <w:szCs w:val="18"/>
              </w:rPr>
            </w:pPr>
            <w:r>
              <w:rPr>
                <w:color w:val="auto"/>
                <w:sz w:val="18"/>
                <w:szCs w:val="18"/>
              </w:rPr>
              <w:t>1</w:t>
            </w:r>
          </w:p>
        </w:tc>
        <w:tc>
          <w:tcPr>
            <w:tcW w:w="992"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noWrap w:val="0"/>
            <w:vAlign w:val="center"/>
          </w:tcPr>
          <w:p>
            <w:pPr>
              <w:widowControl/>
              <w:spacing w:line="280" w:lineRule="exact"/>
              <w:ind w:firstLine="0" w:firstLineChars="0"/>
              <w:jc w:val="center"/>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widowControl/>
              <w:spacing w:line="280" w:lineRule="exact"/>
              <w:ind w:firstLine="0" w:firstLineChars="0"/>
              <w:jc w:val="center"/>
              <w:rPr>
                <w:rFonts w:hint="eastAsia" w:cs="宋体"/>
                <w:color w:val="auto"/>
                <w:kern w:val="0"/>
                <w:sz w:val="18"/>
                <w:szCs w:val="18"/>
              </w:rPr>
            </w:pPr>
            <w:r>
              <w:rPr>
                <w:color w:val="auto"/>
                <w:sz w:val="18"/>
                <w:szCs w:val="18"/>
              </w:rPr>
              <w:t>2</w:t>
            </w:r>
          </w:p>
        </w:tc>
        <w:tc>
          <w:tcPr>
            <w:tcW w:w="2551" w:type="dxa"/>
            <w:noWrap w:val="0"/>
            <w:vAlign w:val="center"/>
          </w:tcPr>
          <w:p>
            <w:pPr>
              <w:widowControl/>
              <w:spacing w:line="280" w:lineRule="exact"/>
              <w:ind w:firstLine="0" w:firstLineChars="0"/>
              <w:jc w:val="left"/>
              <w:rPr>
                <w:rFonts w:hint="eastAsia" w:ascii="宋体" w:hAnsi="宋体" w:cs="宋体"/>
                <w:color w:val="auto"/>
                <w:kern w:val="2"/>
                <w:sz w:val="18"/>
                <w:szCs w:val="18"/>
              </w:rPr>
            </w:pPr>
            <w:r>
              <w:rPr>
                <w:rFonts w:hint="eastAsia"/>
                <w:color w:val="auto"/>
                <w:sz w:val="18"/>
                <w:szCs w:val="18"/>
              </w:rPr>
              <w:t>印刷经营许可证或印刷品印制许可证复印件</w:t>
            </w:r>
          </w:p>
        </w:tc>
        <w:tc>
          <w:tcPr>
            <w:tcW w:w="709"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必报</w:t>
            </w:r>
          </w:p>
        </w:tc>
        <w:tc>
          <w:tcPr>
            <w:tcW w:w="1134" w:type="dxa"/>
            <w:noWrap w:val="0"/>
            <w:vAlign w:val="center"/>
          </w:tcPr>
          <w:p>
            <w:pPr>
              <w:widowControl/>
              <w:spacing w:line="280" w:lineRule="exact"/>
              <w:ind w:firstLine="0" w:firstLineChars="0"/>
              <w:jc w:val="left"/>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widowControl/>
              <w:spacing w:line="280" w:lineRule="exact"/>
              <w:ind w:firstLine="0" w:firstLineChars="0"/>
              <w:jc w:val="center"/>
              <w:rPr>
                <w:rFonts w:hint="eastAsia" w:cs="宋体"/>
                <w:color w:val="auto"/>
                <w:kern w:val="0"/>
                <w:sz w:val="18"/>
                <w:szCs w:val="18"/>
              </w:rPr>
            </w:pPr>
            <w:r>
              <w:rPr>
                <w:color w:val="auto"/>
                <w:sz w:val="18"/>
                <w:szCs w:val="18"/>
              </w:rPr>
              <w:t>3</w:t>
            </w:r>
          </w:p>
        </w:tc>
        <w:tc>
          <w:tcPr>
            <w:tcW w:w="2551" w:type="dxa"/>
            <w:noWrap w:val="0"/>
            <w:vAlign w:val="center"/>
          </w:tcPr>
          <w:p>
            <w:pPr>
              <w:widowControl/>
              <w:spacing w:line="280" w:lineRule="exact"/>
              <w:ind w:firstLine="0" w:firstLineChars="0"/>
              <w:jc w:val="left"/>
              <w:rPr>
                <w:rFonts w:hint="eastAsia" w:ascii="宋体" w:hAnsi="宋体" w:cs="宋体"/>
                <w:color w:val="auto"/>
                <w:kern w:val="2"/>
                <w:sz w:val="18"/>
                <w:szCs w:val="18"/>
              </w:rPr>
            </w:pPr>
            <w:r>
              <w:rPr>
                <w:rFonts w:hint="eastAsia"/>
                <w:color w:val="auto"/>
                <w:sz w:val="18"/>
                <w:szCs w:val="18"/>
              </w:rPr>
              <w:t>生产设备、生产流程及安全管理制度复印件</w:t>
            </w:r>
          </w:p>
        </w:tc>
        <w:tc>
          <w:tcPr>
            <w:tcW w:w="709"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noWrap w:val="0"/>
            <w:vAlign w:val="top"/>
          </w:tcPr>
          <w:p>
            <w:pPr>
              <w:ind w:left="0" w:leftChars="0" w:firstLine="176" w:firstLineChars="100"/>
              <w:rPr>
                <w:rFonts w:hint="eastAsia" w:cs="宋体"/>
                <w:color w:val="auto"/>
                <w:kern w:val="0"/>
                <w:sz w:val="18"/>
                <w:szCs w:val="18"/>
              </w:rPr>
            </w:pPr>
            <w:r>
              <w:rPr>
                <w:rFonts w:hint="eastAsia"/>
                <w:color w:val="auto"/>
                <w:sz w:val="18"/>
                <w:szCs w:val="18"/>
              </w:rPr>
              <w:t>必报</w:t>
            </w:r>
          </w:p>
        </w:tc>
        <w:tc>
          <w:tcPr>
            <w:tcW w:w="1134" w:type="dxa"/>
            <w:noWrap w:val="0"/>
            <w:vAlign w:val="top"/>
          </w:tcPr>
          <w:p>
            <w:pPr>
              <w:ind w:firstLine="352" w:firstLineChars="200"/>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widowControl/>
              <w:spacing w:line="280" w:lineRule="exact"/>
              <w:ind w:firstLine="0" w:firstLineChars="0"/>
              <w:jc w:val="center"/>
              <w:rPr>
                <w:rFonts w:hint="eastAsia" w:cs="宋体"/>
                <w:color w:val="auto"/>
                <w:kern w:val="0"/>
                <w:sz w:val="18"/>
                <w:szCs w:val="18"/>
              </w:rPr>
            </w:pPr>
            <w:r>
              <w:rPr>
                <w:color w:val="auto"/>
                <w:sz w:val="18"/>
                <w:szCs w:val="18"/>
              </w:rPr>
              <w:t>4</w:t>
            </w:r>
          </w:p>
        </w:tc>
        <w:tc>
          <w:tcPr>
            <w:tcW w:w="2551" w:type="dxa"/>
            <w:noWrap w:val="0"/>
            <w:vAlign w:val="center"/>
          </w:tcPr>
          <w:p>
            <w:pPr>
              <w:widowControl/>
              <w:spacing w:line="280" w:lineRule="exact"/>
              <w:ind w:firstLine="0" w:firstLineChars="0"/>
              <w:jc w:val="left"/>
              <w:rPr>
                <w:rFonts w:hint="eastAsia" w:ascii="宋体" w:hAnsi="宋体" w:cs="宋体"/>
                <w:color w:val="auto"/>
                <w:kern w:val="2"/>
                <w:sz w:val="18"/>
                <w:szCs w:val="18"/>
              </w:rPr>
            </w:pPr>
            <w:r>
              <w:rPr>
                <w:rFonts w:hint="eastAsia"/>
                <w:color w:val="auto"/>
                <w:sz w:val="18"/>
                <w:szCs w:val="18"/>
              </w:rPr>
              <w:t>生产工艺及产品检验制度复印件</w:t>
            </w:r>
          </w:p>
        </w:tc>
        <w:tc>
          <w:tcPr>
            <w:tcW w:w="709"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必报</w:t>
            </w:r>
          </w:p>
        </w:tc>
        <w:tc>
          <w:tcPr>
            <w:tcW w:w="1134" w:type="dxa"/>
            <w:noWrap w:val="0"/>
            <w:vAlign w:val="center"/>
          </w:tcPr>
          <w:p>
            <w:pPr>
              <w:widowControl/>
              <w:spacing w:line="280" w:lineRule="exact"/>
              <w:ind w:firstLine="0" w:firstLineChars="0"/>
              <w:jc w:val="left"/>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widowControl/>
              <w:spacing w:line="280" w:lineRule="exact"/>
              <w:ind w:firstLine="0" w:firstLineChars="0"/>
              <w:jc w:val="center"/>
              <w:rPr>
                <w:rFonts w:hint="eastAsia" w:cs="宋体"/>
                <w:color w:val="auto"/>
                <w:kern w:val="0"/>
                <w:sz w:val="18"/>
                <w:szCs w:val="18"/>
              </w:rPr>
            </w:pPr>
            <w:r>
              <w:rPr>
                <w:color w:val="auto"/>
                <w:sz w:val="18"/>
                <w:szCs w:val="18"/>
              </w:rPr>
              <w:t>5</w:t>
            </w:r>
          </w:p>
        </w:tc>
        <w:tc>
          <w:tcPr>
            <w:tcW w:w="2551" w:type="dxa"/>
            <w:noWrap w:val="0"/>
            <w:vAlign w:val="center"/>
          </w:tcPr>
          <w:p>
            <w:pPr>
              <w:widowControl/>
              <w:spacing w:line="280" w:lineRule="exact"/>
              <w:ind w:firstLine="0" w:firstLineChars="0"/>
              <w:jc w:val="left"/>
              <w:rPr>
                <w:rFonts w:hint="eastAsia" w:ascii="宋体" w:hAnsi="宋体" w:cs="宋体"/>
                <w:color w:val="auto"/>
                <w:kern w:val="2"/>
                <w:sz w:val="18"/>
                <w:szCs w:val="18"/>
              </w:rPr>
            </w:pPr>
            <w:r>
              <w:rPr>
                <w:rFonts w:hint="eastAsia"/>
                <w:color w:val="auto"/>
                <w:sz w:val="18"/>
                <w:szCs w:val="18"/>
              </w:rPr>
              <w:t>保存、运输及交付制度复印件</w:t>
            </w:r>
          </w:p>
        </w:tc>
        <w:tc>
          <w:tcPr>
            <w:tcW w:w="709"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必报</w:t>
            </w:r>
          </w:p>
        </w:tc>
        <w:tc>
          <w:tcPr>
            <w:tcW w:w="1134" w:type="dxa"/>
            <w:noWrap w:val="0"/>
            <w:vAlign w:val="center"/>
          </w:tcPr>
          <w:p>
            <w:pPr>
              <w:widowControl/>
              <w:spacing w:line="280" w:lineRule="exact"/>
              <w:ind w:firstLine="0" w:firstLineChars="0"/>
              <w:jc w:val="left"/>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widowControl/>
              <w:spacing w:line="280" w:lineRule="exact"/>
              <w:ind w:firstLine="0" w:firstLineChars="0"/>
              <w:jc w:val="center"/>
              <w:rPr>
                <w:rFonts w:hint="eastAsia" w:cs="宋体"/>
                <w:color w:val="auto"/>
                <w:kern w:val="0"/>
                <w:sz w:val="18"/>
                <w:szCs w:val="18"/>
              </w:rPr>
            </w:pPr>
            <w:r>
              <w:rPr>
                <w:color w:val="auto"/>
                <w:sz w:val="18"/>
                <w:szCs w:val="18"/>
              </w:rPr>
              <w:t>6</w:t>
            </w:r>
          </w:p>
        </w:tc>
        <w:tc>
          <w:tcPr>
            <w:tcW w:w="2551" w:type="dxa"/>
            <w:noWrap w:val="0"/>
            <w:vAlign w:val="center"/>
          </w:tcPr>
          <w:p>
            <w:pPr>
              <w:widowControl/>
              <w:spacing w:line="280" w:lineRule="exact"/>
              <w:ind w:firstLine="0" w:firstLineChars="0"/>
              <w:jc w:val="left"/>
              <w:rPr>
                <w:rFonts w:hint="eastAsia" w:ascii="宋体" w:hAnsi="宋体" w:cs="宋体"/>
                <w:color w:val="auto"/>
                <w:kern w:val="2"/>
                <w:sz w:val="18"/>
                <w:szCs w:val="18"/>
              </w:rPr>
            </w:pPr>
            <w:r>
              <w:rPr>
                <w:rFonts w:hint="eastAsia"/>
                <w:color w:val="auto"/>
                <w:sz w:val="18"/>
                <w:szCs w:val="18"/>
              </w:rPr>
              <w:t>经办人身份证件</w:t>
            </w:r>
          </w:p>
        </w:tc>
        <w:tc>
          <w:tcPr>
            <w:tcW w:w="709"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必报</w:t>
            </w:r>
          </w:p>
        </w:tc>
        <w:tc>
          <w:tcPr>
            <w:tcW w:w="1134" w:type="dxa"/>
            <w:noWrap w:val="0"/>
            <w:vAlign w:val="center"/>
          </w:tcPr>
          <w:p>
            <w:pPr>
              <w:widowControl/>
              <w:spacing w:line="280" w:lineRule="exact"/>
              <w:ind w:firstLine="0" w:firstLineChars="0"/>
              <w:jc w:val="left"/>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noWrap w:val="0"/>
            <w:vAlign w:val="center"/>
          </w:tcPr>
          <w:p>
            <w:pPr>
              <w:widowControl/>
              <w:spacing w:line="280" w:lineRule="exact"/>
              <w:ind w:firstLine="0" w:firstLineChars="0"/>
              <w:jc w:val="center"/>
              <w:rPr>
                <w:rFonts w:cs="宋体"/>
                <w:color w:val="auto"/>
                <w:kern w:val="0"/>
                <w:sz w:val="18"/>
                <w:szCs w:val="18"/>
              </w:rPr>
            </w:pPr>
            <w:r>
              <w:rPr>
                <w:color w:val="auto"/>
                <w:sz w:val="18"/>
                <w:szCs w:val="18"/>
              </w:rPr>
              <w:t>7</w:t>
            </w:r>
          </w:p>
        </w:tc>
        <w:tc>
          <w:tcPr>
            <w:tcW w:w="2551" w:type="dxa"/>
            <w:noWrap w:val="0"/>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代理人身份证件</w:t>
            </w:r>
          </w:p>
        </w:tc>
        <w:tc>
          <w:tcPr>
            <w:tcW w:w="709"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条件</w:t>
            </w:r>
            <w:r>
              <w:rPr>
                <w:color w:val="auto"/>
                <w:sz w:val="18"/>
                <w:szCs w:val="18"/>
              </w:rPr>
              <w:t>报送</w:t>
            </w:r>
          </w:p>
        </w:tc>
        <w:tc>
          <w:tcPr>
            <w:tcW w:w="1134" w:type="dxa"/>
            <w:noWrap w:val="0"/>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代理人代为办理的情形</w:t>
            </w:r>
          </w:p>
        </w:tc>
        <w:tc>
          <w:tcPr>
            <w:tcW w:w="1134" w:type="dxa"/>
            <w:noWrap w:val="0"/>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8</w:t>
            </w:r>
          </w:p>
        </w:tc>
        <w:tc>
          <w:tcPr>
            <w:tcW w:w="2551" w:type="dxa"/>
            <w:noWrap w:val="0"/>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代理委托书</w:t>
            </w:r>
          </w:p>
        </w:tc>
        <w:tc>
          <w:tcPr>
            <w:tcW w:w="709"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noWrap w:val="0"/>
            <w:vAlign w:val="center"/>
          </w:tcPr>
          <w:p>
            <w:pPr>
              <w:widowControl/>
              <w:spacing w:line="280" w:lineRule="exact"/>
              <w:ind w:firstLine="0" w:firstLineChars="0"/>
              <w:jc w:val="center"/>
              <w:rPr>
                <w:rFonts w:hint="eastAsia" w:cs="宋体"/>
                <w:color w:val="auto"/>
                <w:kern w:val="0"/>
                <w:sz w:val="18"/>
                <w:szCs w:val="18"/>
                <w:lang w:val="en-US" w:eastAsia="zh-CN"/>
              </w:rPr>
            </w:pPr>
            <w:r>
              <w:rPr>
                <w:rFonts w:hint="eastAsia"/>
                <w:color w:val="auto"/>
                <w:sz w:val="18"/>
                <w:szCs w:val="18"/>
              </w:rPr>
              <w:t>条件</w:t>
            </w:r>
            <w:r>
              <w:rPr>
                <w:color w:val="auto"/>
                <w:sz w:val="18"/>
                <w:szCs w:val="18"/>
              </w:rPr>
              <w:t>报送</w:t>
            </w:r>
          </w:p>
        </w:tc>
        <w:tc>
          <w:tcPr>
            <w:tcW w:w="1134" w:type="dxa"/>
            <w:noWrap w:val="0"/>
            <w:vAlign w:val="center"/>
          </w:tcPr>
          <w:p>
            <w:pPr>
              <w:widowControl/>
              <w:spacing w:line="280" w:lineRule="exact"/>
              <w:ind w:firstLine="0" w:firstLineChars="0"/>
              <w:jc w:val="left"/>
              <w:rPr>
                <w:rFonts w:hint="eastAsia" w:ascii="宋体" w:hAnsi="宋体" w:cs="宋体"/>
                <w:color w:val="auto"/>
                <w:kern w:val="2"/>
                <w:sz w:val="18"/>
                <w:szCs w:val="18"/>
              </w:rPr>
            </w:pPr>
            <w:r>
              <w:rPr>
                <w:rFonts w:hint="eastAsia" w:cs="宋体"/>
                <w:color w:val="auto"/>
                <w:kern w:val="0"/>
                <w:sz w:val="18"/>
                <w:szCs w:val="18"/>
              </w:rPr>
              <w:t>代理人代为办理的情形</w:t>
            </w:r>
          </w:p>
        </w:tc>
        <w:tc>
          <w:tcPr>
            <w:tcW w:w="1134"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bl>
    <w:p>
      <w:pPr>
        <w:keepNext/>
        <w:keepLines/>
        <w:widowControl w:val="0"/>
        <w:spacing w:line="240" w:lineRule="auto"/>
        <w:ind w:firstLine="552" w:firstLineChars="200"/>
        <w:jc w:val="both"/>
        <w:outlineLvl w:val="1"/>
        <w:rPr>
          <w:rFonts w:ascii="Calibri Light" w:hAnsi="Calibri Light" w:eastAsia="黑体" w:cs="Times New Roman"/>
          <w:bCs/>
          <w:color w:val="auto"/>
          <w:kern w:val="2"/>
          <w:sz w:val="28"/>
          <w:szCs w:val="32"/>
          <w:lang w:val="en-US" w:eastAsia="zh-CN" w:bidi="ar-SA"/>
        </w:rPr>
      </w:pPr>
      <w:r>
        <w:rPr>
          <w:rFonts w:hint="eastAsia" w:ascii="Calibri Light" w:hAnsi="Calibri Light" w:eastAsia="黑体" w:cs="Times New Roman"/>
          <w:bCs/>
          <w:color w:val="auto"/>
          <w:kern w:val="2"/>
          <w:sz w:val="28"/>
          <w:szCs w:val="32"/>
          <w:lang w:val="en-US" w:eastAsia="zh-CN" w:bidi="ar-SA"/>
        </w:rPr>
        <w:t>六</w:t>
      </w:r>
      <w:r>
        <w:rPr>
          <w:rFonts w:ascii="Calibri Light" w:hAnsi="Calibri Light" w:eastAsia="黑体" w:cs="Times New Roman"/>
          <w:bCs/>
          <w:color w:val="auto"/>
          <w:kern w:val="2"/>
          <w:sz w:val="28"/>
          <w:szCs w:val="32"/>
          <w:lang w:val="en-US" w:eastAsia="zh-CN" w:bidi="ar-SA"/>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471" w:firstLineChars="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471" w:firstLineChars="0"/>
        <w:textAlignment w:val="auto"/>
        <w:rPr>
          <w:rFonts w:hint="eastAsia"/>
          <w:color w:val="auto"/>
        </w:rPr>
      </w:pPr>
      <w:r>
        <w:rPr>
          <w:rFonts w:hint="eastAsia"/>
          <w:color w:val="auto"/>
        </w:rPr>
        <w:object>
          <v:shape id="_x0000_i1149" o:spt="75" type="#_x0000_t75" style="height:214.6pt;width:501.65pt;" o:ole="t" filled="f" o:preferrelative="t" stroked="f" coordsize="21600,21600">
            <v:path/>
            <v:fill on="f" focussize="0,0"/>
            <v:stroke on="f"/>
            <v:imagedata r:id="rId11" o:title=""/>
            <o:lock v:ext="edit" aspectratio="t"/>
            <w10:wrap type="none"/>
            <w10:anchorlock/>
          </v:shape>
          <o:OLEObject Type="Embed" ProgID="Visio.Drawing.11" ShapeID="_x0000_i1149" DrawAspect="Content" ObjectID="_1468075725" r:id="rId10">
            <o:LockedField>false</o:LockedField>
          </o:OLEObject>
        </w:object>
      </w:r>
    </w:p>
    <w:p>
      <w:pPr>
        <w:pStyle w:val="3"/>
        <w:ind w:firstLine="552"/>
        <w:rPr>
          <w:color w:val="auto"/>
        </w:rPr>
      </w:pPr>
      <w:r>
        <w:rPr>
          <w:rFonts w:hint="eastAsia"/>
          <w:color w:val="auto"/>
        </w:rPr>
        <w:t>七、办理时限</w:t>
      </w:r>
    </w:p>
    <w:p>
      <w:pPr>
        <w:ind w:firstLine="472"/>
        <w:rPr>
          <w:rFonts w:hint="eastAsia"/>
          <w:color w:val="auto"/>
        </w:rPr>
      </w:pPr>
      <w:r>
        <w:rPr>
          <w:rFonts w:hint="eastAsia"/>
          <w:color w:val="auto"/>
        </w:rPr>
        <w:t>资料齐全、符合法定形式、填写内容完整的，自税务机关受理之日起20个工作日</w:t>
      </w:r>
      <w:r>
        <w:rPr>
          <w:rFonts w:hint="eastAsia"/>
          <w:color w:val="auto"/>
          <w:lang w:val="en-US" w:eastAsia="zh-CN"/>
        </w:rPr>
        <w:t>办结</w:t>
      </w:r>
      <w:r>
        <w:rPr>
          <w:rFonts w:hint="eastAsia"/>
          <w:color w:val="auto"/>
        </w:rPr>
        <w:t>。</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1.A13005《税务行政许可申请表》(A13005《税务行政许可申请表》（填写样例）)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w:t>
      </w:r>
      <w:r>
        <w:rPr>
          <w:color w:val="auto"/>
        </w:rPr>
        <w:t>.</w:t>
      </w:r>
      <w:r>
        <w:rPr>
          <w:rFonts w:hint="eastAsia"/>
          <w:color w:val="auto"/>
        </w:rPr>
        <w:t>税务机关应当依法对被许可人从事税务行政许可事项的活动进行监督检查，可以依法查阅或者要求被许可人报送有关材料，被许可人应当如实提供有关情况和材料。发现被许可人不再具备法定条件时，应当责令限期改正；发现其有《中华人民共和国行政许可法》第六十九条规定情形及其他违法行为的，依法进行处理处罚。</w:t>
      </w:r>
    </w:p>
    <w:p>
      <w:pPr>
        <w:ind w:firstLine="472"/>
        <w:rPr>
          <w:color w:val="auto"/>
        </w:rPr>
      </w:pPr>
      <w:r>
        <w:rPr>
          <w:rFonts w:hint="eastAsia"/>
          <w:color w:val="auto"/>
        </w:rPr>
        <w:t>2.税务机关应</w:t>
      </w:r>
      <w:r>
        <w:rPr>
          <w:color w:val="auto"/>
        </w:rPr>
        <w:t>在</w:t>
      </w:r>
      <w:r>
        <w:rPr>
          <w:rFonts w:hint="eastAsia"/>
          <w:color w:val="auto"/>
        </w:rPr>
        <w:t>做出税务行政许可决定之日起</w:t>
      </w:r>
      <w:r>
        <w:rPr>
          <w:color w:val="auto"/>
        </w:rPr>
        <w:t>7个工作日内，在办税服务厅或其他办税场所以及税务机关门户网站上公开税务许政许可决定。</w:t>
      </w:r>
    </w:p>
    <w:p>
      <w:pPr>
        <w:ind w:firstLine="472"/>
        <w:rPr>
          <w:color w:val="auto"/>
        </w:rPr>
      </w:pPr>
      <w:r>
        <w:rPr>
          <w:color w:val="auto"/>
        </w:rPr>
        <w:t>3.</w:t>
      </w:r>
      <w:r>
        <w:rPr>
          <w:rFonts w:hint="eastAsia"/>
          <w:color w:val="auto"/>
        </w:rPr>
        <w:t>自受理行政许可申请之日起</w:t>
      </w:r>
      <w:r>
        <w:rPr>
          <w:color w:val="auto"/>
        </w:rPr>
        <w:t>20个工作日内</w:t>
      </w:r>
      <w:r>
        <w:rPr>
          <w:rFonts w:hint="eastAsia"/>
          <w:color w:val="auto"/>
        </w:rPr>
        <w:t>作出行政许可决定，招标所需时间不计算在上述期限内。</w:t>
      </w:r>
      <w:r>
        <w:rPr>
          <w:color w:val="auto"/>
        </w:rPr>
        <w:t>20个工作日内不能</w:t>
      </w:r>
      <w:r>
        <w:rPr>
          <w:rFonts w:hint="eastAsia"/>
          <w:color w:val="auto"/>
        </w:rPr>
        <w:t>作出决定的，经本税务机关负责人批准，可以延长</w:t>
      </w:r>
      <w:r>
        <w:rPr>
          <w:color w:val="auto"/>
        </w:rPr>
        <w:t>10个工作日，并制作《税务</w:t>
      </w:r>
      <w:r>
        <w:rPr>
          <w:rFonts w:hint="eastAsia"/>
          <w:color w:val="auto"/>
        </w:rPr>
        <w:t>行政许可决定延期告知书》，将延长期限的理由告知申请人。法律、法规另有规定的，依照其规定。</w:t>
      </w:r>
    </w:p>
    <w:p>
      <w:pPr>
        <w:ind w:firstLine="472"/>
        <w:rPr>
          <w:color w:val="auto"/>
        </w:rPr>
      </w:pPr>
      <w:r>
        <w:rPr>
          <w:rFonts w:hint="eastAsia"/>
          <w:color w:val="auto"/>
          <w:lang w:val="en-US" w:eastAsia="zh-CN"/>
        </w:rPr>
        <w:t>4</w:t>
      </w:r>
      <w:r>
        <w:rPr>
          <w:color w:val="auto"/>
        </w:rPr>
        <w:t>.</w:t>
      </w:r>
      <w:r>
        <w:rPr>
          <w:rFonts w:hint="eastAsia"/>
          <w:color w:val="auto"/>
        </w:rPr>
        <w:t>纳税人对报送资料的真实性和合法性承担责任。</w:t>
      </w:r>
    </w:p>
    <w:p>
      <w:pPr>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jc w:val="left"/>
        <w:rPr>
          <w:rFonts w:hint="eastAsia"/>
          <w:color w:val="auto"/>
          <w:lang w:eastAsia="zh-CN"/>
        </w:rPr>
      </w:pPr>
      <w:r>
        <w:rPr>
          <w:rFonts w:hint="eastAsia"/>
          <w:color w:val="auto"/>
          <w:lang w:val="en-US" w:eastAsia="zh-CN"/>
        </w:rPr>
        <w:t>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ind w:firstLine="472"/>
        <w:rPr>
          <w:rFonts w:hint="eastAsia"/>
          <w:color w:val="auto"/>
        </w:rPr>
      </w:pPr>
      <w:r>
        <w:rPr>
          <w:rFonts w:hint="eastAsia"/>
          <w:color w:val="auto"/>
          <w:lang w:val="en-US" w:eastAsia="zh-CN"/>
        </w:rPr>
        <w:t>7</w:t>
      </w:r>
      <w:r>
        <w:rPr>
          <w:rFonts w:hint="eastAsia"/>
          <w:color w:val="auto"/>
        </w:rPr>
        <w:t>.税务行政许可实施机关与申请人不在同一县（市、区、旗）的，申请人可在规定的申请期限内，选择由其主管税务机关代为转报申请材料。主管税务机关在核对申请材料后向申请人出具材料接收清单，并向税务行政许可实施机关转报。代办转报一般应当在5个工作日内完成。</w:t>
      </w:r>
    </w:p>
    <w:p>
      <w:pPr>
        <w:ind w:firstLine="472"/>
        <w:rPr>
          <w:rFonts w:hint="eastAsia"/>
          <w:color w:val="auto"/>
          <w:lang w:eastAsia="zh-CN"/>
        </w:rPr>
      </w:pPr>
      <w:r>
        <w:rPr>
          <w:rFonts w:hint="eastAsia"/>
          <w:color w:val="auto"/>
          <w:lang w:val="en-US" w:eastAsia="zh-CN"/>
        </w:rPr>
        <w:t>8.6.自受理之日起20个工作日内，可通过电话、国家税务总局河南省税务局网站（http://henan.chinatax.gov.cn）信息公开栏目查询审批状态和结果。</w:t>
      </w:r>
    </w:p>
    <w:p>
      <w:pPr>
        <w:pStyle w:val="3"/>
        <w:ind w:firstLine="552"/>
        <w:rPr>
          <w:color w:val="auto"/>
        </w:rPr>
      </w:pPr>
      <w:r>
        <w:rPr>
          <w:rFonts w:hint="eastAsia"/>
          <w:color w:val="auto"/>
        </w:rPr>
        <w:t>十、办理时间</w:t>
      </w:r>
    </w:p>
    <w:p>
      <w:pPr>
        <w:ind w:firstLine="472"/>
        <w:rPr>
          <w:rFonts w:hint="eastAsia"/>
          <w:color w:val="auto"/>
          <w:lang w:val="en-US" w:eastAsia="zh-CN"/>
        </w:rPr>
      </w:pPr>
      <w:r>
        <w:rPr>
          <w:rFonts w:hint="eastAsia"/>
          <w:color w:val="auto"/>
          <w:lang w:val="en-US" w:eastAsia="zh-CN"/>
        </w:rPr>
        <w:t>1.窗口接收：</w:t>
      </w:r>
    </w:p>
    <w:p>
      <w:pPr>
        <w:ind w:firstLine="472"/>
        <w:rPr>
          <w:rFonts w:hint="default" w:eastAsia="宋体"/>
          <w:color w:val="auto"/>
          <w:lang w:val="en-US" w:eastAsia="zh-CN"/>
        </w:rPr>
      </w:pPr>
      <w:r>
        <w:rPr>
          <w:rFonts w:hint="eastAsia"/>
          <w:color w:val="auto"/>
          <w:lang w:val="en-US" w:eastAsia="zh-CN"/>
        </w:rPr>
        <w:t>上午8:00-12:00，下午14:30-17:30（冬）15:00-18:00（夏）</w:t>
      </w:r>
    </w:p>
    <w:p>
      <w:pPr>
        <w:ind w:firstLine="472"/>
        <w:rPr>
          <w:rFonts w:hint="eastAsia" w:eastAsia="宋体"/>
          <w:color w:val="auto"/>
          <w:lang w:eastAsia="zh-CN"/>
        </w:rPr>
      </w:pPr>
      <w:r>
        <w:rPr>
          <w:rFonts w:hint="eastAsia"/>
          <w:color w:val="auto"/>
          <w:lang w:val="en-US" w:eastAsia="zh-CN"/>
        </w:rPr>
        <w:t>2.代办转报：</w:t>
      </w:r>
      <w:r>
        <w:rPr>
          <w:rFonts w:hint="eastAsia"/>
          <w:color w:val="auto"/>
        </w:rPr>
        <w:t>各地办税服务厅办理时间，详见办税地图</w:t>
      </w:r>
      <w:r>
        <w:rPr>
          <w:rFonts w:hint="eastAsia"/>
          <w:color w:val="auto"/>
          <w:lang w:eastAsia="zh-CN"/>
        </w:rPr>
        <w:t>。</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rFonts w:hint="eastAsia"/>
          <w:color w:val="auto"/>
          <w:lang w:val="en-US" w:eastAsia="zh-CN"/>
        </w:rPr>
      </w:pPr>
      <w:r>
        <w:rPr>
          <w:rFonts w:hint="eastAsia"/>
          <w:color w:val="auto"/>
          <w:lang w:val="en-US" w:eastAsia="zh-CN"/>
        </w:rPr>
        <w:t>申请人可通过窗口报送、网上提交等方式提交材料。</w:t>
      </w:r>
    </w:p>
    <w:p>
      <w:pPr>
        <w:ind w:firstLine="472"/>
        <w:rPr>
          <w:rFonts w:hint="eastAsia"/>
          <w:color w:val="auto"/>
          <w:lang w:val="en-US" w:eastAsia="zh-CN"/>
        </w:rPr>
      </w:pPr>
      <w:r>
        <w:rPr>
          <w:rFonts w:hint="eastAsia"/>
          <w:color w:val="auto"/>
          <w:lang w:val="en-US" w:eastAsia="zh-CN"/>
        </w:rPr>
        <w:t>1.窗口接收：国家税务总局河南省税务局纳税服务处（地址：郑州市金水区丰产路111号）。</w:t>
      </w:r>
    </w:p>
    <w:p>
      <w:pPr>
        <w:ind w:firstLine="472"/>
        <w:rPr>
          <w:rFonts w:hint="eastAsia"/>
          <w:color w:val="auto"/>
          <w:lang w:val="en-US" w:eastAsia="zh-CN"/>
        </w:rPr>
      </w:pPr>
      <w:r>
        <w:rPr>
          <w:rFonts w:hint="eastAsia"/>
          <w:color w:val="auto"/>
          <w:lang w:val="en-US" w:eastAsia="zh-CN"/>
        </w:rPr>
        <w:t>2.代办转报：申请人可选择由其主管税务机关办税服务厅代为转报申请材料。主管税务机关在核对申请材料后向申请人出具材料接收清单，并向国家税务总局河南省税务局纳税服务处转报。</w:t>
      </w:r>
    </w:p>
    <w:p>
      <w:pPr>
        <w:ind w:firstLine="472"/>
        <w:rPr>
          <w:color w:val="auto"/>
        </w:rPr>
      </w:pPr>
      <w:r>
        <w:rPr>
          <w:rFonts w:hint="eastAsia"/>
          <w:color w:val="auto"/>
          <w:lang w:val="en-US" w:eastAsia="zh-CN"/>
        </w:rPr>
        <w:t>代办专报</w:t>
      </w: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rFonts w:hint="default" w:eastAsia="宋体"/>
          <w:color w:val="auto"/>
          <w:lang w:val="en-US" w:eastAsia="zh-CN"/>
        </w:rPr>
      </w:pPr>
      <w:r>
        <w:rPr>
          <w:rFonts w:hint="default" w:eastAsia="宋体"/>
          <w:color w:val="auto"/>
          <w:lang w:val="en-US" w:eastAsia="zh-CN"/>
        </w:rPr>
        <w:t>3.网上接收：登录</w:t>
      </w:r>
      <w:r>
        <w:rPr>
          <w:rFonts w:hint="eastAsia"/>
          <w:color w:val="auto"/>
        </w:rPr>
        <w:t>http://etax.henan.chinatax.gov.cn/web/</w:t>
      </w:r>
      <w:r>
        <w:rPr>
          <w:rFonts w:hint="default" w:eastAsia="宋体"/>
          <w:color w:val="auto"/>
          <w:lang w:val="en-US" w:eastAsia="zh-CN"/>
        </w:rPr>
        <w:t>，国家税务总局河南省电子税务局进行网上申请。</w:t>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lang w:val="en-US" w:eastAsia="zh-CN"/>
        </w:rPr>
        <w:t>国家税务总局河南省税务局</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rFonts w:hint="eastAsia"/>
          <w:color w:val="auto"/>
        </w:rPr>
      </w:pPr>
      <w:r>
        <w:rPr>
          <w:rFonts w:hint="eastAsia"/>
          <w:color w:val="auto"/>
          <w:lang w:val="en-US" w:eastAsia="zh-CN"/>
        </w:rPr>
        <w:t>1.</w:t>
      </w:r>
      <w:r>
        <w:rPr>
          <w:rFonts w:hint="eastAsia"/>
          <w:color w:val="auto"/>
        </w:rPr>
        <w:t>电话咨询：12366纳税服务热线（0371-12366）。</w:t>
      </w:r>
    </w:p>
    <w:p>
      <w:pPr>
        <w:ind w:firstLine="472"/>
        <w:rPr>
          <w:rFonts w:hint="eastAsia"/>
          <w:color w:val="auto"/>
          <w:lang w:val="en-US" w:eastAsia="zh-CN"/>
        </w:rPr>
      </w:pPr>
      <w:r>
        <w:rPr>
          <w:rFonts w:hint="eastAsia"/>
          <w:color w:val="auto"/>
          <w:lang w:val="en-US" w:eastAsia="zh-CN"/>
        </w:rPr>
        <w:t>2.</w:t>
      </w:r>
      <w:r>
        <w:rPr>
          <w:rFonts w:hint="eastAsia"/>
          <w:color w:val="auto"/>
        </w:rPr>
        <w:t>网上咨询：http://henan.chinatax.gov.cn，纳税咨询栏目。</w:t>
      </w:r>
    </w:p>
    <w:p>
      <w:pPr>
        <w:ind w:firstLine="472"/>
        <w:rPr>
          <w:rFonts w:hint="default" w:eastAsia="宋体"/>
          <w:color w:val="auto"/>
          <w:lang w:val="en-US" w:eastAsia="zh-CN"/>
        </w:rPr>
      </w:pPr>
      <w:r>
        <w:rPr>
          <w:rFonts w:hint="eastAsia"/>
          <w:color w:val="auto"/>
          <w:lang w:val="en-US" w:eastAsia="zh-CN"/>
        </w:rPr>
        <w:t>3.</w:t>
      </w:r>
      <w:r>
        <w:rPr>
          <w:rFonts w:hint="eastAsia"/>
          <w:color w:val="auto"/>
        </w:rPr>
        <w:t>信函咨询：国家税务总局河南省税务局纳税服务处，地址：郑州市金水区丰产路111号，邮编450008。</w:t>
      </w:r>
    </w:p>
    <w:p>
      <w:pPr>
        <w:ind w:firstLine="472"/>
        <w:rPr>
          <w:rFonts w:hint="eastAsia"/>
          <w:color w:val="auto"/>
        </w:rPr>
      </w:pPr>
      <w:r>
        <w:rPr>
          <w:rFonts w:hint="eastAsia"/>
          <w:color w:val="auto"/>
          <w:lang w:val="en-US" w:eastAsia="zh-CN"/>
        </w:rPr>
        <w:t>4.</w:t>
      </w:r>
      <w:r>
        <w:rPr>
          <w:rFonts w:hint="eastAsia"/>
          <w:color w:val="auto"/>
        </w:rPr>
        <w:t>窗口</w:t>
      </w:r>
      <w:r>
        <w:rPr>
          <w:rFonts w:hint="eastAsia"/>
          <w:color w:val="auto"/>
          <w:lang w:val="en-US" w:eastAsia="zh-CN"/>
        </w:rPr>
        <w:t>接收：</w:t>
      </w:r>
      <w:r>
        <w:rPr>
          <w:rFonts w:hint="eastAsia"/>
          <w:color w:val="auto"/>
        </w:rPr>
        <w:t>国家税务总局河南省税务局纳税服务处（0371-6676</w:t>
      </w:r>
      <w:r>
        <w:rPr>
          <w:rFonts w:hint="eastAsia"/>
          <w:color w:val="auto"/>
          <w:lang w:val="en-US" w:eastAsia="zh-CN"/>
        </w:rPr>
        <w:t>7511</w:t>
      </w:r>
      <w:r>
        <w:rPr>
          <w:rFonts w:hint="eastAsia"/>
          <w:color w:val="auto"/>
        </w:rPr>
        <w:t>）。</w:t>
      </w:r>
    </w:p>
    <w:p>
      <w:pPr>
        <w:ind w:firstLine="472"/>
        <w:rPr>
          <w:color w:val="auto"/>
        </w:rPr>
      </w:pPr>
      <w:r>
        <w:rPr>
          <w:rFonts w:hint="eastAsia"/>
          <w:color w:val="auto"/>
          <w:lang w:val="en-US" w:eastAsia="zh-CN"/>
        </w:rPr>
        <w:t>5.代办转报：</w:t>
      </w:r>
      <w:r>
        <w:rPr>
          <w:rFonts w:hint="eastAsia"/>
          <w:color w:val="auto"/>
        </w:rPr>
        <w:t>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42E36"/>
    <w:multiLevelType w:val="multilevel"/>
    <w:tmpl w:val="07642E36"/>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36A63C4"/>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2019-10-31T04:56:07Z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