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color w:val="auto"/>
        </w:rPr>
      </w:pPr>
      <w:bookmarkStart w:id="1" w:name="_GoBack"/>
      <w:bookmarkEnd w:id="1"/>
      <w:bookmarkStart w:id="0" w:name="_Toc29040"/>
      <w:r>
        <w:rPr>
          <w:rFonts w:hint="eastAsia" w:ascii="黑体" w:hAnsi="黑体"/>
          <w:color w:val="auto"/>
        </w:rPr>
        <w:t>2.7.1税务代保管资金收取</w:t>
      </w:r>
      <w:bookmarkEnd w:id="0"/>
    </w:p>
    <w:p>
      <w:pPr>
        <w:pStyle w:val="3"/>
        <w:ind w:firstLine="552"/>
        <w:rPr>
          <w:color w:val="auto"/>
        </w:rPr>
      </w:pPr>
      <w:r>
        <w:rPr>
          <w:color w:val="auto"/>
        </w:rPr>
        <w:t>一、事项名称</w:t>
      </w:r>
    </w:p>
    <w:p>
      <w:pPr>
        <w:ind w:firstLine="471" w:firstLineChars="0"/>
        <w:rPr>
          <w:rFonts w:hint="eastAsia"/>
          <w:color w:val="auto"/>
        </w:rPr>
      </w:pPr>
      <w:r>
        <w:rPr>
          <w:rFonts w:hint="eastAsia"/>
          <w:color w:val="auto"/>
        </w:rPr>
        <w:t>税务代保管资金收取</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w:t>
      </w:r>
      <w:r>
        <w:rPr>
          <w:rFonts w:hint="eastAsia"/>
          <w:color w:val="auto"/>
          <w:lang w:val="en-US" w:eastAsia="zh-CN"/>
        </w:rPr>
        <w:t>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税务代保管资金，是指税务机关根据法律、行政法规、规章或有关规定，为履行征管职责，向纳税人、扣缴义务人、纳税担保人或者其他当事人收取的款项。其内容包括：个人出售住房所应缴纳的个人所得税纳税保证金；外省、自治区、直辖市来本辖区从事临时经营活动的单位和个人申请领购发票按现行规定缴纳的发票保证金；纳税担保金；采取税收保全措施扣押的现金；个人转让上市公司限售股所得征收个人所得税纳税保证金；税收强制执行拍卖、变卖的款项；国家税务总局、财政部、中国人民银行根据税收业务需要确定的其他资金。</w:t>
      </w:r>
    </w:p>
    <w:p>
      <w:pPr>
        <w:pStyle w:val="3"/>
        <w:ind w:firstLine="560"/>
        <w:rPr>
          <w:color w:val="auto"/>
        </w:rPr>
      </w:pPr>
      <w:r>
        <w:rPr>
          <w:rFonts w:hint="eastAsia"/>
          <w:color w:val="auto"/>
          <w:lang w:val="en-US" w:eastAsia="zh-CN"/>
        </w:rPr>
        <w:t>四</w:t>
      </w:r>
      <w:r>
        <w:rPr>
          <w:rFonts w:hint="eastAsia"/>
          <w:color w:val="auto"/>
        </w:rPr>
        <w:t>、</w:t>
      </w:r>
      <w:r>
        <w:rPr>
          <w:rFonts w:hint="eastAsia"/>
          <w:color w:val="auto"/>
          <w:lang w:val="en-US" w:eastAsia="zh-CN"/>
        </w:rPr>
        <w:t>设定</w:t>
      </w:r>
      <w:r>
        <w:rPr>
          <w:rFonts w:hint="eastAsia"/>
          <w:color w:val="auto"/>
        </w:rPr>
        <w:t>依据</w:t>
      </w:r>
    </w:p>
    <w:p>
      <w:pPr>
        <w:ind w:firstLine="480"/>
        <w:rPr>
          <w:color w:val="auto"/>
        </w:rPr>
      </w:pPr>
      <w:r>
        <w:rPr>
          <w:rFonts w:hint="eastAsia"/>
          <w:color w:val="auto"/>
        </w:rPr>
        <w:t>1.《国家税务总局</w:t>
      </w:r>
      <w:r>
        <w:rPr>
          <w:color w:val="auto"/>
        </w:rPr>
        <w:t>财政部中国人民银行关于印发〈税务代保管资金账户管理办法〉的通知》（国税发〔2005〕181号）全文</w:t>
      </w:r>
    </w:p>
    <w:p>
      <w:pPr>
        <w:ind w:firstLine="480"/>
        <w:rPr>
          <w:color w:val="auto"/>
        </w:rPr>
      </w:pPr>
      <w:r>
        <w:rPr>
          <w:color w:val="auto"/>
        </w:rPr>
        <w:t>2.</w:t>
      </w:r>
      <w:r>
        <w:rPr>
          <w:rFonts w:hint="eastAsia"/>
          <w:color w:val="auto"/>
        </w:rPr>
        <w:t>《国家税务总局</w:t>
      </w:r>
      <w:r>
        <w:rPr>
          <w:color w:val="auto"/>
        </w:rPr>
        <w:t>财政部中国人民银行关于税务代保管资金账户管理有关问题的通知》（国税发〔2007〕12号）全文</w:t>
      </w:r>
    </w:p>
    <w:p>
      <w:pPr>
        <w:ind w:firstLine="480"/>
        <w:rPr>
          <w:rFonts w:hint="eastAsia"/>
          <w:color w:val="auto"/>
        </w:rPr>
      </w:pPr>
      <w:r>
        <w:rPr>
          <w:color w:val="auto"/>
        </w:rPr>
        <w:t>3.</w:t>
      </w:r>
      <w:r>
        <w:rPr>
          <w:rFonts w:hint="eastAsia"/>
          <w:color w:val="auto"/>
        </w:rPr>
        <w:t>《国家税务总局关于限售股转让所得个人所得税征缴有关问题的通知》（国税函〔</w:t>
      </w:r>
      <w:r>
        <w:rPr>
          <w:color w:val="auto"/>
        </w:rPr>
        <w:t>2010〕23号）第一条第</w:t>
      </w:r>
      <w:r>
        <w:rPr>
          <w:rFonts w:hint="eastAsia"/>
          <w:color w:val="auto"/>
        </w:rPr>
        <w:t>一款</w:t>
      </w:r>
    </w:p>
    <w:p>
      <w:pPr>
        <w:ind w:firstLine="480"/>
        <w:rPr>
          <w:rFonts w:hint="eastAsia"/>
          <w:color w:val="auto"/>
        </w:rPr>
      </w:pPr>
      <w:r>
        <w:rPr>
          <w:rFonts w:hint="eastAsia"/>
          <w:color w:val="auto"/>
          <w:lang w:eastAsia="zh-CN"/>
        </w:rPr>
        <w:t>“</w:t>
      </w:r>
      <w:r>
        <w:rPr>
          <w:rFonts w:hint="eastAsia"/>
          <w:color w:val="auto"/>
        </w:rPr>
        <w:t>证券机构技术和制度准备完成前形成的限售股，其转让所得应缴纳的个人所得税采取证券机构预扣预缴、纳税人自行申报清算方式征收。各地税务机关可根据当地税务代保管资金账户的开立与否、个人退税的简便与否等实际情况综合考虑，在下列方式中确定一种征缴方式：</w:t>
      </w:r>
    </w:p>
    <w:p>
      <w:pPr>
        <w:ind w:firstLine="480"/>
        <w:rPr>
          <w:rFonts w:hint="eastAsia"/>
          <w:color w:val="auto"/>
        </w:rPr>
      </w:pPr>
      <w:r>
        <w:rPr>
          <w:rFonts w:hint="eastAsia"/>
          <w:color w:val="auto"/>
        </w:rPr>
        <w:t>1.纳税保证金方式。证券机构将已扣的个人所得税款，于次月7日内以纳税保证金形式向主管税务机关缴纳，并报送《限售股转让所得扣缴个人所得税报告表》及税务机关要求报送的其他资料。主管税务机关收取纳税保证金时，应向证券机构开具有关凭证(凭证种类由各地自定)，作为证券机构代缴个人所得税的凭证，凭证“类别”或“品目”栏写明“代扣个人所得税”。同时，税务机关根据《限售股转让所得扣缴个人所得税报告表》分纳税人开具《税务代保管资金专用收据》，作为纳税人预缴个人所得税的凭证，凭证“类别”栏写明“预缴个人所得税”。纳税保证金缴入税务机关在当地商业银行开设的“税务代保管资金”账户存储。</w:t>
      </w:r>
    </w:p>
    <w:p>
      <w:pPr>
        <w:ind w:firstLine="480"/>
        <w:rPr>
          <w:rFonts w:hint="eastAsia"/>
          <w:color w:val="auto"/>
          <w:lang w:eastAsia="zh-CN"/>
        </w:rPr>
      </w:pPr>
      <w:r>
        <w:rPr>
          <w:rFonts w:hint="eastAsia"/>
          <w:color w:val="auto"/>
        </w:rPr>
        <w:t>2.预缴税款方式。证券机构将已扣的个人所得税款，于次月7日内直接缴入国库，并向主管税务机关报送《限售股转让所得扣缴个人所得税报告表》及税务机关要求报送的其他资料。主管税务机关向证券机构开具《税收通用缴款书》或以横向联网电子缴税方式将证券机构预扣预缴的个人所得税税款缴入国库。同时，主管税务机关应根据《限售股转让所得扣缴个人所得税报告表》分纳税人开具《税收转账专用完税证》，作为纳税人预缴个人所得税的完税凭证。</w:t>
      </w:r>
      <w:r>
        <w:rPr>
          <w:rFonts w:hint="eastAsia"/>
          <w:color w:val="auto"/>
          <w:lang w:eastAsia="zh-CN"/>
        </w:rPr>
        <w:t>”</w:t>
      </w:r>
    </w:p>
    <w:p>
      <w:pPr>
        <w:ind w:firstLine="480"/>
        <w:rPr>
          <w:color w:val="auto"/>
        </w:rPr>
      </w:pPr>
      <w:r>
        <w:rPr>
          <w:rFonts w:hint="eastAsia"/>
          <w:color w:val="auto"/>
        </w:rPr>
        <w:t>4.《国家税务总局关于开立税务代保管资金账户有关问题的紧急通知》（国税函〔2006〕755号</w:t>
      </w:r>
      <w:r>
        <w:rPr>
          <w:color w:val="auto"/>
        </w:rPr>
        <w:t>）</w:t>
      </w:r>
      <w:r>
        <w:rPr>
          <w:rFonts w:hint="eastAsia"/>
          <w:color w:val="auto"/>
        </w:rPr>
        <w:t>全文</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序号</w:t>
            </w:r>
          </w:p>
        </w:tc>
        <w:tc>
          <w:tcPr>
            <w:tcW w:w="2551"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资料名称</w:t>
            </w:r>
          </w:p>
        </w:tc>
        <w:tc>
          <w:tcPr>
            <w:tcW w:w="709"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份数</w:t>
            </w:r>
          </w:p>
        </w:tc>
        <w:tc>
          <w:tcPr>
            <w:tcW w:w="992"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报送类型</w:t>
            </w:r>
          </w:p>
        </w:tc>
        <w:tc>
          <w:tcPr>
            <w:tcW w:w="1134" w:type="dxa"/>
            <w:shd w:val="clear" w:color="auto" w:fill="auto"/>
            <w:vAlign w:val="center"/>
          </w:tcPr>
          <w:p>
            <w:pPr>
              <w:widowControl/>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报送条件</w:t>
            </w:r>
          </w:p>
        </w:tc>
        <w:tc>
          <w:tcPr>
            <w:tcW w:w="1134" w:type="dxa"/>
            <w:shd w:val="clear" w:color="auto" w:fill="auto"/>
            <w:vAlign w:val="center"/>
          </w:tcPr>
          <w:p>
            <w:pPr>
              <w:widowControl/>
              <w:adjustRightInd w:val="0"/>
              <w:snapToGrid w:val="0"/>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Times New Roman"/>
                <w:b/>
                <w:color w:val="auto"/>
                <w:kern w:val="0"/>
                <w:sz w:val="18"/>
                <w:szCs w:val="18"/>
                <w:lang w:val="en-US" w:eastAsia="zh-CN" w:bidi="ar-SA"/>
              </w:rPr>
              <w:t>资料处理方式（适用于办税服务厅办理）</w:t>
            </w:r>
          </w:p>
        </w:tc>
        <w:tc>
          <w:tcPr>
            <w:tcW w:w="1134" w:type="dxa"/>
            <w:shd w:val="clear" w:color="auto" w:fill="auto"/>
            <w:vAlign w:val="center"/>
          </w:tcPr>
          <w:p>
            <w:pPr>
              <w:widowControl/>
              <w:adjustRightInd w:val="0"/>
              <w:snapToGrid w:val="0"/>
              <w:spacing w:before="100" w:beforeAutospacing="1" w:after="100" w:afterAutospacing="1" w:line="240" w:lineRule="auto"/>
              <w:ind w:firstLine="0" w:firstLineChars="0"/>
              <w:jc w:val="center"/>
              <w:rPr>
                <w:rFonts w:ascii="等线" w:hAnsi="等线" w:eastAsia="等线" w:cs="宋体"/>
                <w:b/>
                <w:color w:val="auto"/>
                <w:kern w:val="0"/>
                <w:sz w:val="18"/>
                <w:szCs w:val="18"/>
                <w:lang w:val="en-US" w:eastAsia="zh-CN" w:bidi="ar-SA"/>
              </w:rPr>
            </w:pPr>
            <w:r>
              <w:rPr>
                <w:rFonts w:hint="eastAsia" w:ascii="宋体" w:hAnsi="宋体" w:eastAsia="宋体" w:cs="微软雅黑"/>
                <w:b/>
                <w:color w:val="auto"/>
                <w:kern w:val="0"/>
                <w:sz w:val="18"/>
                <w:szCs w:val="18"/>
                <w:lang w:val="en-US" w:eastAsia="zh-CN" w:bidi="ar-SA"/>
              </w:rPr>
              <w:t>电子资料上传（</w:t>
            </w:r>
            <w:r>
              <w:rPr>
                <w:rFonts w:hint="eastAsia" w:ascii="宋体" w:hAnsi="宋体" w:eastAsia="宋体" w:cs="Times New Roman"/>
                <w:b/>
                <w:color w:val="auto"/>
                <w:kern w:val="0"/>
                <w:sz w:val="18"/>
                <w:szCs w:val="18"/>
                <w:lang w:val="en-US" w:eastAsia="zh-CN" w:bidi="ar-SA"/>
              </w:rPr>
              <w:t>适用于电子税务局办理</w:t>
            </w:r>
            <w:r>
              <w:rPr>
                <w:rFonts w:hint="eastAsia" w:ascii="宋体" w:hAnsi="宋体" w:eastAsia="宋体" w:cs="微软雅黑"/>
                <w:b/>
                <w:color w:val="auto"/>
                <w:kern w:val="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ascii="宋体" w:hAnsi="宋体" w:cs="Arial"/>
                <w:color w:val="auto"/>
                <w:sz w:val="18"/>
                <w:szCs w:val="18"/>
              </w:rPr>
              <w:t>《税务事项通知书》</w:t>
            </w:r>
            <w:r>
              <w:rPr>
                <w:rFonts w:hint="eastAsia" w:ascii="宋体" w:hAnsi="宋体" w:cs="Arial"/>
                <w:color w:val="auto"/>
                <w:sz w:val="18"/>
                <w:szCs w:val="18"/>
              </w:rPr>
              <w:t>（缴纳保证金通知）</w:t>
            </w:r>
          </w:p>
        </w:tc>
        <w:tc>
          <w:tcPr>
            <w:tcW w:w="709"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keepNext/>
        <w:keepLines/>
        <w:widowControl w:val="0"/>
        <w:spacing w:line="240" w:lineRule="auto"/>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六</w:t>
      </w:r>
      <w:r>
        <w:rPr>
          <w:rFonts w:ascii="等线 Light" w:hAnsi="等线 Light" w:eastAsia="黑体" w:cs="Times New Roman"/>
          <w:bCs/>
          <w:color w:val="auto"/>
          <w:kern w:val="2"/>
          <w:sz w:val="28"/>
          <w:szCs w:val="32"/>
          <w:lang w:val="en-US" w:eastAsia="zh-CN" w:bidi="ar-SA"/>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471" w:firstLineChars="0"/>
        <w:textAlignment w:val="auto"/>
        <w:rPr>
          <w:rFonts w:hint="eastAsia"/>
          <w:color w:val="auto"/>
        </w:rPr>
      </w:pPr>
      <w:r>
        <w:rPr>
          <w:rFonts w:hint="eastAsia"/>
          <w:color w:val="auto"/>
        </w:rPr>
        <w:object>
          <v:shape id="_x0000_i1184" o:spt="75" type="#_x0000_t75" style="height:97.15pt;width:441.9pt;" o:ole="t" filled="f" o:preferrelative="t" stroked="f" coordsize="21600,21600">
            <v:path/>
            <v:fill on="f" focussize="0,0"/>
            <v:stroke on="f"/>
            <v:imagedata r:id="rId11" o:title=""/>
            <o:lock v:ext="edit" aspectratio="f"/>
            <w10:wrap type="none"/>
            <w10:anchorlock/>
          </v:shape>
          <o:OLEObject Type="Embed" ProgID="Visio.Drawing.11" ShapeID="_x0000_i1184" DrawAspect="Content" ObjectID="_1468075725" r:id="rId10">
            <o:LockedField>false</o:LockedField>
          </o:OLEObject>
        </w:objec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七、办理时限</w:t>
      </w:r>
    </w:p>
    <w:p>
      <w:pPr>
        <w:ind w:firstLine="471" w:firstLineChars="0"/>
        <w:rPr>
          <w:color w:val="auto"/>
        </w:rPr>
      </w:pPr>
      <w:r>
        <w:rPr>
          <w:rFonts w:hint="eastAsia"/>
          <w:color w:val="auto"/>
        </w:rPr>
        <w:t>资料齐全、符合法定形式的，税务机关受理后即时办结。</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八、表证单书</w:t>
      </w:r>
    </w:p>
    <w:p>
      <w:pPr>
        <w:pStyle w:val="13"/>
        <w:widowControl/>
        <w:spacing w:beforeAutospacing="0" w:afterAutospacing="0" w:line="578" w:lineRule="exact"/>
        <w:ind w:firstLine="472" w:firstLineChars="200"/>
        <w:rPr>
          <w:rFonts w:ascii="宋体" w:hAnsi="宋体" w:eastAsia="宋体" w:cs="微软雅黑"/>
          <w:color w:val="auto"/>
        </w:rPr>
      </w:pPr>
      <w:r>
        <w:rPr>
          <w:rFonts w:hint="eastAsia" w:ascii="宋体" w:hAnsi="宋体" w:eastAsia="宋体" w:cs="微软雅黑"/>
          <w:color w:val="auto"/>
        </w:rPr>
        <w:t>1.《</w:t>
      </w:r>
      <w:r>
        <w:rPr>
          <w:rFonts w:ascii="宋体" w:hAnsi="宋体" w:eastAsia="宋体" w:cs="微软雅黑"/>
          <w:color w:val="auto"/>
        </w:rPr>
        <w:t>税务事项通知书</w:t>
      </w:r>
      <w:r>
        <w:rPr>
          <w:rFonts w:hint="eastAsia" w:ascii="宋体" w:hAnsi="宋体" w:eastAsia="宋体" w:cs="微软雅黑"/>
          <w:color w:val="auto"/>
        </w:rPr>
        <w:t>》（缴纳保证金通知）</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九、注意事项</w:t>
      </w:r>
    </w:p>
    <w:p>
      <w:pPr>
        <w:pStyle w:val="13"/>
        <w:widowControl/>
        <w:spacing w:beforeAutospacing="0" w:afterAutospacing="0" w:line="578" w:lineRule="exact"/>
        <w:ind w:firstLine="472" w:firstLineChars="200"/>
        <w:rPr>
          <w:rFonts w:ascii="宋体" w:hAnsi="宋体" w:eastAsia="宋体" w:cs="微软雅黑"/>
          <w:color w:val="auto"/>
        </w:rPr>
      </w:pPr>
      <w:r>
        <w:rPr>
          <w:rFonts w:hint="eastAsia" w:ascii="宋体" w:hAnsi="宋体" w:eastAsia="宋体" w:cs="微软雅黑"/>
          <w:color w:val="auto"/>
        </w:rPr>
        <w:t>1.</w:t>
      </w:r>
      <w:r>
        <w:rPr>
          <w:rFonts w:ascii="宋体" w:hAnsi="宋体" w:eastAsia="宋体" w:cs="微软雅黑"/>
          <w:color w:val="auto"/>
        </w:rPr>
        <w:t>代保管资金存入账户时，必须注明资金的用途。</w:t>
      </w:r>
    </w:p>
    <w:p>
      <w:pPr>
        <w:ind w:firstLine="472"/>
        <w:jc w:val="left"/>
        <w:rPr>
          <w:rFonts w:ascii="宋体" w:hAnsi="宋体" w:eastAsia="宋体" w:cs="微软雅黑"/>
          <w:color w:val="auto"/>
        </w:rPr>
      </w:pPr>
      <w:r>
        <w:rPr>
          <w:rFonts w:hint="eastAsia" w:ascii="宋体" w:hAnsi="宋体" w:eastAsia="宋体" w:cs="微软雅黑"/>
          <w:color w:val="auto"/>
        </w:rPr>
        <w:t>2.</w:t>
      </w:r>
      <w:r>
        <w:rPr>
          <w:rFonts w:ascii="宋体" w:hAnsi="宋体" w:eastAsia="宋体" w:cs="微软雅黑"/>
          <w:color w:val="auto"/>
        </w:rPr>
        <w:t>对于税务代保管资金账户中经确认属于税款的资金，税务机关应于3个工作日内填制税收缴款书缴入国库。</w:t>
      </w:r>
    </w:p>
    <w:p>
      <w:pPr>
        <w:ind w:firstLine="472"/>
        <w:jc w:val="left"/>
        <w:rPr>
          <w:rFonts w:hint="eastAsia" w:ascii="宋体" w:hAnsi="宋体" w:eastAsia="宋体" w:cs="微软雅黑"/>
          <w:color w:val="auto"/>
        </w:rPr>
      </w:pPr>
      <w:r>
        <w:rPr>
          <w:rFonts w:hint="eastAsia" w:cs="微软雅黑"/>
          <w:color w:val="auto"/>
          <w:lang w:val="en-US" w:eastAsia="zh-CN"/>
        </w:rPr>
        <w:t>3.</w:t>
      </w:r>
      <w:r>
        <w:rPr>
          <w:rFonts w:hint="eastAsia" w:ascii="宋体" w:hAnsi="宋体" w:eastAsia="宋体" w:cs="微软雅黑"/>
          <w:color w:val="auto"/>
        </w:rPr>
        <w:t>纳税人对报送资料的真实性和合法性承担责任。</w:t>
      </w:r>
    </w:p>
    <w:p>
      <w:pPr>
        <w:ind w:firstLine="472"/>
        <w:jc w:val="left"/>
        <w:rPr>
          <w:rFonts w:hint="eastAsia" w:ascii="宋体" w:hAnsi="宋体" w:eastAsia="宋体" w:cs="微软雅黑"/>
          <w:color w:val="auto"/>
        </w:rPr>
      </w:pPr>
      <w:r>
        <w:rPr>
          <w:rFonts w:hint="eastAsia" w:cs="微软雅黑"/>
          <w:color w:val="auto"/>
          <w:lang w:val="en-US" w:eastAsia="zh-CN"/>
        </w:rPr>
        <w:t>4</w:t>
      </w:r>
      <w:r>
        <w:rPr>
          <w:rFonts w:hint="eastAsia" w:ascii="宋体" w:hAnsi="宋体" w:eastAsia="宋体" w:cs="微软雅黑"/>
          <w:color w:val="auto"/>
        </w:rPr>
        <w:t>.最多跑一次是在资料完整且符合法定受理条件的前提下，最多只需要到税务机关跑一次。</w:t>
      </w:r>
    </w:p>
    <w:p>
      <w:pPr>
        <w:ind w:firstLine="472"/>
        <w:jc w:val="left"/>
        <w:rPr>
          <w:rFonts w:ascii="宋体" w:hAnsi="宋体" w:eastAsia="宋体" w:cs="微软雅黑"/>
          <w:color w:val="auto"/>
        </w:rPr>
      </w:pPr>
      <w:r>
        <w:rPr>
          <w:rFonts w:hint="eastAsia" w:cs="微软雅黑"/>
          <w:color w:val="auto"/>
          <w:lang w:val="en-US" w:eastAsia="zh-CN"/>
        </w:rPr>
        <w:t>5</w:t>
      </w:r>
      <w:r>
        <w:rPr>
          <w:rFonts w:hint="eastAsia" w:ascii="宋体" w:hAnsi="宋体" w:eastAsia="宋体" w:cs="微软雅黑"/>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widowControl w:val="0"/>
        <w:spacing w:line="578" w:lineRule="exact"/>
        <w:ind w:firstLine="552" w:firstLineChars="200"/>
        <w:jc w:val="both"/>
        <w:outlineLvl w:val="1"/>
        <w:rPr>
          <w:rFonts w:hint="eastAsia"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十二、办理机构</w:t>
      </w:r>
    </w:p>
    <w:p>
      <w:pPr>
        <w:ind w:firstLine="472"/>
        <w:rPr>
          <w:color w:val="auto"/>
        </w:rPr>
      </w:pPr>
      <w:r>
        <w:rPr>
          <w:rFonts w:hint="eastAsia"/>
          <w:color w:val="auto"/>
        </w:rPr>
        <w:t>主管税务机关</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十三、收费标准</w:t>
      </w:r>
    </w:p>
    <w:p>
      <w:pPr>
        <w:ind w:firstLine="472"/>
        <w:rPr>
          <w:color w:val="auto"/>
        </w:rPr>
      </w:pPr>
      <w:r>
        <w:rPr>
          <w:rFonts w:hint="eastAsia"/>
          <w:color w:val="auto"/>
        </w:rPr>
        <w:t>不收费</w:t>
      </w:r>
    </w:p>
    <w:p>
      <w:pPr>
        <w:keepNext/>
        <w:keepLines/>
        <w:widowControl w:val="0"/>
        <w:spacing w:line="578" w:lineRule="exact"/>
        <w:ind w:firstLine="552" w:firstLineChars="200"/>
        <w:jc w:val="both"/>
        <w:outlineLvl w:val="1"/>
        <w:rPr>
          <w:rFonts w:ascii="等线 Light" w:hAnsi="等线 Light" w:eastAsia="黑体" w:cs="Times New Roman"/>
          <w:bCs/>
          <w:color w:val="auto"/>
          <w:kern w:val="2"/>
          <w:sz w:val="28"/>
          <w:szCs w:val="32"/>
          <w:lang w:val="en-US" w:eastAsia="zh-CN" w:bidi="ar-SA"/>
        </w:rPr>
      </w:pPr>
      <w:r>
        <w:rPr>
          <w:rFonts w:hint="eastAsia" w:ascii="等线 Light" w:hAnsi="等线 Light" w:eastAsia="黑体" w:cs="Times New Roman"/>
          <w:bCs/>
          <w:color w:val="auto"/>
          <w:kern w:val="2"/>
          <w:sz w:val="28"/>
          <w:szCs w:val="32"/>
          <w:lang w:val="en-US" w:eastAsia="zh-CN" w:bidi="ar-SA"/>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rFonts w:hint="eastAsia"/>
          <w:color w:val="auto"/>
        </w:rPr>
      </w:pPr>
    </w:p>
    <w:p>
      <w:pPr>
        <w:ind w:firstLine="472"/>
        <w:rPr>
          <w:rFonts w:hint="eastAsia"/>
          <w:color w:val="auto"/>
        </w:rPr>
      </w:pPr>
    </w:p>
    <w:p>
      <w:pPr>
        <w:ind w:firstLine="472"/>
        <w:rPr>
          <w:rFonts w:hint="eastAsia"/>
          <w:color w:val="auto"/>
        </w:rPr>
      </w:pPr>
    </w:p>
    <w:p>
      <w:pPr>
        <w:ind w:firstLine="472"/>
        <w:rPr>
          <w:rFonts w:hint="eastAsia"/>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1E4B48"/>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2019-10-31T05:13:41Z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