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60"/>
        <w:rPr>
          <w:rFonts w:hint="eastAsia" w:ascii="黑体" w:hAnsi="黑体" w:cs="黑体"/>
          <w:color w:val="auto"/>
          <w:kern w:val="44"/>
          <w:szCs w:val="44"/>
        </w:rPr>
      </w:pPr>
      <w:bookmarkStart w:id="1" w:name="_GoBack"/>
      <w:bookmarkEnd w:id="1"/>
      <w:bookmarkStart w:id="0" w:name="_Toc18216"/>
      <w:r>
        <w:rPr>
          <w:rFonts w:hint="eastAsia" w:ascii="黑体" w:hAnsi="黑体" w:cs="黑体"/>
          <w:color w:val="auto"/>
          <w:kern w:val="44"/>
          <w:szCs w:val="44"/>
        </w:rPr>
        <w:t>1.5.1.2开具个人所得税纳税记录</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开具个人所得税纳税记录</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网上办理：否</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pStyle w:val="47"/>
        <w:ind w:firstLineChars="0"/>
        <w:rPr>
          <w:color w:val="auto"/>
        </w:rPr>
      </w:pPr>
      <w:r>
        <w:rPr>
          <w:rFonts w:hint="eastAsia"/>
          <w:color w:val="auto"/>
        </w:rPr>
        <w:t>根据自然人身份信息采集及所得项目代扣代缴申报或自行申报的个人所得税信息，税务机关依纳税人申请，就其</w:t>
      </w:r>
      <w:r>
        <w:rPr>
          <w:color w:val="auto"/>
        </w:rPr>
        <w:t>2019年1月1日以后发生的个人所得税纳税义务，在全国范围内进行的纳税申报和税款缴纳情况开具个人所得税纳税记录。</w:t>
      </w:r>
    </w:p>
    <w:p>
      <w:pPr>
        <w:pStyle w:val="3"/>
        <w:ind w:firstLine="552"/>
        <w:rPr>
          <w:color w:val="auto"/>
        </w:rPr>
      </w:pPr>
      <w:r>
        <w:rPr>
          <w:rFonts w:hint="eastAsia"/>
          <w:color w:val="auto"/>
        </w:rPr>
        <w:t>四、设定依据</w:t>
      </w:r>
    </w:p>
    <w:p>
      <w:pPr>
        <w:pStyle w:val="47"/>
        <w:ind w:firstLineChars="0"/>
        <w:rPr>
          <w:rFonts w:hint="eastAsia" w:eastAsia="宋体"/>
          <w:color w:val="auto"/>
          <w:lang w:eastAsia="zh-CN"/>
        </w:rPr>
      </w:pPr>
      <w:r>
        <w:rPr>
          <w:rFonts w:hint="eastAsia"/>
          <w:color w:val="auto"/>
          <w:lang w:val="en-US" w:eastAsia="zh-CN"/>
        </w:rPr>
        <w:t>1.</w:t>
      </w:r>
      <w:r>
        <w:rPr>
          <w:rFonts w:hint="eastAsia"/>
          <w:color w:val="auto"/>
        </w:rPr>
        <w:t>《国家税务总局关于将个人所得税〈税收完税证明〉（文书式）调整为〈纳税记录〉有关事项的公告》（国家税务总局公告</w:t>
      </w:r>
      <w:r>
        <w:rPr>
          <w:color w:val="auto"/>
        </w:rPr>
        <w:t>2018年第55号）</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352"/>
              <w:rPr>
                <w:rFonts w:ascii="宋体" w:hAnsi="宋体"/>
                <w:color w:val="auto"/>
                <w:sz w:val="18"/>
                <w:szCs w:val="18"/>
              </w:rPr>
            </w:pPr>
            <w:r>
              <w:rPr>
                <w:rFonts w:hint="eastAsia" w:ascii="宋体" w:hAnsi="宋体" w:cs="微软雅黑"/>
                <w:color w:val="auto"/>
                <w:sz w:val="18"/>
                <w:szCs w:val="18"/>
              </w:rPr>
              <w:t>1</w:t>
            </w:r>
          </w:p>
        </w:tc>
        <w:tc>
          <w:tcPr>
            <w:tcW w:w="2551" w:type="dxa"/>
            <w:shd w:val="clear" w:color="auto" w:fill="auto"/>
            <w:vAlign w:val="center"/>
          </w:tcPr>
          <w:p>
            <w:pPr>
              <w:pStyle w:val="13"/>
              <w:widowControl/>
              <w:spacing w:before="100" w:after="100" w:line="280" w:lineRule="exact"/>
              <w:rPr>
                <w:rFonts w:hint="eastAsia" w:ascii="宋体" w:hAnsi="宋体" w:eastAsia="宋体" w:cs="宋体"/>
                <w:color w:val="auto"/>
                <w:sz w:val="18"/>
                <w:szCs w:val="18"/>
              </w:rPr>
            </w:pPr>
            <w:r>
              <w:rPr>
                <w:rFonts w:hint="eastAsia" w:ascii="宋体" w:hAnsi="宋体" w:eastAsia="宋体" w:cs="宋体"/>
                <w:color w:val="auto"/>
                <w:sz w:val="18"/>
                <w:szCs w:val="18"/>
              </w:rPr>
              <w:t>居民身份证或证明身份的合法证件</w:t>
            </w:r>
          </w:p>
        </w:tc>
        <w:tc>
          <w:tcPr>
            <w:tcW w:w="709" w:type="dxa"/>
            <w:shd w:val="clear" w:color="auto" w:fill="auto"/>
            <w:vAlign w:val="center"/>
          </w:tcPr>
          <w:p>
            <w:pPr>
              <w:pStyle w:val="13"/>
              <w:widowControl/>
              <w:spacing w:before="100" w:after="100"/>
              <w:ind w:firstLine="353"/>
              <w:rPr>
                <w:rFonts w:hint="eastAsia" w:ascii="宋体" w:hAnsi="宋体" w:eastAsia="宋体" w:cs="宋体"/>
                <w:color w:val="auto"/>
                <w:sz w:val="18"/>
                <w:szCs w:val="18"/>
              </w:rPr>
            </w:pPr>
            <w:r>
              <w:rPr>
                <w:rStyle w:val="17"/>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100" w:after="100"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必报</w:t>
            </w:r>
          </w:p>
        </w:tc>
        <w:tc>
          <w:tcPr>
            <w:tcW w:w="1134" w:type="dxa"/>
            <w:shd w:val="clear" w:color="auto" w:fill="auto"/>
            <w:vAlign w:val="center"/>
          </w:tcPr>
          <w:p>
            <w:pPr>
              <w:pStyle w:val="13"/>
              <w:widowControl/>
              <w:spacing w:before="100" w:after="100" w:line="280" w:lineRule="exact"/>
              <w:jc w:val="center"/>
              <w:rPr>
                <w:rFonts w:hint="eastAsia" w:ascii="宋体" w:hAnsi="宋体" w:eastAsia="宋体" w:cs="宋体"/>
                <w:color w:val="auto"/>
                <w:sz w:val="18"/>
                <w:szCs w:val="18"/>
              </w:rPr>
            </w:pPr>
          </w:p>
        </w:tc>
        <w:tc>
          <w:tcPr>
            <w:tcW w:w="1134" w:type="dxa"/>
            <w:vAlign w:val="center"/>
          </w:tcPr>
          <w:p>
            <w:pPr>
              <w:pStyle w:val="13"/>
              <w:widowControl/>
              <w:spacing w:before="100" w:after="100"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352"/>
              <w:rPr>
                <w:rFonts w:ascii="宋体" w:hAnsi="宋体" w:cs="微软雅黑"/>
                <w:color w:val="auto"/>
                <w:sz w:val="18"/>
                <w:szCs w:val="18"/>
              </w:rPr>
            </w:pPr>
            <w:r>
              <w:rPr>
                <w:rFonts w:hint="eastAsia" w:ascii="宋体" w:hAnsi="宋体" w:cs="微软雅黑"/>
                <w:color w:val="auto"/>
                <w:sz w:val="18"/>
                <w:szCs w:val="18"/>
              </w:rPr>
              <w:t>2</w:t>
            </w:r>
          </w:p>
        </w:tc>
        <w:tc>
          <w:tcPr>
            <w:tcW w:w="2551" w:type="dxa"/>
            <w:shd w:val="clear" w:color="auto" w:fill="auto"/>
            <w:vAlign w:val="center"/>
          </w:tcPr>
          <w:p>
            <w:pPr>
              <w:pStyle w:val="13"/>
              <w:widowControl/>
              <w:spacing w:before="100" w:after="100" w:line="280" w:lineRule="exact"/>
              <w:rPr>
                <w:rFonts w:hint="eastAsia" w:ascii="宋体" w:hAnsi="宋体" w:eastAsia="宋体" w:cs="宋体"/>
                <w:color w:val="auto"/>
                <w:sz w:val="18"/>
                <w:szCs w:val="18"/>
              </w:rPr>
            </w:pPr>
            <w:r>
              <w:rPr>
                <w:rFonts w:hint="eastAsia" w:ascii="宋体" w:hAnsi="宋体" w:eastAsia="宋体" w:cs="宋体"/>
                <w:color w:val="auto"/>
                <w:sz w:val="18"/>
                <w:szCs w:val="18"/>
              </w:rPr>
              <w:t>代理人居民身份证或合法身份证件</w:t>
            </w:r>
          </w:p>
        </w:tc>
        <w:tc>
          <w:tcPr>
            <w:tcW w:w="709" w:type="dxa"/>
            <w:shd w:val="clear" w:color="auto" w:fill="auto"/>
            <w:vAlign w:val="center"/>
          </w:tcPr>
          <w:p>
            <w:pPr>
              <w:pStyle w:val="13"/>
              <w:widowControl/>
              <w:spacing w:before="100" w:after="100"/>
              <w:ind w:firstLine="353"/>
              <w:rPr>
                <w:rStyle w:val="17"/>
                <w:rFonts w:hint="eastAsia" w:ascii="宋体" w:hAnsi="宋体" w:eastAsia="宋体" w:cs="宋体"/>
                <w:b w:val="0"/>
                <w:color w:val="auto"/>
                <w:sz w:val="18"/>
                <w:szCs w:val="18"/>
              </w:rPr>
            </w:pPr>
            <w:r>
              <w:rPr>
                <w:rStyle w:val="17"/>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100" w:after="100"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委托他人代为开具</w:t>
            </w:r>
          </w:p>
        </w:tc>
        <w:tc>
          <w:tcPr>
            <w:tcW w:w="1134" w:type="dxa"/>
            <w:vAlign w:val="center"/>
          </w:tcPr>
          <w:p>
            <w:pPr>
              <w:pStyle w:val="13"/>
              <w:widowControl/>
              <w:spacing w:before="100" w:after="100"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352"/>
              <w:rPr>
                <w:rFonts w:ascii="宋体" w:hAnsi="宋体" w:cs="微软雅黑"/>
                <w:color w:val="auto"/>
                <w:sz w:val="18"/>
                <w:szCs w:val="18"/>
              </w:rPr>
            </w:pPr>
            <w:r>
              <w:rPr>
                <w:rFonts w:hint="eastAsia" w:ascii="宋体" w:hAnsi="宋体" w:cs="微软雅黑"/>
                <w:color w:val="auto"/>
                <w:sz w:val="18"/>
                <w:szCs w:val="18"/>
              </w:rPr>
              <w:t>3.</w:t>
            </w:r>
          </w:p>
        </w:tc>
        <w:tc>
          <w:tcPr>
            <w:tcW w:w="2551" w:type="dxa"/>
            <w:shd w:val="clear" w:color="auto" w:fill="auto"/>
            <w:vAlign w:val="center"/>
          </w:tcPr>
          <w:p>
            <w:pPr>
              <w:pStyle w:val="13"/>
              <w:widowControl/>
              <w:spacing w:before="100" w:after="100" w:line="280" w:lineRule="exact"/>
              <w:rPr>
                <w:rFonts w:hint="eastAsia" w:ascii="宋体" w:hAnsi="宋体" w:eastAsia="宋体" w:cs="宋体"/>
                <w:color w:val="auto"/>
                <w:sz w:val="18"/>
                <w:szCs w:val="18"/>
              </w:rPr>
            </w:pPr>
            <w:r>
              <w:rPr>
                <w:rFonts w:hint="eastAsia" w:ascii="宋体" w:hAnsi="宋体" w:eastAsia="宋体" w:cs="宋体"/>
                <w:color w:val="auto"/>
                <w:sz w:val="18"/>
                <w:szCs w:val="18"/>
              </w:rPr>
              <w:t>委托代理书</w:t>
            </w:r>
          </w:p>
        </w:tc>
        <w:tc>
          <w:tcPr>
            <w:tcW w:w="709" w:type="dxa"/>
            <w:shd w:val="clear" w:color="auto" w:fill="auto"/>
            <w:vAlign w:val="center"/>
          </w:tcPr>
          <w:p>
            <w:pPr>
              <w:pStyle w:val="13"/>
              <w:widowControl/>
              <w:spacing w:before="100" w:after="100"/>
              <w:ind w:firstLine="353"/>
              <w:rPr>
                <w:rStyle w:val="17"/>
                <w:rFonts w:hint="eastAsia" w:ascii="宋体" w:hAnsi="宋体" w:eastAsia="宋体" w:cs="宋体"/>
                <w:b w:val="0"/>
                <w:color w:val="auto"/>
                <w:sz w:val="18"/>
                <w:szCs w:val="18"/>
              </w:rPr>
            </w:pPr>
            <w:r>
              <w:rPr>
                <w:rStyle w:val="17"/>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100" w:after="100"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委托他人代为开具</w:t>
            </w:r>
          </w:p>
        </w:tc>
        <w:tc>
          <w:tcPr>
            <w:tcW w:w="1134" w:type="dxa"/>
            <w:vAlign w:val="center"/>
          </w:tcPr>
          <w:p>
            <w:pPr>
              <w:pStyle w:val="13"/>
              <w:widowControl/>
              <w:spacing w:before="100" w:after="100" w:line="28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72" o:spid="_x0000_s1072" o:spt="75" type="#_x0000_t75" style="position:absolute;left:0pt;margin-left:8.6pt;margin-top:16.6pt;height:104.45pt;width:439.3pt;mso-wrap-distance-bottom:0pt;mso-wrap-distance-left:9pt;mso-wrap-distance-right:9pt;mso-wrap-distance-top:0pt;z-index:251791360;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72"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contextualSpacing/>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1.纳税人可就其税款所属期为2019年1月1日（含）以后的个人所得税税缴（退）税情况，向税务机关申请开具个人所得税《纳税记录》。税款所属期为2018年12月31日（含）以前的个人所得税税缴（退）税情况，税务机关继续开具个人所得税《税收完税证明》（文书式）。</w:t>
      </w:r>
    </w:p>
    <w:p>
      <w:pPr>
        <w:ind w:firstLine="472"/>
        <w:rPr>
          <w:color w:val="auto"/>
        </w:rPr>
      </w:pPr>
      <w:r>
        <w:rPr>
          <w:rFonts w:hint="eastAsia"/>
          <w:color w:val="auto"/>
        </w:rPr>
        <w:t>2.将附报资料中要求归档的资料及税务机关发放文书进行归档本税务事项在年度终了</w:t>
      </w:r>
      <w:r>
        <w:rPr>
          <w:color w:val="auto"/>
        </w:rPr>
        <w:t>3个月内办结。</w:t>
      </w:r>
    </w:p>
    <w:p>
      <w:pPr>
        <w:ind w:firstLine="472"/>
        <w:rPr>
          <w:color w:val="auto"/>
        </w:rPr>
      </w:pPr>
      <w:r>
        <w:rPr>
          <w:rFonts w:hint="eastAsia"/>
          <w:color w:val="auto"/>
        </w:rPr>
        <w:t>3.纳税人对报送资料的真实性和合法性承担责任。</w:t>
      </w:r>
    </w:p>
    <w:p>
      <w:pPr>
        <w:ind w:firstLine="472"/>
        <w:jc w:val="left"/>
        <w:rPr>
          <w:rFonts w:hint="eastAsia"/>
          <w:color w:val="auto"/>
        </w:rPr>
      </w:pPr>
      <w:r>
        <w:rPr>
          <w:rFonts w:hint="eastAsia"/>
          <w:color w:val="auto"/>
        </w:rPr>
        <w:t>4.最多跑一次是在资料完整且符合法定受理条件的前提下，最多只需要到税务机关跑一次。</w:t>
      </w:r>
    </w:p>
    <w:p>
      <w:pPr>
        <w:ind w:firstLine="472"/>
        <w:jc w:val="left"/>
        <w:rPr>
          <w:rFonts w:hint="eastAsia"/>
          <w:color w:val="auto"/>
        </w:rPr>
      </w:pPr>
      <w:r>
        <w:rPr>
          <w:rFonts w:hint="eastAsia"/>
          <w:color w:val="auto"/>
        </w:rPr>
        <w:t>5</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9481BA0"/>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2019-10-31T04:51:13Z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