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940"/>
      <w:r>
        <w:rPr>
          <w:rFonts w:hint="eastAsia" w:ascii="黑体" w:hAnsi="黑体"/>
          <w:color w:val="auto"/>
        </w:rPr>
        <w:t>2.5.2.5出口已使用过设备免退税申报核准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出口已使用过设备免退税申报核准</w:t>
      </w:r>
    </w:p>
    <w:p>
      <w:pPr>
        <w:pStyle w:val="3"/>
        <w:ind w:firstLine="552"/>
        <w:rPr>
          <w:color w:val="auto"/>
        </w:rPr>
      </w:pPr>
      <w:r>
        <w:rPr>
          <w:color w:val="auto"/>
        </w:rPr>
        <w:t>二、事项类别</w:t>
      </w:r>
    </w:p>
    <w:p>
      <w:pPr>
        <w:pStyle w:val="47"/>
        <w:numPr>
          <w:ilvl w:val="0"/>
          <w:numId w:val="3"/>
        </w:numPr>
        <w:ind w:firstLineChars="0"/>
        <w:rPr>
          <w:rFonts w:ascii="宋体" w:hAnsi="宋体" w:eastAsia="宋体"/>
          <w:color w:val="auto"/>
          <w:sz w:val="24"/>
          <w:szCs w:val="24"/>
        </w:rPr>
      </w:pPr>
      <w:r>
        <w:rPr>
          <w:rFonts w:hint="eastAsia" w:ascii="宋体" w:hAnsi="宋体" w:eastAsia="宋体"/>
          <w:color w:val="auto"/>
          <w:sz w:val="24"/>
          <w:szCs w:val="24"/>
        </w:rPr>
        <w:t>发起方式：人工发起（纳税人）</w:t>
      </w:r>
    </w:p>
    <w:p>
      <w:pPr>
        <w:pStyle w:val="47"/>
        <w:numPr>
          <w:ilvl w:val="0"/>
          <w:numId w:val="3"/>
        </w:numPr>
        <w:ind w:firstLineChars="0"/>
        <w:rPr>
          <w:rFonts w:ascii="宋体" w:hAnsi="宋体" w:eastAsia="宋体"/>
          <w:color w:val="auto"/>
          <w:sz w:val="24"/>
          <w:szCs w:val="24"/>
        </w:rPr>
      </w:pPr>
      <w:r>
        <w:rPr>
          <w:rFonts w:hint="eastAsia" w:ascii="宋体" w:hAnsi="宋体" w:eastAsia="宋体"/>
          <w:color w:val="auto"/>
          <w:sz w:val="24"/>
          <w:szCs w:val="24"/>
        </w:rPr>
        <w:t>办结方式：限时办结</w:t>
      </w:r>
    </w:p>
    <w:p>
      <w:pPr>
        <w:pStyle w:val="47"/>
        <w:numPr>
          <w:ilvl w:val="0"/>
          <w:numId w:val="3"/>
        </w:numPr>
        <w:ind w:firstLineChars="0"/>
        <w:rPr>
          <w:rFonts w:ascii="宋体" w:hAnsi="宋体" w:eastAsia="宋体"/>
          <w:color w:val="auto"/>
          <w:sz w:val="24"/>
          <w:szCs w:val="24"/>
        </w:rPr>
      </w:pPr>
      <w:r>
        <w:rPr>
          <w:rFonts w:hint="eastAsia" w:ascii="宋体" w:hAnsi="宋体" w:eastAsia="宋体"/>
          <w:color w:val="auto"/>
          <w:sz w:val="24"/>
          <w:szCs w:val="24"/>
        </w:rPr>
        <w:t>全省通办：否</w:t>
      </w:r>
    </w:p>
    <w:p>
      <w:pPr>
        <w:pStyle w:val="47"/>
        <w:numPr>
          <w:ilvl w:val="0"/>
          <w:numId w:val="3"/>
        </w:numPr>
        <w:ind w:firstLineChars="0"/>
        <w:rPr>
          <w:rFonts w:ascii="宋体" w:hAnsi="宋体" w:eastAsia="宋体"/>
          <w:color w:val="auto"/>
          <w:sz w:val="24"/>
          <w:szCs w:val="24"/>
        </w:rPr>
      </w:pPr>
      <w:r>
        <w:rPr>
          <w:rFonts w:hint="eastAsia" w:ascii="宋体" w:hAnsi="宋体" w:eastAsia="宋体"/>
          <w:color w:val="auto"/>
          <w:sz w:val="24"/>
          <w:szCs w:val="24"/>
        </w:rPr>
        <w:t>网上办理：是</w:t>
      </w:r>
    </w:p>
    <w:p>
      <w:pPr>
        <w:pStyle w:val="47"/>
        <w:numPr>
          <w:ilvl w:val="0"/>
          <w:numId w:val="3"/>
        </w:numPr>
        <w:ind w:firstLineChars="0"/>
        <w:rPr>
          <w:rFonts w:ascii="宋体" w:hAnsi="宋体" w:eastAsia="宋体"/>
          <w:color w:val="auto"/>
          <w:sz w:val="24"/>
          <w:szCs w:val="24"/>
        </w:rPr>
      </w:pPr>
      <w:r>
        <w:rPr>
          <w:rFonts w:hint="eastAsia" w:ascii="宋体" w:hAnsi="宋体" w:eastAsia="宋体"/>
          <w:color w:val="auto"/>
          <w:sz w:val="24"/>
          <w:szCs w:val="24"/>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出口企业对出口的未计算抵扣进项税额的已使用过设备，在报关出口之日起次月至次年4月30日前的各增值税纳税申报期内向主管税务机关申报增值税免退税，税务机关按照国家规定核准。</w:t>
      </w:r>
    </w:p>
    <w:p>
      <w:pPr>
        <w:ind w:firstLine="472"/>
        <w:rPr>
          <w:color w:val="auto"/>
        </w:rPr>
      </w:pPr>
      <w:r>
        <w:rPr>
          <w:rFonts w:hint="eastAsia"/>
          <w:color w:val="auto"/>
        </w:rPr>
        <w:t>已使用过的设备是指出口企业根据财务会计制度已经计提折旧的固定资产。本文事项涉及的已使用过的设备包括：出口企业出口的在2008年12月31日以前购进的设备、2009年1月1日以后购进但按照有关规定不得抵扣进项税额的设备、非增值税纳税人购进的设备，以及营业税改征增值税试点地区的出口企业出口在本企业试点以前购进的设备。</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《国家税务总局关于发布〈出口货物劳务增值税和消费税管理办法〉的公告》（国家税务总局公告2012年第24号）第七条第（三）项</w:t>
      </w:r>
    </w:p>
    <w:p>
      <w:pPr>
        <w:ind w:firstLine="472"/>
        <w:rPr>
          <w:rFonts w:hint="eastAsia"/>
          <w:color w:val="auto"/>
        </w:rPr>
      </w:pPr>
      <w:r>
        <w:rPr>
          <w:rFonts w:hint="eastAsia"/>
          <w:color w:val="auto"/>
          <w:lang w:eastAsia="zh-CN"/>
        </w:rPr>
        <w:t>“</w:t>
      </w:r>
      <w:r>
        <w:rPr>
          <w:rFonts w:hint="eastAsia"/>
          <w:color w:val="auto"/>
        </w:rPr>
        <w:t>（三）出口企业和其他单位出口的在2008年12月31日以前购进的设备、2009年1月1日以后购进但按照有关规定不得抵扣进项税额的设备、非增值税纳税人购进的设备，以及营业税改征增值税试点地区的出口企业和其他单位出口在本企业试点以前购进的设备，如果属于未计算抵扣进项税额的已使用过的设备，均实行增值税免退税办法。</w:t>
      </w:r>
    </w:p>
    <w:p>
      <w:pPr>
        <w:ind w:firstLine="472"/>
        <w:rPr>
          <w:rFonts w:hint="eastAsia"/>
          <w:color w:val="auto"/>
        </w:rPr>
      </w:pPr>
      <w:r>
        <w:rPr>
          <w:rFonts w:hint="eastAsia"/>
          <w:color w:val="auto"/>
        </w:rPr>
        <w:t>出口企业和其他单位应在货物报关出口之日次月起至次年4月30日前的各增值税纳税申报期内，向主管税务机关单独申报退税。逾期的，出口企业和其他单位不得申报退税。申报退税时应填报《出口已使用过的设备退税申报表》（见附件19），提供正式申报电子数据及下列资料：</w:t>
      </w:r>
    </w:p>
    <w:p>
      <w:pPr>
        <w:rPr>
          <w:rFonts w:hint="eastAsia"/>
          <w:color w:val="auto"/>
        </w:rPr>
      </w:pPr>
      <w:r>
        <w:rPr>
          <w:rFonts w:hint="eastAsia"/>
          <w:color w:val="auto"/>
        </w:rPr>
        <w:t>1.出口货物报关单；</w:t>
      </w:r>
    </w:p>
    <w:p>
      <w:pPr>
        <w:ind w:firstLine="472"/>
        <w:rPr>
          <w:rFonts w:hint="eastAsia"/>
          <w:color w:val="auto"/>
        </w:rPr>
      </w:pPr>
      <w:r>
        <w:rPr>
          <w:rFonts w:hint="eastAsia"/>
          <w:color w:val="auto"/>
        </w:rPr>
        <w:t>2.委托出口的货物，还应提供受托方主管税务机关签发的代理出口货物证明，以及代理出口协议；</w:t>
      </w:r>
    </w:p>
    <w:p>
      <w:pPr>
        <w:ind w:firstLine="472"/>
        <w:rPr>
          <w:rFonts w:hint="eastAsia"/>
          <w:color w:val="auto"/>
        </w:rPr>
      </w:pPr>
      <w:r>
        <w:rPr>
          <w:rFonts w:hint="eastAsia"/>
          <w:color w:val="auto"/>
        </w:rPr>
        <w:t>3.增值税专用发票（抵扣联）或海关进口增值税专用缴款书；</w:t>
      </w:r>
    </w:p>
    <w:p>
      <w:pPr>
        <w:ind w:firstLine="472"/>
        <w:rPr>
          <w:rFonts w:hint="eastAsia" w:eastAsia="宋体"/>
          <w:color w:val="auto"/>
          <w:lang w:eastAsia="zh-CN"/>
        </w:rPr>
      </w:pPr>
      <w:r>
        <w:rPr>
          <w:rFonts w:hint="eastAsia"/>
          <w:color w:val="auto"/>
        </w:rPr>
        <w:t>4.《出口已使用过的设备折旧情况确认表》（见附件20）；</w:t>
      </w:r>
      <w:r>
        <w:rPr>
          <w:rFonts w:hint="eastAsia"/>
          <w:color w:val="auto"/>
          <w:lang w:eastAsia="zh-CN"/>
        </w:rPr>
        <w:t>”</w:t>
      </w:r>
    </w:p>
    <w:p>
      <w:pPr>
        <w:pStyle w:val="3"/>
        <w:ind w:firstLine="552"/>
        <w:rPr>
          <w:color w:val="auto"/>
        </w:rPr>
      </w:pPr>
      <w:r>
        <w:rPr>
          <w:rFonts w:hint="eastAsia"/>
          <w:color w:val="auto"/>
        </w:rPr>
        <w:t>五、办理材料</w:t>
      </w:r>
    </w:p>
    <w:tbl>
      <w:tblPr>
        <w:tblStyle w:val="15"/>
        <w:tblW w:w="8641"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2083"/>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Fonts w:ascii="宋体" w:hAnsi="宋体" w:eastAsia="宋体"/>
                <w:b/>
                <w:color w:val="auto"/>
                <w:sz w:val="18"/>
                <w:szCs w:val="18"/>
              </w:rPr>
            </w:pPr>
            <w:r>
              <w:rPr>
                <w:rStyle w:val="17"/>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100" w:after="100"/>
              <w:jc w:val="center"/>
              <w:rPr>
                <w:rFonts w:ascii="宋体" w:hAnsi="宋体" w:eastAsia="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ascii="宋体" w:hAnsi="宋体" w:eastAsia="宋体"/>
                <w:b/>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jc w:val="center"/>
              <w:rPr>
                <w:rFonts w:ascii="宋体" w:hAnsi="宋体" w:eastAsia="宋体"/>
                <w:b/>
                <w:color w:val="auto"/>
                <w:sz w:val="18"/>
                <w:szCs w:val="18"/>
              </w:rPr>
            </w:pPr>
            <w:r>
              <w:rPr>
                <w:rStyle w:val="17"/>
                <w:rFonts w:hint="eastAsia" w:ascii="宋体" w:hAnsi="宋体" w:eastAsia="宋体" w:cs="微软雅黑"/>
                <w:color w:val="auto"/>
                <w:sz w:val="18"/>
                <w:szCs w:val="18"/>
              </w:rPr>
              <w:t>报送类型</w:t>
            </w:r>
          </w:p>
        </w:tc>
        <w:tc>
          <w:tcPr>
            <w:tcW w:w="2083" w:type="dxa"/>
            <w:shd w:val="clear" w:color="auto" w:fill="auto"/>
            <w:vAlign w:val="center"/>
          </w:tcPr>
          <w:p>
            <w:pPr>
              <w:pStyle w:val="13"/>
              <w:widowControl/>
              <w:spacing w:before="100" w:after="100"/>
              <w:jc w:val="center"/>
              <w:rPr>
                <w:rFonts w:ascii="宋体" w:hAnsi="宋体" w:eastAsia="宋体"/>
                <w:b/>
                <w:color w:val="auto"/>
                <w:sz w:val="18"/>
                <w:szCs w:val="18"/>
              </w:rPr>
            </w:pPr>
            <w:r>
              <w:rPr>
                <w:rStyle w:val="17"/>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7"/>
                <w:rFonts w:ascii="宋体" w:hAnsi="宋体" w:eastAsia="宋体" w:cs="微软雅黑"/>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jc w:val="center"/>
              <w:rPr>
                <w:rFonts w:ascii="宋体" w:hAnsi="宋体" w:eastAsia="宋体" w:cs="宋体"/>
                <w:color w:val="auto"/>
                <w:sz w:val="18"/>
                <w:szCs w:val="18"/>
              </w:rPr>
            </w:pPr>
            <w:r>
              <w:rPr>
                <w:rFonts w:ascii="宋体" w:hAnsi="宋体" w:eastAsia="宋体" w:cs="宋体"/>
                <w:color w:val="auto"/>
                <w:sz w:val="18"/>
                <w:szCs w:val="18"/>
              </w:rPr>
              <w:t>1</w:t>
            </w:r>
          </w:p>
        </w:tc>
        <w:tc>
          <w:tcPr>
            <w:tcW w:w="2028" w:type="dxa"/>
            <w:tcBorders>
              <w:top w:val="outset" w:color="auto" w:sz="4" w:space="0"/>
              <w:left w:val="outset" w:color="auto" w:sz="4" w:space="0"/>
              <w:bottom w:val="outset" w:color="auto" w:sz="4" w:space="0"/>
              <w:right w:val="outset" w:color="auto" w:sz="4" w:space="0"/>
            </w:tcBorders>
            <w:shd w:val="clear" w:color="auto" w:fill="auto"/>
            <w:vAlign w:val="center"/>
          </w:tcPr>
          <w:p>
            <w:pPr>
              <w:widowControl/>
              <w:spacing w:line="280" w:lineRule="exact"/>
              <w:ind w:firstLine="0" w:firstLineChars="0"/>
              <w:jc w:val="left"/>
              <w:rPr>
                <w:rFonts w:cs="宋体"/>
                <w:color w:val="auto"/>
                <w:sz w:val="18"/>
                <w:szCs w:val="18"/>
              </w:rPr>
            </w:pPr>
            <w:r>
              <w:rPr>
                <w:rFonts w:hint="eastAsia" w:cs="宋体"/>
                <w:color w:val="auto"/>
                <w:kern w:val="0"/>
                <w:sz w:val="18"/>
                <w:szCs w:val="18"/>
              </w:rPr>
              <w:t>出口货物退（免）税正式申报电子数据</w:t>
            </w:r>
          </w:p>
        </w:tc>
        <w:tc>
          <w:tcPr>
            <w:tcW w:w="850"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851"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2083"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jc w:val="center"/>
              <w:rPr>
                <w:rFonts w:ascii="宋体" w:hAnsi="宋体" w:eastAsia="宋体" w:cs="宋体"/>
                <w:color w:val="auto"/>
                <w:sz w:val="18"/>
                <w:szCs w:val="18"/>
              </w:rPr>
            </w:pPr>
          </w:p>
        </w:tc>
        <w:tc>
          <w:tcPr>
            <w:tcW w:w="1318"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税务机关留存</w:t>
            </w:r>
          </w:p>
        </w:tc>
        <w:tc>
          <w:tcPr>
            <w:tcW w:w="850" w:type="dxa"/>
            <w:tcBorders>
              <w:top w:val="outset" w:color="auto" w:sz="4" w:space="0"/>
              <w:left w:val="outset" w:color="auto" w:sz="4" w:space="0"/>
              <w:bottom w:val="outset" w:color="auto" w:sz="4" w:space="0"/>
              <w:right w:val="outset" w:color="auto" w:sz="4" w:space="0"/>
            </w:tcBorders>
          </w:tcPr>
          <w:p>
            <w:pPr>
              <w:pStyle w:val="13"/>
              <w:widowControl/>
              <w:spacing w:before="100" w:after="10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2</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《出口已使用过的设备退税申报表》</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3</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2083"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p>
        </w:tc>
        <w:tc>
          <w:tcPr>
            <w:tcW w:w="1318"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lang w:eastAsia="zh-CN"/>
              </w:rPr>
              <w:t>税务机关留存</w:t>
            </w:r>
            <w:r>
              <w:rPr>
                <w:rFonts w:hint="eastAsia" w:ascii="宋体" w:hAnsi="宋体" w:eastAsia="宋体" w:cs="宋体"/>
                <w:color w:val="auto"/>
                <w:sz w:val="18"/>
                <w:szCs w:val="18"/>
              </w:rPr>
              <w:t>2份</w:t>
            </w:r>
          </w:p>
        </w:tc>
        <w:tc>
          <w:tcPr>
            <w:tcW w:w="850" w:type="dxa"/>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3</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《出口已使用过的设备折旧情况确认表》</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3</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2083"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p>
        </w:tc>
        <w:tc>
          <w:tcPr>
            <w:tcW w:w="1318"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lang w:eastAsia="zh-CN"/>
              </w:rPr>
              <w:t>税务机关留存</w:t>
            </w:r>
            <w:r>
              <w:rPr>
                <w:rFonts w:hint="eastAsia" w:ascii="宋体" w:hAnsi="宋体" w:eastAsia="宋体" w:cs="宋体"/>
                <w:color w:val="auto"/>
                <w:sz w:val="18"/>
                <w:szCs w:val="18"/>
              </w:rPr>
              <w:t>2份</w:t>
            </w:r>
          </w:p>
        </w:tc>
        <w:tc>
          <w:tcPr>
            <w:tcW w:w="850" w:type="dxa"/>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ascii="宋体" w:hAnsi="宋体" w:eastAsia="宋体" w:cs="宋体"/>
                <w:color w:val="auto"/>
                <w:sz w:val="18"/>
                <w:szCs w:val="18"/>
              </w:rPr>
              <w:t>4</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《海关出口商品代码、名称、退税率调整对应表》</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3</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条件报送</w:t>
            </w:r>
          </w:p>
        </w:tc>
        <w:tc>
          <w:tcPr>
            <w:tcW w:w="2083"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企业申报数据与出口报关单（出口退税）不一致时。</w:t>
            </w:r>
          </w:p>
        </w:tc>
        <w:tc>
          <w:tcPr>
            <w:tcW w:w="1318"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lang w:eastAsia="zh-CN"/>
              </w:rPr>
              <w:t>税务机关留存</w:t>
            </w:r>
            <w:r>
              <w:rPr>
                <w:rFonts w:hint="eastAsia" w:ascii="宋体" w:hAnsi="宋体" w:eastAsia="宋体" w:cs="宋体"/>
                <w:color w:val="auto"/>
                <w:sz w:val="18"/>
                <w:szCs w:val="18"/>
              </w:rPr>
              <w:t>2份</w:t>
            </w:r>
          </w:p>
        </w:tc>
        <w:tc>
          <w:tcPr>
            <w:tcW w:w="850" w:type="dxa"/>
            <w:vAlign w:val="center"/>
          </w:tcPr>
          <w:p>
            <w:pPr>
              <w:pStyle w:val="13"/>
              <w:widowControl/>
              <w:spacing w:beforeAutospacing="0" w:afterAutospacing="0" w:line="280" w:lineRule="exact"/>
              <w:jc w:val="center"/>
              <w:rPr>
                <w:rFonts w:ascii="宋体" w:hAnsi="宋体" w:eastAsia="宋体" w:cs="宋体"/>
                <w:color w:val="auto"/>
                <w:sz w:val="18"/>
                <w:szCs w:val="18"/>
              </w:rPr>
            </w:pPr>
          </w:p>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415"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6</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增值税专用发票（抵扣联）</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条件报送</w:t>
            </w:r>
          </w:p>
        </w:tc>
        <w:tc>
          <w:tcPr>
            <w:tcW w:w="2083"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国内购进设备</w:t>
            </w:r>
          </w:p>
        </w:tc>
        <w:tc>
          <w:tcPr>
            <w:tcW w:w="1318" w:type="dxa"/>
            <w:shd w:val="clear" w:color="auto" w:fill="auto"/>
            <w:vAlign w:val="center"/>
          </w:tcPr>
          <w:p>
            <w:pPr>
              <w:pStyle w:val="13"/>
              <w:widowControl/>
              <w:spacing w:beforeAutospacing="0" w:afterAutospacing="0" w:line="280" w:lineRule="exact"/>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税务机关留存</w:t>
            </w:r>
          </w:p>
        </w:tc>
        <w:tc>
          <w:tcPr>
            <w:tcW w:w="850" w:type="dxa"/>
            <w:vAlign w:val="center"/>
          </w:tcPr>
          <w:p>
            <w:pPr>
              <w:pStyle w:val="13"/>
              <w:widowControl/>
              <w:spacing w:beforeAutospacing="0" w:afterAutospacing="0" w:line="280" w:lineRule="exact"/>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1657" w:hRule="atLeast"/>
          <w:tblCellSpacing w:w="0" w:type="dxa"/>
          <w:jc w:val="center"/>
        </w:trPr>
        <w:tc>
          <w:tcPr>
            <w:tcW w:w="66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7</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海关进口增值税专用缴款书</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条件报送</w:t>
            </w:r>
          </w:p>
        </w:tc>
        <w:tc>
          <w:tcPr>
            <w:tcW w:w="2083" w:type="dxa"/>
            <w:shd w:val="clear" w:color="auto" w:fill="auto"/>
            <w:vAlign w:val="center"/>
          </w:tcPr>
          <w:p>
            <w:pPr>
              <w:ind w:firstLine="0" w:firstLineChars="0"/>
              <w:jc w:val="center"/>
              <w:rPr>
                <w:rFonts w:cs="宋体"/>
                <w:color w:val="auto"/>
                <w:kern w:val="0"/>
                <w:sz w:val="18"/>
                <w:szCs w:val="18"/>
              </w:rPr>
            </w:pPr>
            <w:r>
              <w:rPr>
                <w:rFonts w:hint="eastAsia" w:cs="宋体"/>
                <w:color w:val="auto"/>
                <w:kern w:val="0"/>
                <w:sz w:val="18"/>
                <w:szCs w:val="18"/>
              </w:rPr>
              <w:t>进口设备</w:t>
            </w:r>
          </w:p>
        </w:tc>
        <w:tc>
          <w:tcPr>
            <w:tcW w:w="1318" w:type="dxa"/>
            <w:shd w:val="clear" w:color="auto" w:fill="auto"/>
            <w:vAlign w:val="center"/>
          </w:tcPr>
          <w:p>
            <w:pPr>
              <w:pStyle w:val="13"/>
              <w:widowControl/>
              <w:spacing w:beforeAutospacing="0" w:afterAutospacing="0" w:line="280" w:lineRule="exact"/>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税务机关留存</w:t>
            </w:r>
          </w:p>
        </w:tc>
        <w:tc>
          <w:tcPr>
            <w:tcW w:w="850" w:type="dxa"/>
            <w:vAlign w:val="center"/>
          </w:tcPr>
          <w:p>
            <w:pPr>
              <w:pStyle w:val="13"/>
              <w:widowControl/>
              <w:spacing w:beforeAutospacing="0" w:afterAutospacing="0" w:line="280" w:lineRule="exact"/>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是</w:t>
            </w:r>
          </w:p>
        </w:tc>
      </w:tr>
    </w:tbl>
    <w:p>
      <w:pPr>
        <w:ind w:firstLine="471" w:firstLineChars="0"/>
        <w:rPr>
          <w:rFonts w:hint="eastAsia"/>
          <w:color w:val="auto"/>
        </w:rPr>
      </w:pPr>
    </w:p>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174" o:spt="75" type="#_x0000_t75" style="height:104.45pt;width:439.3pt;" o:ole="t" filled="f" o:preferrelative="t" stroked="f" coordsize="21600,21600">
            <v:path/>
            <v:fill on="f" focussize="0,0"/>
            <v:stroke on="f"/>
            <v:imagedata r:id="rId10" o:title=""/>
            <o:lock v:ext="edit" aspectratio="f"/>
            <w10:wrap type="none"/>
            <w10:anchorlock/>
          </v:shape>
          <o:OLEObject Type="Embed" ProgID="Visio.Drawing.11" ShapeID="_x0000_i1174" DrawAspect="Content" ObjectID="_1468075725">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资料齐全、符合法定形式的，税务机关受理后：5个工作日、10个工作日、15个工作日、20个工作日(根据出口企业类别不同）</w:t>
      </w:r>
      <w:r>
        <w:rPr>
          <w:rFonts w:hint="eastAsia"/>
          <w:color w:val="auto"/>
          <w:lang w:eastAsia="zh-CN"/>
        </w:rPr>
        <w:t>办结</w:t>
      </w:r>
      <w:r>
        <w:rPr>
          <w:rFonts w:hint="eastAsia"/>
          <w:color w:val="auto"/>
        </w:rPr>
        <w:t>。</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1.A06314《出口已使用过的设备退税申报表》</w:t>
      </w:r>
    </w:p>
    <w:p>
      <w:pPr>
        <w:ind w:firstLine="472"/>
        <w:rPr>
          <w:rFonts w:hint="eastAsia"/>
          <w:color w:val="auto"/>
        </w:rPr>
      </w:pPr>
      <w:r>
        <w:rPr>
          <w:rFonts w:hint="eastAsia"/>
          <w:color w:val="auto"/>
          <w:lang w:val="en-US" w:eastAsia="zh-CN"/>
        </w:rPr>
        <w:t>2.</w:t>
      </w:r>
      <w:r>
        <w:rPr>
          <w:rFonts w:hint="eastAsia"/>
          <w:color w:val="auto"/>
        </w:rPr>
        <w:t>A06173《出口已使用过的设备折旧情况确认表》</w:t>
      </w:r>
    </w:p>
    <w:p>
      <w:pPr>
        <w:ind w:firstLine="472"/>
        <w:rPr>
          <w:rFonts w:hint="default"/>
          <w:color w:val="auto"/>
          <w:lang w:val="en-US" w:eastAsia="zh-CN"/>
        </w:rPr>
      </w:pPr>
      <w:r>
        <w:rPr>
          <w:rFonts w:hint="eastAsia"/>
          <w:color w:val="auto"/>
          <w:lang w:val="en-US" w:eastAsia="zh-CN"/>
        </w:rPr>
        <w:t>3.</w:t>
      </w:r>
      <w:r>
        <w:rPr>
          <w:rFonts w:hint="eastAsia"/>
          <w:color w:val="auto"/>
        </w:rPr>
        <w:t>A06374《海关出口商品代码、名称、退税率调整对应表》(A06374《海关出口商品代码、名称、退税率调整对应表》（填写样例）)</w:t>
      </w:r>
    </w:p>
    <w:p>
      <w:pPr>
        <w:pStyle w:val="3"/>
        <w:ind w:firstLine="552"/>
        <w:rPr>
          <w:color w:val="auto"/>
        </w:rPr>
      </w:pPr>
      <w:r>
        <w:rPr>
          <w:rFonts w:hint="eastAsia"/>
          <w:color w:val="auto"/>
        </w:rPr>
        <w:t>九、注意事项</w:t>
      </w:r>
    </w:p>
    <w:p>
      <w:pPr>
        <w:ind w:firstLine="472"/>
        <w:rPr>
          <w:color w:val="auto"/>
          <w:szCs w:val="24"/>
        </w:rPr>
      </w:pPr>
      <w:r>
        <w:rPr>
          <w:rFonts w:hint="eastAsia"/>
          <w:color w:val="auto"/>
          <w:szCs w:val="24"/>
        </w:rPr>
        <w:t>本事项限时办结。</w:t>
      </w:r>
    </w:p>
    <w:tbl>
      <w:tblPr>
        <w:tblStyle w:val="15"/>
        <w:tblW w:w="8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1701"/>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047" w:type="dxa"/>
            <w:tcBorders>
              <w:top w:val="single" w:color="auto" w:sz="12" w:space="0"/>
              <w:left w:val="single" w:color="auto" w:sz="12" w:space="0"/>
              <w:bottom w:val="single" w:color="auto" w:sz="6" w:space="0"/>
              <w:right w:val="single" w:color="auto" w:sz="6" w:space="0"/>
              <w:tl2br w:val="single" w:color="auto" w:sz="8" w:space="0"/>
            </w:tcBorders>
          </w:tcPr>
          <w:p>
            <w:pPr>
              <w:pStyle w:val="92"/>
              <w:ind w:firstLine="472"/>
              <w:jc w:val="right"/>
              <w:rPr>
                <w:rFonts w:ascii="宋体" w:hAnsi="宋体"/>
                <w:color w:val="auto"/>
              </w:rPr>
            </w:pPr>
            <w:r>
              <w:rPr>
                <w:rFonts w:hint="eastAsia" w:ascii="宋体" w:hAnsi="宋体"/>
                <w:color w:val="auto"/>
              </w:rPr>
              <w:t>信用状况</w:t>
            </w:r>
          </w:p>
          <w:p>
            <w:pPr>
              <w:pStyle w:val="92"/>
              <w:ind w:firstLine="472"/>
              <w:jc w:val="both"/>
              <w:rPr>
                <w:rFonts w:ascii="宋体" w:hAnsi="宋体"/>
                <w:color w:val="auto"/>
              </w:rPr>
            </w:pPr>
            <w:r>
              <w:rPr>
                <w:rFonts w:hint="eastAsia" w:ascii="宋体" w:hAnsi="宋体"/>
                <w:color w:val="auto"/>
              </w:rPr>
              <w:t>差异化</w:t>
            </w:r>
            <w:r>
              <w:rPr>
                <w:rFonts w:ascii="宋体" w:hAnsi="宋体"/>
                <w:color w:val="auto"/>
              </w:rPr>
              <w:t>规则</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一类</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二类</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三类</w:t>
            </w:r>
          </w:p>
        </w:tc>
        <w:tc>
          <w:tcPr>
            <w:tcW w:w="1701" w:type="dxa"/>
            <w:tcBorders>
              <w:top w:val="single" w:color="auto" w:sz="12" w:space="0"/>
              <w:left w:val="single" w:color="auto" w:sz="6" w:space="0"/>
              <w:bottom w:val="single" w:color="auto" w:sz="6" w:space="0"/>
              <w:right w:val="single" w:color="auto" w:sz="12" w:space="0"/>
            </w:tcBorders>
            <w:vAlign w:val="center"/>
          </w:tcPr>
          <w:p>
            <w:pPr>
              <w:ind w:firstLine="353"/>
              <w:jc w:val="center"/>
              <w:rPr>
                <w:b/>
                <w:color w:val="auto"/>
                <w:kern w:val="0"/>
                <w:sz w:val="18"/>
                <w:szCs w:val="24"/>
              </w:rPr>
            </w:pPr>
            <w:r>
              <w:rPr>
                <w:rFonts w:hint="eastAsia"/>
                <w:b/>
                <w:color w:val="auto"/>
                <w:kern w:val="0"/>
                <w:sz w:val="18"/>
                <w:szCs w:val="24"/>
              </w:rPr>
              <w:t>四类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47" w:type="dxa"/>
            <w:tcBorders>
              <w:top w:val="single" w:color="auto" w:sz="6" w:space="0"/>
              <w:left w:val="single" w:color="auto" w:sz="12" w:space="0"/>
              <w:bottom w:val="single" w:color="auto" w:sz="12" w:space="0"/>
              <w:right w:val="single" w:color="auto" w:sz="6" w:space="0"/>
            </w:tcBorders>
            <w:vAlign w:val="center"/>
          </w:tcPr>
          <w:p>
            <w:pPr>
              <w:pStyle w:val="92"/>
              <w:ind w:firstLine="472"/>
              <w:rPr>
                <w:rFonts w:ascii="宋体" w:hAnsi="宋体"/>
                <w:color w:val="auto"/>
              </w:rPr>
            </w:pPr>
            <w:r>
              <w:rPr>
                <w:rFonts w:hint="eastAsia" w:ascii="宋体" w:hAnsi="宋体"/>
                <w:color w:val="auto"/>
              </w:rPr>
              <w:t>办理期限</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5个工作日</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10个工作日</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15个工作日</w:t>
            </w:r>
          </w:p>
        </w:tc>
        <w:tc>
          <w:tcPr>
            <w:tcW w:w="1701" w:type="dxa"/>
            <w:tcBorders>
              <w:top w:val="single" w:color="auto" w:sz="6" w:space="0"/>
              <w:left w:val="single" w:color="auto" w:sz="6" w:space="0"/>
              <w:bottom w:val="single" w:color="auto" w:sz="12" w:space="0"/>
              <w:right w:val="single" w:color="auto" w:sz="12" w:space="0"/>
            </w:tcBorders>
          </w:tcPr>
          <w:p>
            <w:pPr>
              <w:ind w:firstLine="352"/>
              <w:jc w:val="center"/>
              <w:rPr>
                <w:color w:val="auto"/>
                <w:kern w:val="0"/>
                <w:sz w:val="18"/>
                <w:szCs w:val="24"/>
              </w:rPr>
            </w:pPr>
            <w:r>
              <w:rPr>
                <w:rFonts w:hint="eastAsia"/>
                <w:color w:val="auto"/>
                <w:kern w:val="0"/>
                <w:sz w:val="18"/>
                <w:szCs w:val="24"/>
              </w:rPr>
              <w:t>20个工作日</w:t>
            </w:r>
          </w:p>
        </w:tc>
      </w:tr>
    </w:tbl>
    <w:p>
      <w:pPr>
        <w:ind w:firstLine="472"/>
        <w:rPr>
          <w:rFonts w:asciiTheme="minorEastAsia" w:hAnsiTheme="minorEastAsia"/>
          <w:color w:val="auto"/>
          <w:szCs w:val="24"/>
        </w:rPr>
      </w:pPr>
      <w:r>
        <w:rPr>
          <w:rFonts w:hint="eastAsia"/>
          <w:color w:val="auto"/>
          <w:szCs w:val="24"/>
        </w:rPr>
        <w:t>发生发函核实等国家税务总局文件中规定的特殊情形，可不受此办结时限限制。</w:t>
      </w:r>
    </w:p>
    <w:p>
      <w:pPr>
        <w:ind w:firstLine="472"/>
        <w:rPr>
          <w:rFonts w:hint="eastAsia"/>
          <w:color w:val="auto"/>
        </w:rPr>
      </w:pPr>
      <w:r>
        <w:rPr>
          <w:rFonts w:hint="eastAsia"/>
          <w:color w:val="auto"/>
        </w:rPr>
        <w:t>1.纳税人对报送材料的真实性和合法性承担责任。</w:t>
      </w:r>
    </w:p>
    <w:p>
      <w:pPr>
        <w:ind w:firstLine="472"/>
        <w:rPr>
          <w:rFonts w:hint="eastAsia"/>
          <w:color w:val="auto"/>
        </w:rPr>
      </w:pPr>
      <w:r>
        <w:rPr>
          <w:rFonts w:hint="eastAsia"/>
          <w:color w:val="auto"/>
        </w:rPr>
        <w:t>2.文书表单可在省（自治区、直辖市和计划单列市）税务局网站“下载中心”栏目查询下载或到办税服务厅领取。</w:t>
      </w:r>
    </w:p>
    <w:p>
      <w:pPr>
        <w:ind w:firstLine="472"/>
        <w:rPr>
          <w:rFonts w:hint="eastAsia"/>
          <w:color w:val="auto"/>
        </w:rPr>
      </w:pPr>
      <w:r>
        <w:rPr>
          <w:rFonts w:hint="eastAsia"/>
          <w:color w:val="auto"/>
        </w:rPr>
        <w:t>3.纳税人使用符合电子签名法规定条件的电子签名，与手写签名或者盖章具有同等法律效力。</w:t>
      </w:r>
    </w:p>
    <w:p>
      <w:pPr>
        <w:ind w:firstLine="472"/>
        <w:rPr>
          <w:rFonts w:hint="eastAsia"/>
          <w:color w:val="auto"/>
        </w:rPr>
      </w:pPr>
      <w:r>
        <w:rPr>
          <w:rFonts w:hint="eastAsia"/>
          <w:color w:val="auto"/>
        </w:rPr>
        <w:t>4.纳税人提供的各项资料为复印件的，均须注明“与原件一致”并签章。</w:t>
      </w:r>
    </w:p>
    <w:p>
      <w:pPr>
        <w:ind w:firstLine="472"/>
        <w:rPr>
          <w:color w:val="auto"/>
        </w:rPr>
      </w:pPr>
      <w:r>
        <w:rPr>
          <w:rFonts w:hint="eastAsia"/>
          <w:color w:val="auto"/>
        </w:rPr>
        <w:t>5.无纸化企业只应报送通过税控数字证书签名后的申报电子数据，相关纸质申报资料留存备查。。</w:t>
      </w:r>
    </w:p>
    <w:p>
      <w:pPr>
        <w:ind w:firstLine="472"/>
        <w:jc w:val="left"/>
        <w:rPr>
          <w:rFonts w:hint="eastAsia"/>
          <w:color w:val="auto"/>
        </w:rPr>
      </w:pPr>
      <w:r>
        <w:rPr>
          <w:rFonts w:hint="eastAsia"/>
          <w:color w:val="auto"/>
          <w:lang w:val="en-US" w:eastAsia="zh-CN"/>
        </w:rPr>
        <w:t>6</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CDD4F64"/>
    <w:multiLevelType w:val="multilevel"/>
    <w:tmpl w:val="2CDD4F64"/>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8CE531F"/>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2019-10-31T05:11:21Z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