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ascii="黑体" w:hAnsi="黑体"/>
          <w:color w:val="auto"/>
        </w:rPr>
      </w:pPr>
      <w:bookmarkStart w:id="1" w:name="_GoBack"/>
      <w:bookmarkEnd w:id="1"/>
      <w:bookmarkStart w:id="0" w:name="_Toc27914"/>
      <w:r>
        <w:rPr>
          <w:rFonts w:hint="default" w:ascii="黑体" w:hAnsi="黑体"/>
          <w:color w:val="auto"/>
        </w:rPr>
        <w:t>3.2.4.4.1</w:t>
      </w:r>
      <w:r>
        <w:rPr>
          <w:rFonts w:hint="eastAsia" w:ascii="黑体" w:hAnsi="黑体"/>
          <w:color w:val="auto"/>
        </w:rPr>
        <w:t>0特别纳税调查</w:t>
      </w:r>
      <w:r>
        <w:rPr>
          <w:rFonts w:hint="default" w:ascii="黑体" w:hAnsi="黑体"/>
          <w:color w:val="auto"/>
        </w:rPr>
        <w:t>自行调整</w:t>
      </w:r>
      <w:bookmarkEnd w:id="0"/>
    </w:p>
    <w:p>
      <w:pPr>
        <w:pStyle w:val="3"/>
        <w:ind w:firstLine="552"/>
        <w:rPr>
          <w:color w:val="auto"/>
        </w:rPr>
      </w:pPr>
      <w:r>
        <w:rPr>
          <w:color w:val="auto"/>
        </w:rPr>
        <w:t>一、事项名称</w:t>
      </w:r>
    </w:p>
    <w:p>
      <w:pPr>
        <w:ind w:left="0" w:leftChars="0" w:firstLine="472" w:firstLineChars="200"/>
        <w:rPr>
          <w:rFonts w:hint="eastAsia"/>
          <w:color w:val="auto"/>
        </w:rPr>
      </w:pPr>
      <w:r>
        <w:rPr>
          <w:rFonts w:hint="eastAsia"/>
          <w:color w:val="auto"/>
        </w:rPr>
        <w:t>特别纳税调查自行调整</w:t>
      </w:r>
    </w:p>
    <w:p>
      <w:pPr>
        <w:pStyle w:val="3"/>
        <w:ind w:firstLine="552"/>
        <w:rPr>
          <w:color w:val="auto"/>
        </w:rPr>
      </w:pPr>
      <w:r>
        <w:rPr>
          <w:color w:val="auto"/>
        </w:rPr>
        <w:t>二、事项类别</w:t>
      </w:r>
    </w:p>
    <w:p>
      <w:pPr>
        <w:pStyle w:val="47"/>
        <w:numPr>
          <w:ilvl w:val="0"/>
          <w:numId w:val="3"/>
        </w:numPr>
        <w:ind w:left="0" w:firstLine="472"/>
        <w:rPr>
          <w:color w:val="auto"/>
        </w:rPr>
      </w:pPr>
      <w:r>
        <w:rPr>
          <w:rFonts w:hint="eastAsia"/>
          <w:color w:val="auto"/>
        </w:rPr>
        <w:t>发起方式：人工发起（纳税人）</w:t>
      </w:r>
    </w:p>
    <w:p>
      <w:pPr>
        <w:pStyle w:val="47"/>
        <w:numPr>
          <w:ilvl w:val="0"/>
          <w:numId w:val="3"/>
        </w:numPr>
        <w:ind w:left="0" w:firstLine="472"/>
        <w:rPr>
          <w:color w:val="auto"/>
        </w:rPr>
      </w:pPr>
      <w:r>
        <w:rPr>
          <w:rFonts w:hint="eastAsia"/>
          <w:color w:val="auto"/>
        </w:rPr>
        <w:t>办结方式：限时办结</w:t>
      </w:r>
    </w:p>
    <w:p>
      <w:pPr>
        <w:pStyle w:val="47"/>
        <w:numPr>
          <w:ilvl w:val="0"/>
          <w:numId w:val="3"/>
        </w:numPr>
        <w:ind w:left="0" w:firstLine="472"/>
        <w:rPr>
          <w:color w:val="auto"/>
        </w:rPr>
      </w:pPr>
      <w:r>
        <w:rPr>
          <w:rFonts w:hint="eastAsia"/>
          <w:color w:val="auto"/>
        </w:rPr>
        <w:t>全省通办：否</w:t>
      </w:r>
    </w:p>
    <w:p>
      <w:pPr>
        <w:pStyle w:val="47"/>
        <w:numPr>
          <w:ilvl w:val="0"/>
          <w:numId w:val="3"/>
        </w:numPr>
        <w:ind w:left="0" w:firstLine="472"/>
        <w:rPr>
          <w:color w:val="auto"/>
        </w:rPr>
      </w:pPr>
      <w:r>
        <w:rPr>
          <w:rFonts w:hint="eastAsia"/>
          <w:color w:val="auto"/>
        </w:rPr>
        <w:t>网上办理：否</w:t>
      </w:r>
    </w:p>
    <w:p>
      <w:pPr>
        <w:pStyle w:val="47"/>
        <w:numPr>
          <w:ilvl w:val="0"/>
          <w:numId w:val="3"/>
        </w:numPr>
        <w:ind w:left="0" w:firstLine="472"/>
        <w:rPr>
          <w:color w:val="auto"/>
        </w:rPr>
      </w:pPr>
      <w:r>
        <w:rPr>
          <w:rFonts w:hint="eastAsia"/>
          <w:color w:val="auto"/>
        </w:rPr>
        <w:t>适用层级：市、县(市、区)级</w:t>
      </w:r>
    </w:p>
    <w:p>
      <w:pPr>
        <w:pStyle w:val="47"/>
        <w:numPr>
          <w:ilvl w:val="0"/>
          <w:numId w:val="4"/>
        </w:numPr>
        <w:ind w:firstLineChars="0"/>
        <w:rPr>
          <w:color w:val="auto"/>
        </w:rPr>
      </w:pPr>
      <w:r>
        <w:rPr>
          <w:rFonts w:hint="eastAsia"/>
          <w:color w:val="auto"/>
        </w:rPr>
        <w:t>最多跑一次：</w:t>
      </w:r>
      <w:r>
        <w:rPr>
          <w:rFonts w:hint="eastAsia"/>
          <w:color w:val="auto"/>
          <w:lang w:val="en-US" w:eastAsia="zh-CN"/>
        </w:rPr>
        <w:t>是</w:t>
      </w:r>
    </w:p>
    <w:p>
      <w:pPr>
        <w:pStyle w:val="3"/>
        <w:ind w:firstLine="552"/>
        <w:rPr>
          <w:rFonts w:hint="eastAsia" w:eastAsia="黑体"/>
          <w:color w:val="auto"/>
          <w:lang w:eastAsia="zh-CN"/>
        </w:rPr>
      </w:pPr>
      <w:r>
        <w:rPr>
          <w:color w:val="auto"/>
        </w:rPr>
        <w:t>三、</w:t>
      </w:r>
      <w:r>
        <w:rPr>
          <w:rFonts w:hint="eastAsia"/>
          <w:color w:val="auto"/>
          <w:lang w:eastAsia="zh-CN"/>
        </w:rPr>
        <w:t>办理条件</w:t>
      </w:r>
    </w:p>
    <w:p>
      <w:pPr>
        <w:ind w:left="0" w:leftChars="0" w:firstLine="472" w:firstLineChars="200"/>
        <w:rPr>
          <w:color w:val="auto"/>
        </w:rPr>
      </w:pPr>
      <w:r>
        <w:rPr>
          <w:rFonts w:hint="eastAsia"/>
          <w:color w:val="auto"/>
        </w:rPr>
        <w:t>特别纳税调查自行调整，是指税务机关通过关联申报审核、同期资料管理、前期监控和后续跟踪管理等特别纳税调整遵从引导等手段，鼓励企业依据有关规定自行调增应纳税收入或者所得额。</w:t>
      </w:r>
    </w:p>
    <w:p>
      <w:pPr>
        <w:ind w:firstLine="472"/>
        <w:rPr>
          <w:color w:val="auto"/>
        </w:rPr>
      </w:pPr>
      <w:r>
        <w:rPr>
          <w:rFonts w:hint="eastAsia"/>
          <w:color w:val="auto"/>
        </w:rPr>
        <w:t>在特别纳税调整被监控管理阶段，企业应当审核分析关联交易定价原则和方法等特别纳税调整事项的合理性后主动调整补税。</w:t>
      </w:r>
    </w:p>
    <w:p>
      <w:pPr>
        <w:pStyle w:val="3"/>
        <w:ind w:firstLine="552"/>
        <w:rPr>
          <w:color w:val="auto"/>
        </w:rPr>
      </w:pPr>
      <w:r>
        <w:rPr>
          <w:rFonts w:hint="eastAsia"/>
          <w:color w:val="auto"/>
        </w:rPr>
        <w:t>四、设定依据</w:t>
      </w:r>
    </w:p>
    <w:p>
      <w:pPr>
        <w:ind w:firstLine="472"/>
        <w:rPr>
          <w:rFonts w:hint="eastAsia" w:eastAsia="宋体"/>
          <w:color w:val="auto"/>
          <w:lang w:eastAsia="zh-CN"/>
        </w:rPr>
      </w:pPr>
      <w:r>
        <w:rPr>
          <w:rFonts w:hint="eastAsia"/>
          <w:color w:val="auto"/>
        </w:rPr>
        <w:t>1.《国家税务总局关于印发&lt;特别纳税调整内部工作规程&gt;的通知》（税总发〔2016〕137号）第十五条</w:t>
      </w:r>
    </w:p>
    <w:p>
      <w:pPr>
        <w:ind w:firstLine="472"/>
        <w:rPr>
          <w:rFonts w:hint="eastAsia"/>
          <w:color w:val="auto"/>
        </w:rPr>
      </w:pPr>
      <w:r>
        <w:rPr>
          <w:rFonts w:hint="eastAsia"/>
          <w:color w:val="auto"/>
        </w:rPr>
        <w:t>“第十五条主管税务机关提示纳税人存在特别纳税调整风险，纳税人自行调整的，主管税务机关应当将纳税人自行调整情况通过案件管理系统层报税务总局备案。</w:t>
      </w:r>
    </w:p>
    <w:p>
      <w:pPr>
        <w:ind w:firstLine="472"/>
        <w:rPr>
          <w:rFonts w:hint="eastAsia"/>
          <w:color w:val="auto"/>
        </w:rPr>
      </w:pPr>
      <w:r>
        <w:rPr>
          <w:rFonts w:hint="eastAsia"/>
          <w:color w:val="auto"/>
        </w:rPr>
        <w:t>纳税人拒绝自行调整，或者自行调整不合理的，主管税务机关可以将其确定为调查对象。”</w:t>
      </w:r>
    </w:p>
    <w:p>
      <w:pPr>
        <w:ind w:firstLine="472"/>
        <w:rPr>
          <w:rFonts w:hint="eastAsia" w:eastAsia="宋体"/>
          <w:color w:val="auto"/>
          <w:lang w:eastAsia="zh-CN"/>
        </w:rPr>
      </w:pPr>
      <w:r>
        <w:rPr>
          <w:rFonts w:hint="eastAsia"/>
          <w:color w:val="auto"/>
          <w:lang w:val="en-US" w:eastAsia="zh-CN"/>
        </w:rPr>
        <w:t>2.</w:t>
      </w:r>
      <w:r>
        <w:rPr>
          <w:rFonts w:hint="eastAsia"/>
          <w:color w:val="auto"/>
        </w:rPr>
        <w:t>《国家税务总局关于发布&lt;特别纳税调查调整及相互协商程序管理办法&gt;的公告》(国家税务总局公告2017年第6号)第三条、第四十三条、第四十五条</w:t>
      </w:r>
    </w:p>
    <w:p>
      <w:pPr>
        <w:ind w:firstLine="472"/>
        <w:rPr>
          <w:rFonts w:hint="eastAsia" w:eastAsia="宋体"/>
          <w:color w:val="auto"/>
          <w:lang w:eastAsia="zh-CN"/>
        </w:rPr>
      </w:pPr>
      <w:r>
        <w:rPr>
          <w:rFonts w:hint="eastAsia"/>
          <w:color w:val="auto"/>
        </w:rPr>
        <w:t>“第三条 税务机关通过关联申报审核、同期资料管理和利润水平监控等手段，对企业实施特别纳税调整监控管理，发现企业存在特别纳税调整风险的，可以向企业送达《税务事项通知书》，提示其存在的税收风险。</w:t>
      </w:r>
    </w:p>
    <w:p>
      <w:pPr>
        <w:ind w:firstLine="472"/>
        <w:rPr>
          <w:rFonts w:hint="eastAsia" w:eastAsia="宋体"/>
          <w:color w:val="auto"/>
          <w:lang w:eastAsia="zh-CN"/>
        </w:rPr>
      </w:pPr>
      <w:r>
        <w:rPr>
          <w:rFonts w:hint="eastAsia"/>
          <w:color w:val="auto"/>
        </w:rPr>
        <w:t>企业收到特别纳税调整风险提示或者发现自身存在特别纳税调整风险的，可以自行调整补税。企业自行调整补税的，应当填报《特别纳税调整自行缴纳税款表》。</w:t>
      </w:r>
    </w:p>
    <w:p>
      <w:pPr>
        <w:ind w:firstLine="472"/>
        <w:rPr>
          <w:rFonts w:hint="eastAsia" w:eastAsia="宋体"/>
          <w:color w:val="auto"/>
          <w:lang w:eastAsia="zh-CN"/>
        </w:rPr>
      </w:pPr>
      <w:r>
        <w:rPr>
          <w:rFonts w:hint="eastAsia"/>
          <w:color w:val="auto"/>
        </w:rPr>
        <w:t>企业自行调整补税的，税务机关仍可按照有关规定实施特别纳税调查调整。</w:t>
      </w:r>
    </w:p>
    <w:p>
      <w:pPr>
        <w:ind w:firstLine="472"/>
        <w:rPr>
          <w:rFonts w:hint="eastAsia"/>
          <w:color w:val="auto"/>
        </w:rPr>
      </w:pPr>
      <w:r>
        <w:rPr>
          <w:rFonts w:hint="eastAsia"/>
          <w:color w:val="auto"/>
        </w:rPr>
        <w:t>企业要求税务机关确认关联交易定价原则和方法等特别纳税调整事项的，税务机关应当启动特别纳税调查程序</w:t>
      </w:r>
    </w:p>
    <w:p>
      <w:pPr>
        <w:ind w:firstLine="472"/>
        <w:rPr>
          <w:rFonts w:hint="eastAsia"/>
          <w:color w:val="auto"/>
        </w:rPr>
      </w:pPr>
      <w:r>
        <w:rPr>
          <w:rFonts w:hint="eastAsia"/>
          <w:color w:val="auto"/>
        </w:rPr>
        <w:t>第四十三条 企业可以在《特别纳税调查调整通知书》送达前自行缴纳税款。企业自行缴纳税款的，应当填报《特别纳税调整自行缴纳税款表》。</w:t>
      </w:r>
    </w:p>
    <w:p>
      <w:pPr>
        <w:ind w:firstLine="472"/>
        <w:rPr>
          <w:rFonts w:hint="eastAsia"/>
          <w:color w:val="auto"/>
        </w:rPr>
      </w:pPr>
      <w:r>
        <w:rPr>
          <w:rFonts w:hint="eastAsia"/>
          <w:color w:val="auto"/>
        </w:rPr>
        <w:t>第四十五条 企业自行调整补税且主动提供同期资料等有关资料，或者按照有关规定不需要准备同期资料但根据税务机关要求提供其他相关资料的，其2008年1月1日以后发生交易的自行调整补税按照基准利率加收利息。”</w:t>
      </w:r>
    </w:p>
    <w:p>
      <w:pPr>
        <w:pStyle w:val="3"/>
        <w:ind w:firstLine="0" w:firstLineChars="0"/>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390"/>
        <w:gridCol w:w="87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390"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878"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ind w:firstLine="352"/>
              <w:rPr>
                <w:rFonts w:cs="宋体"/>
                <w:color w:val="auto"/>
                <w:sz w:val="18"/>
                <w:szCs w:val="18"/>
              </w:rPr>
            </w:pPr>
            <w:r>
              <w:rPr>
                <w:rFonts w:ascii="宋体" w:hAnsi="宋体" w:eastAsia="宋体" w:cs="微软雅黑"/>
                <w:color w:val="auto"/>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微软雅黑"/>
                <w:color w:val="auto"/>
                <w:sz w:val="18"/>
                <w:szCs w:val="18"/>
              </w:rPr>
              <w:t>企业自行调整说明</w:t>
            </w:r>
          </w:p>
        </w:tc>
        <w:tc>
          <w:tcPr>
            <w:tcW w:w="709" w:type="dxa"/>
            <w:shd w:val="clear" w:color="auto" w:fill="auto"/>
            <w:vAlign w:val="center"/>
          </w:tcPr>
          <w:p>
            <w:pPr>
              <w:pStyle w:val="13"/>
              <w:widowControl/>
              <w:spacing w:beforeAutospacing="0" w:afterAutospacing="0" w:line="280" w:lineRule="exact"/>
              <w:ind w:firstLine="352"/>
              <w:rPr>
                <w:rFonts w:cs="宋体"/>
                <w:color w:val="auto"/>
                <w:sz w:val="18"/>
                <w:szCs w:val="18"/>
              </w:rPr>
            </w:pPr>
            <w:r>
              <w:rPr>
                <w:rStyle w:val="17"/>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Autospacing="0" w:afterAutospacing="0" w:line="280" w:lineRule="exact"/>
              <w:ind w:firstLine="352"/>
              <w:rPr>
                <w:rFonts w:cs="宋体"/>
                <w:color w:val="auto"/>
                <w:sz w:val="18"/>
                <w:szCs w:val="18"/>
              </w:rPr>
            </w:pPr>
          </w:p>
        </w:tc>
        <w:tc>
          <w:tcPr>
            <w:tcW w:w="1390"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878"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352"/>
              <w:rPr>
                <w:rFonts w:cs="宋体"/>
                <w:color w:val="auto"/>
                <w:sz w:val="18"/>
                <w:szCs w:val="18"/>
              </w:rPr>
            </w:pPr>
            <w:r>
              <w:rPr>
                <w:rFonts w:ascii="宋体" w:hAnsi="宋体" w:eastAsia="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微软雅黑"/>
                <w:color w:val="auto"/>
                <w:sz w:val="18"/>
                <w:szCs w:val="18"/>
              </w:rPr>
              <w:t>企业关联交易同期资料</w:t>
            </w:r>
          </w:p>
        </w:tc>
        <w:tc>
          <w:tcPr>
            <w:tcW w:w="709" w:type="dxa"/>
            <w:shd w:val="clear" w:color="auto" w:fill="auto"/>
            <w:vAlign w:val="center"/>
          </w:tcPr>
          <w:p>
            <w:pPr>
              <w:pStyle w:val="13"/>
              <w:widowControl/>
              <w:spacing w:beforeAutospacing="0" w:afterAutospacing="0" w:line="280" w:lineRule="exact"/>
              <w:ind w:firstLine="352"/>
              <w:rPr>
                <w:rFonts w:cs="宋体"/>
                <w:color w:val="auto"/>
                <w:sz w:val="18"/>
                <w:szCs w:val="18"/>
              </w:rPr>
            </w:pPr>
            <w:r>
              <w:rPr>
                <w:rStyle w:val="17"/>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Autospacing="0" w:afterAutospacing="0" w:line="280" w:lineRule="exact"/>
              <w:ind w:firstLine="352"/>
              <w:rPr>
                <w:rFonts w:cs="宋体"/>
                <w:color w:val="auto"/>
                <w:sz w:val="18"/>
                <w:szCs w:val="18"/>
              </w:rPr>
            </w:pPr>
            <w:r>
              <w:rPr>
                <w:rFonts w:hint="eastAsia" w:ascii="宋体" w:hAnsi="宋体" w:eastAsia="宋体" w:cs="微软雅黑"/>
                <w:color w:val="auto"/>
                <w:sz w:val="18"/>
                <w:szCs w:val="18"/>
              </w:rPr>
              <w:t> </w:t>
            </w:r>
          </w:p>
        </w:tc>
        <w:tc>
          <w:tcPr>
            <w:tcW w:w="1390"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878"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352"/>
              <w:rPr>
                <w:rFonts w:cs="宋体"/>
                <w:color w:val="auto"/>
                <w:sz w:val="18"/>
                <w:szCs w:val="18"/>
              </w:rPr>
            </w:pPr>
            <w:r>
              <w:rPr>
                <w:rFonts w:ascii="宋体" w:hAnsi="宋体" w:eastAsia="宋体" w:cs="微软雅黑"/>
                <w:color w:val="auto"/>
                <w:sz w:val="18"/>
                <w:szCs w:val="18"/>
              </w:rPr>
              <w:t>3</w:t>
            </w:r>
          </w:p>
        </w:tc>
        <w:tc>
          <w:tcPr>
            <w:tcW w:w="2551" w:type="dxa"/>
            <w:shd w:val="clear" w:color="auto" w:fill="auto"/>
            <w:vAlign w:val="center"/>
          </w:tcPr>
          <w:p>
            <w:pPr>
              <w:pStyle w:val="13"/>
              <w:widowControl/>
              <w:spacing w:beforeAutospacing="0" w:afterAutospacing="0" w:line="280" w:lineRule="exact"/>
              <w:rPr>
                <w:rFonts w:cs="宋体"/>
                <w:color w:val="auto"/>
                <w:sz w:val="18"/>
                <w:szCs w:val="18"/>
              </w:rPr>
            </w:pPr>
            <w:r>
              <w:rPr>
                <w:rFonts w:hint="eastAsia" w:ascii="宋体" w:hAnsi="宋体" w:eastAsia="宋体" w:cs="微软雅黑"/>
                <w:color w:val="auto"/>
                <w:sz w:val="18"/>
                <w:szCs w:val="18"/>
              </w:rPr>
              <w:t>其他相关资料</w:t>
            </w:r>
          </w:p>
        </w:tc>
        <w:tc>
          <w:tcPr>
            <w:tcW w:w="709" w:type="dxa"/>
            <w:shd w:val="clear" w:color="auto" w:fill="auto"/>
            <w:vAlign w:val="center"/>
          </w:tcPr>
          <w:p>
            <w:pPr>
              <w:pStyle w:val="13"/>
              <w:widowControl/>
              <w:spacing w:beforeAutospacing="0" w:afterAutospacing="0" w:line="280" w:lineRule="exact"/>
              <w:ind w:firstLine="352"/>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Autospacing="0" w:afterAutospacing="0" w:line="280" w:lineRule="exact"/>
              <w:ind w:firstLine="352"/>
              <w:rPr>
                <w:rFonts w:cs="宋体"/>
                <w:color w:val="auto"/>
                <w:sz w:val="18"/>
                <w:szCs w:val="18"/>
              </w:rPr>
            </w:pPr>
          </w:p>
        </w:tc>
        <w:tc>
          <w:tcPr>
            <w:tcW w:w="1390"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878"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352"/>
              <w:rPr>
                <w:rFonts w:cs="宋体"/>
                <w:color w:val="auto"/>
                <w:sz w:val="18"/>
                <w:szCs w:val="18"/>
              </w:rPr>
            </w:pPr>
            <w:r>
              <w:rPr>
                <w:rFonts w:hint="eastAsia" w:ascii="宋体" w:hAnsi="宋体" w:eastAsia="宋体" w:cs="微软雅黑"/>
                <w:color w:val="auto"/>
                <w:sz w:val="18"/>
                <w:szCs w:val="18"/>
              </w:rPr>
              <w:t>4</w:t>
            </w:r>
          </w:p>
        </w:tc>
        <w:tc>
          <w:tcPr>
            <w:tcW w:w="2551"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ascii="宋体" w:hAnsi="宋体" w:eastAsia="宋体" w:cs="微软雅黑"/>
                <w:color w:val="auto"/>
                <w:sz w:val="18"/>
                <w:szCs w:val="18"/>
              </w:rPr>
              <w:t>《特别纳税调整自行缴纳税款表》</w:t>
            </w:r>
          </w:p>
        </w:tc>
        <w:tc>
          <w:tcPr>
            <w:tcW w:w="709" w:type="dxa"/>
            <w:shd w:val="clear" w:color="auto" w:fill="auto"/>
            <w:vAlign w:val="center"/>
          </w:tcPr>
          <w:p>
            <w:pPr>
              <w:pStyle w:val="13"/>
              <w:widowControl/>
              <w:spacing w:beforeAutospacing="0" w:afterAutospacing="0" w:line="280" w:lineRule="exact"/>
              <w:ind w:firstLine="352"/>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Autospacing="0" w:afterAutospacing="0" w:line="280" w:lineRule="exact"/>
              <w:ind w:firstLine="352"/>
              <w:rPr>
                <w:rFonts w:cs="宋体"/>
                <w:color w:val="auto"/>
                <w:sz w:val="18"/>
                <w:szCs w:val="18"/>
              </w:rPr>
            </w:pPr>
          </w:p>
        </w:tc>
        <w:tc>
          <w:tcPr>
            <w:tcW w:w="1390"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878"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pStyle w:val="3"/>
        <w:numPr>
          <w:ilvl w:val="0"/>
          <w:numId w:val="5"/>
        </w:numPr>
        <w:spacing w:line="240" w:lineRule="auto"/>
        <w:ind w:firstLine="552"/>
        <w:rPr>
          <w:color w:val="auto"/>
        </w:rPr>
      </w:pPr>
      <w:r>
        <w:rPr>
          <w:color w:val="auto"/>
        </w:rPr>
        <w:t>办理流程</w:t>
      </w:r>
    </w:p>
    <w:p>
      <w:pPr>
        <w:spacing w:line="240" w:lineRule="auto"/>
        <w:ind w:firstLine="0" w:firstLineChars="0"/>
        <w:jc w:val="center"/>
        <w:rPr>
          <w:color w:val="auto"/>
        </w:rPr>
      </w:pPr>
      <w:r>
        <w:rPr>
          <w:color w:val="auto"/>
        </w:rPr>
        <w:object>
          <v:shape id="_x0000_i1187" o:spt="75" type="#_x0000_t75" style="height:67.5pt;width:319.5pt;" o:ole="t" filled="f" o:preferrelative="t" stroked="f" coordsize="21600,21600">
            <v:path/>
            <v:fill on="f" focussize="0,0"/>
            <v:stroke on="f" joinstyle="miter"/>
            <v:imagedata r:id="rId11" o:title=""/>
            <o:lock v:ext="edit" aspectratio="f"/>
            <w10:wrap type="none"/>
            <w10:anchorlock/>
          </v:shape>
          <o:OLEObject Type="Embed" ProgID="Visio.Drawing.11" ShapeID="_x0000_i1187"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资料齐全、符合法定形式的，税务机关受理后限时办结。</w:t>
      </w:r>
    </w:p>
    <w:p>
      <w:pPr>
        <w:pStyle w:val="3"/>
        <w:ind w:firstLine="552"/>
        <w:rPr>
          <w:color w:val="auto"/>
        </w:rPr>
      </w:pPr>
      <w:r>
        <w:rPr>
          <w:rFonts w:hint="eastAsia"/>
          <w:color w:val="auto"/>
        </w:rPr>
        <w:t>八、表证单书</w:t>
      </w:r>
    </w:p>
    <w:p>
      <w:pPr>
        <w:ind w:firstLine="472"/>
        <w:rPr>
          <w:color w:val="auto"/>
        </w:rPr>
      </w:pPr>
      <w:r>
        <w:rPr>
          <w:rFonts w:hint="eastAsia"/>
          <w:color w:val="auto"/>
        </w:rPr>
        <w:t>1.</w:t>
      </w:r>
      <w:r>
        <w:rPr>
          <w:rStyle w:val="22"/>
          <w:color w:val="auto"/>
        </w:rPr>
        <w:t>A10086</w:t>
      </w:r>
      <w:r>
        <w:rPr>
          <w:rFonts w:cs="微软雅黑"/>
          <w:color w:val="auto"/>
          <w:szCs w:val="24"/>
        </w:rPr>
        <w:t>《特别纳税调整自行缴纳税款表》</w:t>
      </w:r>
    </w:p>
    <w:p>
      <w:pPr>
        <w:pStyle w:val="3"/>
        <w:ind w:firstLine="552"/>
        <w:rPr>
          <w:color w:val="auto"/>
        </w:rPr>
      </w:pPr>
      <w:r>
        <w:rPr>
          <w:rFonts w:hint="eastAsia"/>
          <w:color w:val="auto"/>
        </w:rPr>
        <w:t>九、注意事项</w:t>
      </w:r>
    </w:p>
    <w:p>
      <w:pPr>
        <w:rPr>
          <w:rFonts w:hint="eastAsia"/>
          <w:color w:val="auto"/>
        </w:rPr>
      </w:pPr>
      <w:r>
        <w:rPr>
          <w:rFonts w:hint="eastAsia"/>
          <w:color w:val="auto"/>
          <w:lang w:val="en-US" w:eastAsia="zh-CN"/>
        </w:rPr>
        <w:t>1</w:t>
      </w:r>
      <w:r>
        <w:rPr>
          <w:rFonts w:hint="eastAsia"/>
          <w:color w:val="auto"/>
        </w:rPr>
        <w:t>纳税人对报送资料的真实性和合法性承担责任。</w:t>
      </w:r>
    </w:p>
    <w:p>
      <w:pPr>
        <w:rPr>
          <w:rFonts w:hint="eastAsia"/>
          <w:color w:val="auto"/>
        </w:rPr>
      </w:pPr>
      <w:r>
        <w:rPr>
          <w:rFonts w:hint="eastAsia"/>
          <w:color w:val="auto"/>
          <w:lang w:val="en-US" w:eastAsia="zh-CN"/>
        </w:rPr>
        <w:t>2</w:t>
      </w:r>
      <w:r>
        <w:rPr>
          <w:rFonts w:hint="eastAsia"/>
          <w:color w:val="auto"/>
        </w:rPr>
        <w:t>.最多跑一次是在资料完整且符合法定受理条件的前提下，最多只需要到税务机关跑一次。</w:t>
      </w:r>
    </w:p>
    <w:p>
      <w:pPr>
        <w:ind w:firstLine="472"/>
        <w:contextualSpacing/>
        <w:rPr>
          <w:rFonts w:hint="eastAsia" w:ascii="宋体" w:hAnsi="宋体" w:eastAsia="宋体" w:cs="Times New Roman"/>
          <w:color w:val="auto"/>
          <w:sz w:val="24"/>
          <w:szCs w:val="22"/>
        </w:rPr>
      </w:pPr>
      <w:r>
        <w:rPr>
          <w:rFonts w:hint="eastAsia" w:ascii="宋体" w:hAnsi="宋体" w:eastAsia="宋体" w:cs="Times New Roman"/>
          <w:color w:val="auto"/>
          <w:sz w:val="24"/>
          <w:szCs w:val="22"/>
          <w:lang w:val="en-US" w:eastAsia="zh-CN"/>
        </w:rPr>
        <w:t>3.</w:t>
      </w:r>
      <w:r>
        <w:rPr>
          <w:rFonts w:hint="eastAsia" w:ascii="宋体" w:hAnsi="宋体" w:eastAsia="宋体" w:cs="Times New Roman"/>
          <w:color w:val="auto"/>
          <w:sz w:val="24"/>
          <w:szCs w:val="22"/>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rFonts w:hint="eastAsia"/>
          <w:color w:val="auto"/>
        </w:rPr>
      </w:pPr>
      <w:r>
        <w:rPr>
          <w:rFonts w:hint="eastAsia"/>
          <w:color w:val="auto"/>
          <w:lang w:val="en-US" w:eastAsia="zh-CN"/>
        </w:rPr>
        <w:t>主管税务机关</w:t>
      </w:r>
      <w:r>
        <w:rPr>
          <w:rFonts w:hint="eastAsia"/>
          <w:color w:val="auto"/>
        </w:rPr>
        <w:t>办理时间可在国家税务总局河南省税务局网站查询</w:t>
      </w:r>
    </w:p>
    <w:p>
      <w:pPr>
        <w:ind w:firstLine="472"/>
        <w:rPr>
          <w:color w:val="auto"/>
        </w:rPr>
      </w:pPr>
      <w:r>
        <w:rPr>
          <w:rFonts w:hint="eastAsia"/>
          <w:color w:val="auto"/>
        </w:rPr>
        <w:t>网址：http://henan.chinatax.gov.cn</w:t>
      </w:r>
    </w:p>
    <w:p>
      <w:pPr>
        <w:pStyle w:val="3"/>
        <w:ind w:firstLine="552"/>
        <w:rPr>
          <w:color w:val="auto"/>
        </w:rPr>
      </w:pPr>
      <w:r>
        <w:rPr>
          <w:rFonts w:hint="eastAsia"/>
          <w:color w:val="auto"/>
        </w:rPr>
        <w:t>十一、办理地点</w:t>
      </w:r>
    </w:p>
    <w:p>
      <w:pPr>
        <w:ind w:firstLine="472"/>
        <w:rPr>
          <w:rFonts w:hint="eastAsia"/>
          <w:color w:val="auto"/>
        </w:rPr>
      </w:pPr>
      <w:r>
        <w:rPr>
          <w:rFonts w:hint="eastAsia"/>
          <w:color w:val="auto"/>
        </w:rPr>
        <w:t>主管县（市、区）税务机关国际税收管理部门</w:t>
      </w:r>
    </w:p>
    <w:p>
      <w:pPr>
        <w:ind w:firstLine="472"/>
        <w:rPr>
          <w:rFonts w:hint="eastAsia"/>
          <w:color w:val="auto"/>
        </w:rPr>
      </w:pPr>
      <w:r>
        <w:rPr>
          <w:rFonts w:hint="eastAsia"/>
          <w:color w:val="auto"/>
          <w:lang w:val="en-US" w:eastAsia="zh-CN"/>
        </w:rPr>
        <w:t>主管税务机关地址</w:t>
      </w:r>
      <w:r>
        <w:rPr>
          <w:rFonts w:hint="eastAsia"/>
          <w:color w:val="auto"/>
        </w:rPr>
        <w:t>可在国家税务总局河南省税务局网站查询</w:t>
      </w:r>
    </w:p>
    <w:p>
      <w:pPr>
        <w:ind w:firstLine="472"/>
        <w:rPr>
          <w:rFonts w:hint="eastAsia"/>
          <w:color w:val="auto"/>
        </w:rPr>
      </w:pPr>
      <w:r>
        <w:rPr>
          <w:rFonts w:hint="eastAsia"/>
          <w:color w:val="auto"/>
        </w:rPr>
        <w:t>网址：http://henan.chinatax.gov.cn</w:t>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拨打12366热线，或者拨打主管税务机关对外公开电话</w:t>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1F0093"/>
    <w:multiLevelType w:val="singleLevel"/>
    <w:tmpl w:val="981F0093"/>
    <w:lvl w:ilvl="0" w:tentative="0">
      <w:start w:val="6"/>
      <w:numFmt w:val="chineseCounting"/>
      <w:suff w:val="nothing"/>
      <w:lvlText w:val="%1、"/>
      <w:lvlJc w:val="left"/>
      <w:rPr>
        <w:rFonts w:hint="eastAsia"/>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6D9E0F5A"/>
    <w:multiLevelType w:val="multilevel"/>
    <w:tmpl w:val="6D9E0F5A"/>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3">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D229F7"/>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2019-10-31T05:14:27Z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