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23305"/>
      <w:r>
        <w:rPr>
          <w:rFonts w:hint="eastAsia" w:ascii="黑体" w:hAnsi="黑体"/>
          <w:color w:val="auto"/>
        </w:rPr>
        <w:t>1.3.3.8非居民企业企业所得税预缴申报</w:t>
      </w:r>
      <w:bookmarkEnd w:id="0"/>
    </w:p>
    <w:p>
      <w:pPr>
        <w:pStyle w:val="3"/>
        <w:ind w:firstLine="552"/>
        <w:rPr>
          <w:color w:val="auto"/>
        </w:rPr>
      </w:pPr>
      <w:r>
        <w:rPr>
          <w:color w:val="auto"/>
        </w:rPr>
        <w:t>一、事项名称</w:t>
      </w:r>
    </w:p>
    <w:p>
      <w:pPr>
        <w:ind w:firstLine="472"/>
        <w:rPr>
          <w:color w:val="auto"/>
        </w:rPr>
      </w:pPr>
      <w:r>
        <w:rPr>
          <w:rFonts w:hint="eastAsia"/>
          <w:color w:val="auto"/>
        </w:rPr>
        <w:t>非居民企业企业所得税预缴申报</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办结方式：即办</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网上办理：是</w:t>
      </w:r>
    </w:p>
    <w:p>
      <w:pPr>
        <w:pStyle w:val="47"/>
        <w:numPr>
          <w:ilvl w:val="0"/>
          <w:numId w:val="3"/>
        </w:numPr>
        <w:ind w:left="0" w:firstLine="472"/>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eastAsia="宋体"/>
          <w:color w:val="auto"/>
          <w:lang w:eastAsia="zh-CN"/>
        </w:rPr>
      </w:pPr>
      <w:r>
        <w:rPr>
          <w:rFonts w:hint="eastAsia"/>
          <w:color w:val="auto"/>
        </w:rPr>
        <w:t>依照外国（地区）法律成立且实际管理机构不在中国境内，但在中国境内设立机构、场所，自季度终了之日起15日内向主管税务机关报送《中华人民共和国非居民企业所得税预缴申报表（2019年版）（F100）》，本报表适用于非居民企业预缴企业所得税税款时填报，自办理2020年度第一季度企业所得税预缴申报起启用；非居民企业机构、场所按照《国家税务总局财政部中国人民银行关于非居民企业机构场所汇总缴纳企业所得税有关问题的公告》(国家税务总局公告2019年第12号）的规定自2019年度起汇总纳税的，本报表自办理2019年度第一季度企业所得税预缴申报起启用。《中华人民共和国非居民企业所得税预缴申报表（2019年版）》启用前使用《国家税务总局关于发布〈中华人民共和国非居民企业所得税年度纳税申报表〉等报表的公告》（国家税务总局公告2015年30号）规定的《中华人民共和国非居民企业所得税季度和年度纳税申报表（适用于核定征收企业）（不构成常设机构和国际运输免税申报）》《中华人民共和国非居民企业所得税季度纳税申报表（适用于据实申报企业）》。</w:t>
      </w:r>
    </w:p>
    <w:p>
      <w:pPr>
        <w:pStyle w:val="3"/>
        <w:ind w:firstLine="552"/>
        <w:rPr>
          <w:color w:val="auto"/>
        </w:rPr>
      </w:pPr>
      <w:r>
        <w:rPr>
          <w:rFonts w:hint="eastAsia"/>
          <w:color w:val="auto"/>
        </w:rPr>
        <w:t>四、设定依据</w:t>
      </w:r>
    </w:p>
    <w:p>
      <w:pPr>
        <w:ind w:firstLine="472"/>
        <w:rPr>
          <w:color w:val="auto"/>
        </w:rPr>
      </w:pPr>
      <w:r>
        <w:rPr>
          <w:rFonts w:hint="eastAsia"/>
          <w:color w:val="auto"/>
        </w:rPr>
        <w:t>1.《中华人民共和国税收征收管理法》第二十五条第一款</w:t>
      </w:r>
    </w:p>
    <w:p>
      <w:pPr>
        <w:ind w:firstLine="472"/>
        <w:rPr>
          <w:color w:val="auto"/>
        </w:rPr>
      </w:pPr>
      <w:r>
        <w:rPr>
          <w:color w:val="auto"/>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color w:val="auto"/>
        </w:rPr>
        <w:t>”</w:t>
      </w:r>
    </w:p>
    <w:p>
      <w:pPr>
        <w:numPr>
          <w:ilvl w:val="0"/>
          <w:numId w:val="5"/>
        </w:numPr>
        <w:ind w:firstLine="472"/>
        <w:rPr>
          <w:color w:val="auto"/>
        </w:rPr>
      </w:pPr>
      <w:r>
        <w:rPr>
          <w:rFonts w:hint="eastAsia"/>
          <w:color w:val="auto"/>
        </w:rPr>
        <w:t>《中华人民共和国企业所得税法》第三条</w:t>
      </w:r>
    </w:p>
    <w:p>
      <w:pPr>
        <w:ind w:left="472" w:firstLine="0" w:firstLineChars="0"/>
        <w:rPr>
          <w:color w:val="auto"/>
        </w:rPr>
      </w:pPr>
      <w:r>
        <w:rPr>
          <w:color w:val="auto"/>
        </w:rPr>
        <w:t>“</w:t>
      </w:r>
      <w:r>
        <w:rPr>
          <w:rFonts w:hint="eastAsia"/>
          <w:color w:val="auto"/>
        </w:rPr>
        <w:t>居民企业应当就其来源于中国境内、境外的所得缴纳企业所得税。</w:t>
      </w:r>
    </w:p>
    <w:p>
      <w:pPr>
        <w:ind w:firstLine="472"/>
        <w:rPr>
          <w:color w:val="auto"/>
        </w:rPr>
      </w:pPr>
      <w:r>
        <w:rPr>
          <w:rFonts w:hint="eastAsia"/>
          <w:color w:val="auto"/>
        </w:rPr>
        <w:t>非居民企业在中国境内设立机构、场所的，应当就其所设机构、场所取得的来源于中国境内的所得，以及发生在中国境外但与其所设机构、场所有实际联系的所得，缴纳企业所得税。</w:t>
      </w:r>
    </w:p>
    <w:p>
      <w:pPr>
        <w:ind w:firstLine="472"/>
        <w:rPr>
          <w:color w:val="auto"/>
        </w:rPr>
      </w:pPr>
      <w:r>
        <w:rPr>
          <w:rFonts w:hint="eastAsia"/>
          <w:color w:val="auto"/>
        </w:rPr>
        <w:t>非居民企业在中国境内未设立机构、场所的，或者虽设立机构、场所但取得的所得与其所设机构、场所没有实际联系的，应当就其来源于中国境内的所得缴纳企业所得税。</w:t>
      </w:r>
      <w:r>
        <w:rPr>
          <w:color w:val="auto"/>
        </w:rPr>
        <w:t>”</w:t>
      </w:r>
    </w:p>
    <w:p>
      <w:pPr>
        <w:pStyle w:val="49"/>
        <w:numPr>
          <w:ilvl w:val="0"/>
          <w:numId w:val="5"/>
        </w:numPr>
        <w:ind w:firstLineChars="0"/>
        <w:rPr>
          <w:color w:val="auto"/>
        </w:rPr>
      </w:pPr>
      <w:r>
        <w:rPr>
          <w:rFonts w:hint="eastAsia"/>
          <w:color w:val="auto"/>
        </w:rPr>
        <w:t>《中华人民共和国企业所得税法》第五十四条第二款</w:t>
      </w:r>
    </w:p>
    <w:p>
      <w:pPr>
        <w:ind w:firstLine="354" w:firstLineChars="150"/>
        <w:rPr>
          <w:color w:val="auto"/>
        </w:rPr>
      </w:pPr>
      <w:r>
        <w:rPr>
          <w:color w:val="auto"/>
        </w:rPr>
        <w:t>“</w:t>
      </w:r>
      <w:r>
        <w:rPr>
          <w:rFonts w:hint="eastAsia"/>
          <w:color w:val="auto"/>
        </w:rPr>
        <w:t>企业应当自月份或者季度终了之日起十五日内，向税务机关报送预缴企业所得税纳税申报表，预缴税款。</w:t>
      </w:r>
      <w:r>
        <w:rPr>
          <w:color w:val="auto"/>
        </w:rPr>
        <w:t>”</w:t>
      </w:r>
    </w:p>
    <w:p>
      <w:pPr>
        <w:pStyle w:val="3"/>
        <w:ind w:firstLine="552"/>
        <w:rPr>
          <w:color w:val="auto"/>
        </w:rPr>
      </w:pPr>
      <w:r>
        <w:rPr>
          <w:rFonts w:hint="eastAsia"/>
          <w:color w:val="auto"/>
        </w:rPr>
        <w:t>五、办理材料</w:t>
      </w:r>
    </w:p>
    <w:tbl>
      <w:tblPr>
        <w:tblStyle w:val="15"/>
        <w:tblW w:w="8868"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320"/>
        <w:gridCol w:w="1275"/>
        <w:gridCol w:w="117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32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275"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70"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《中华人民共和国非居民企业所得预缴申报表（2019年版）（F100）》</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2020年度第一季度企业所得税预缴申报</w:t>
            </w:r>
            <w:r>
              <w:rPr>
                <w:rFonts w:hint="eastAsia" w:cs="宋体"/>
                <w:color w:val="auto"/>
                <w:kern w:val="0"/>
                <w:sz w:val="18"/>
                <w:szCs w:val="18"/>
              </w:rPr>
              <w:t>以后（含）使用，汇总纳税企业2019年度第一季度企业所得税预缴申报以后使用（含）。</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《中华人民共和国非居民企业所得税季度和年度纳税申报表（适用于核定征收企业）（不构成常设机构和国际运输免税申报）》</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2020年度第一季度企业所得税预缴申报</w:t>
            </w:r>
            <w:r>
              <w:rPr>
                <w:rFonts w:hint="eastAsia" w:cs="宋体"/>
                <w:color w:val="auto"/>
                <w:kern w:val="0"/>
                <w:sz w:val="18"/>
                <w:szCs w:val="18"/>
              </w:rPr>
              <w:t>前（不含）使用，汇总纳税企业2019年度第一季度企业所得税预缴申报以前使用（不含）。</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《中华人民共和国非居民企业所得税季度纳税申报表（适用于据实申报企业）》</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cs="宋体"/>
                <w:color w:val="auto"/>
                <w:kern w:val="0"/>
                <w:sz w:val="18"/>
                <w:szCs w:val="18"/>
              </w:rPr>
              <w:t>2020年度第一季度企业所得税预缴申报</w:t>
            </w:r>
            <w:r>
              <w:rPr>
                <w:rFonts w:hint="eastAsia" w:cs="宋体"/>
                <w:color w:val="auto"/>
                <w:kern w:val="0"/>
                <w:sz w:val="18"/>
                <w:szCs w:val="18"/>
              </w:rPr>
              <w:t>前（不含）使用，汇总纳税企业2019年度第一季度企业所得税预缴申报以前使用（不含）。</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《非居民企业机构、场所汇总缴纳所得税税款分配表（</w:t>
            </w:r>
            <w:r>
              <w:rPr>
                <w:rFonts w:cs="宋体"/>
                <w:color w:val="auto"/>
                <w:kern w:val="0"/>
                <w:sz w:val="18"/>
                <w:szCs w:val="18"/>
              </w:rPr>
              <w:t>F300</w:t>
            </w:r>
            <w:r>
              <w:rPr>
                <w:rFonts w:hint="eastAsia" w:cs="宋体"/>
                <w:color w:val="auto"/>
                <w:kern w:val="0"/>
                <w:sz w:val="18"/>
                <w:szCs w:val="18"/>
              </w:rPr>
              <w:t>）》</w:t>
            </w:r>
          </w:p>
          <w:p>
            <w:pPr>
              <w:widowControl/>
              <w:spacing w:line="280" w:lineRule="exact"/>
              <w:ind w:firstLine="0" w:firstLineChars="0"/>
              <w:jc w:val="left"/>
              <w:rPr>
                <w:rFonts w:cs="宋体"/>
                <w:color w:val="auto"/>
                <w:kern w:val="0"/>
                <w:sz w:val="18"/>
                <w:szCs w:val="18"/>
              </w:rPr>
            </w:pP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2019年度及以后，实行汇总纳税的非居民企业机构、场所（含主要机构、场所和其他机构、场所）</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《非居民企业机构、场所核定计算明细表（</w:t>
            </w:r>
            <w:r>
              <w:rPr>
                <w:rFonts w:cs="宋体"/>
                <w:color w:val="auto"/>
                <w:kern w:val="0"/>
                <w:sz w:val="18"/>
                <w:szCs w:val="18"/>
              </w:rPr>
              <w:t>F400）》</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按照有关规定适用核定征收的非居民企业机构、场所</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季度财务报表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按实际利润预缴企业所得税</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7</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工程作业（劳务）决算（结算）报告或说明材料</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pStyle w:val="13"/>
              <w:widowControl/>
              <w:spacing w:line="280" w:lineRule="exact"/>
              <w:jc w:val="both"/>
              <w:rPr>
                <w:rFonts w:cs="宋体"/>
                <w:color w:val="auto"/>
                <w:sz w:val="18"/>
                <w:szCs w:val="18"/>
              </w:rPr>
            </w:pPr>
            <w:r>
              <w:rPr>
                <w:rFonts w:hint="eastAsia" w:ascii="宋体" w:hAnsi="宋体" w:cs="宋体"/>
                <w:color w:val="auto"/>
                <w:sz w:val="18"/>
                <w:szCs w:val="18"/>
              </w:rPr>
              <w:t>在中国境内承包工程作业的非居民企业。</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8</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参与工程作业或劳务项目外籍人员姓名、国籍、出入境时间、在华工作时间、地点、内容、报酬标准、支付方式、费用等情况的书面报告</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sz w:val="18"/>
                <w:szCs w:val="18"/>
              </w:rPr>
              <w:t>非居民企业在中华人民共和国境内承包工程作业或提供劳务项目。</w:t>
            </w: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9</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财务会计报告或财务情况说明</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320"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275"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7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42" o:spid="_x0000_s1042" o:spt="75" type="#_x0000_t75" style="position:absolute;left:0pt;margin-left:8.6pt;margin-top:16.6pt;height:104.45pt;width:439.3pt;mso-wrap-distance-bottom:0pt;mso-wrap-distance-left:9pt;mso-wrap-distance-right:9pt;mso-wrap-distance-top:0pt;z-index:251710464;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42"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1.《中华人民共和国非居民企业所得预缴申报表（2019年版）（F100）》</w:t>
      </w:r>
    </w:p>
    <w:p>
      <w:pPr>
        <w:ind w:firstLine="472"/>
        <w:rPr>
          <w:rFonts w:hint="eastAsia"/>
          <w:color w:val="auto"/>
        </w:rPr>
      </w:pPr>
      <w:r>
        <w:rPr>
          <w:rFonts w:hint="eastAsia"/>
          <w:color w:val="auto"/>
        </w:rPr>
        <w:t>2.《中华人民共和国非居民企业所得税季度和年度纳税申报表（适用于核定征收企业）</w:t>
      </w:r>
    </w:p>
    <w:p>
      <w:pPr>
        <w:ind w:firstLine="472"/>
        <w:rPr>
          <w:rFonts w:hint="eastAsia"/>
          <w:color w:val="auto"/>
        </w:rPr>
      </w:pPr>
      <w:r>
        <w:rPr>
          <w:rFonts w:hint="eastAsia"/>
          <w:color w:val="auto"/>
        </w:rPr>
        <w:t>3.《中华人民共和国非居民企业所得税季度纳税申报表（适用于据实申报企业）》</w:t>
      </w:r>
    </w:p>
    <w:p>
      <w:pPr>
        <w:ind w:firstLine="472"/>
        <w:rPr>
          <w:rFonts w:hint="eastAsia"/>
          <w:color w:val="auto"/>
        </w:rPr>
      </w:pPr>
      <w:r>
        <w:rPr>
          <w:rFonts w:hint="eastAsia"/>
          <w:color w:val="auto"/>
        </w:rPr>
        <w:t>4.A06863《非居民企业机构、场所汇总缴纳所得税税款分配表（F300）》</w:t>
      </w:r>
    </w:p>
    <w:p>
      <w:pPr>
        <w:ind w:firstLine="472"/>
        <w:rPr>
          <w:rFonts w:hint="eastAsia"/>
          <w:color w:val="auto"/>
        </w:rPr>
      </w:pPr>
      <w:r>
        <w:rPr>
          <w:rFonts w:hint="eastAsia"/>
          <w:color w:val="auto"/>
        </w:rPr>
        <w:t>5.A0686</w:t>
      </w:r>
      <w:r>
        <w:rPr>
          <w:rFonts w:hint="eastAsia"/>
          <w:color w:val="auto"/>
          <w:lang w:val="en-US" w:eastAsia="zh-CN"/>
        </w:rPr>
        <w:t>4</w:t>
      </w:r>
      <w:r>
        <w:rPr>
          <w:rFonts w:hint="eastAsia"/>
          <w:color w:val="auto"/>
        </w:rPr>
        <w:t>《非居民企业机构、场所核定计算明细表（F400）》</w:t>
      </w:r>
    </w:p>
    <w:p>
      <w:pPr>
        <w:pStyle w:val="3"/>
        <w:ind w:firstLine="552"/>
        <w:rPr>
          <w:color w:val="auto"/>
        </w:rPr>
      </w:pPr>
      <w:r>
        <w:rPr>
          <w:rFonts w:hint="eastAsia"/>
          <w:color w:val="auto"/>
        </w:rPr>
        <w:t>九、注意事项</w:t>
      </w:r>
    </w:p>
    <w:p>
      <w:pPr>
        <w:ind w:firstLine="472"/>
        <w:rPr>
          <w:color w:val="auto"/>
        </w:rPr>
      </w:pPr>
      <w:r>
        <w:rPr>
          <w:rFonts w:hint="eastAsia"/>
          <w:color w:val="auto"/>
        </w:rPr>
        <w:t>1.</w:t>
      </w:r>
      <w:r>
        <w:rPr>
          <w:color w:val="auto"/>
        </w:rPr>
        <w:t>纳税人使用符合电子签名法规定条件的电子签名，与手写签名或者盖章具有同等法律效力。</w:t>
      </w:r>
    </w:p>
    <w:p>
      <w:pPr>
        <w:ind w:firstLine="472"/>
        <w:rPr>
          <w:color w:val="auto"/>
        </w:rPr>
      </w:pPr>
      <w:r>
        <w:rPr>
          <w:rFonts w:hint="eastAsia"/>
          <w:color w:val="auto"/>
          <w:lang w:val="en-US" w:eastAsia="zh-CN"/>
        </w:rPr>
        <w:t>2</w:t>
      </w:r>
      <w:r>
        <w:rPr>
          <w:rFonts w:hint="eastAsia"/>
          <w:color w:val="auto"/>
        </w:rPr>
        <w:t>.</w:t>
      </w:r>
      <w:r>
        <w:rPr>
          <w:color w:val="auto"/>
        </w:rPr>
        <w:t>纳税人提交的各项证明资料为复印件均须注明“与原件一致”，并签章。</w:t>
      </w:r>
    </w:p>
    <w:p>
      <w:pPr>
        <w:ind w:firstLine="472"/>
        <w:rPr>
          <w:color w:val="auto"/>
        </w:rPr>
      </w:pPr>
      <w:r>
        <w:rPr>
          <w:rFonts w:hint="eastAsia"/>
          <w:color w:val="auto"/>
          <w:lang w:val="en-US" w:eastAsia="zh-CN"/>
        </w:rPr>
        <w:t>3</w:t>
      </w:r>
      <w:r>
        <w:rPr>
          <w:rFonts w:hint="eastAsia"/>
          <w:color w:val="auto"/>
        </w:rPr>
        <w:t>.</w:t>
      </w:r>
      <w:r>
        <w:rPr>
          <w:color w:val="auto"/>
        </w:rPr>
        <w:t>采取核定征收方式征收企业所得税的非居民企业，在中国境内从事适用不同核定利润率的经营活动，并取得应税所得的，应分别核算并适用相应的利润率计算缴纳企业所得税；凡不能分别核算的，应从高适用利润率，计算缴纳企业所得税。</w:t>
      </w:r>
    </w:p>
    <w:p>
      <w:pPr>
        <w:ind w:firstLine="472"/>
        <w:rPr>
          <w:color w:val="auto"/>
        </w:rPr>
      </w:pPr>
      <w:r>
        <w:rPr>
          <w:rFonts w:hint="eastAsia"/>
          <w:color w:val="auto"/>
          <w:lang w:val="en-US" w:eastAsia="zh-CN"/>
        </w:rPr>
        <w:t>4</w:t>
      </w:r>
      <w:r>
        <w:rPr>
          <w:rFonts w:hint="eastAsia"/>
          <w:color w:val="auto"/>
        </w:rPr>
        <w:t>.</w:t>
      </w:r>
      <w:r>
        <w:rPr>
          <w:color w:val="auto"/>
        </w:rPr>
        <w:t>纳税人在经营季度内无论盈利或者亏损，都应当按照有关规定办理纳税申报。</w:t>
      </w:r>
    </w:p>
    <w:p>
      <w:pPr>
        <w:ind w:firstLine="472"/>
        <w:rPr>
          <w:color w:val="auto"/>
        </w:rPr>
      </w:pPr>
      <w:r>
        <w:rPr>
          <w:rFonts w:hint="eastAsia"/>
          <w:color w:val="auto"/>
          <w:lang w:val="en-US" w:eastAsia="zh-CN"/>
        </w:rPr>
        <w:t>5</w:t>
      </w:r>
      <w:r>
        <w:rPr>
          <w:rFonts w:hint="eastAsia"/>
          <w:color w:val="auto"/>
        </w:rPr>
        <w:t>.</w:t>
      </w:r>
      <w:r>
        <w:rPr>
          <w:color w:val="auto"/>
        </w:rPr>
        <w:t>纳税人未按照规定的期限办理纳税申报和报送纳税资料的，依照税收征管法有关规定承担相应法律责任。</w:t>
      </w:r>
    </w:p>
    <w:p>
      <w:pPr>
        <w:ind w:firstLine="472"/>
        <w:rPr>
          <w:color w:val="auto"/>
        </w:rPr>
      </w:pPr>
      <w:r>
        <w:rPr>
          <w:rFonts w:hint="eastAsia"/>
          <w:color w:val="auto"/>
          <w:lang w:val="en-US" w:eastAsia="zh-CN"/>
        </w:rPr>
        <w:t>6</w:t>
      </w:r>
      <w:r>
        <w:rPr>
          <w:rFonts w:hint="eastAsia"/>
          <w:color w:val="auto"/>
        </w:rPr>
        <w:t>.</w:t>
      </w:r>
      <w:r>
        <w:rPr>
          <w:color w:val="auto"/>
        </w:rPr>
        <w:t>非居民企业在中国境内承包工程作业或提供劳务的，应当自项目合同或协议签订之日起</w:t>
      </w:r>
      <w:r>
        <w:rPr>
          <w:rFonts w:hint="eastAsia"/>
          <w:color w:val="auto"/>
        </w:rPr>
        <w:t>30</w:t>
      </w:r>
      <w:r>
        <w:rPr>
          <w:color w:val="auto"/>
        </w:rPr>
        <w:t>日内，向项目所在地主管税务机关办理税务登记手续。</w:t>
      </w:r>
    </w:p>
    <w:p>
      <w:pPr>
        <w:ind w:firstLine="472"/>
        <w:rPr>
          <w:color w:val="auto"/>
        </w:rPr>
      </w:pPr>
      <w:r>
        <w:rPr>
          <w:rFonts w:hint="eastAsia"/>
          <w:color w:val="auto"/>
          <w:lang w:val="en-US" w:eastAsia="zh-CN"/>
        </w:rPr>
        <w:t>7</w:t>
      </w:r>
      <w:r>
        <w:rPr>
          <w:rFonts w:hint="eastAsia"/>
          <w:color w:val="auto"/>
        </w:rPr>
        <w:t>.</w:t>
      </w:r>
      <w:r>
        <w:rPr>
          <w:color w:val="auto"/>
        </w:rPr>
        <w:t>非居民企业从事国际运输业务，已经办理税务登记的，应当向税务登记所在地主管税务机关依法申报缴纳企业所得税。</w:t>
      </w:r>
    </w:p>
    <w:p>
      <w:pPr>
        <w:ind w:firstLine="472"/>
        <w:rPr>
          <w:color w:val="auto"/>
        </w:rPr>
      </w:pPr>
      <w:r>
        <w:rPr>
          <w:rFonts w:hint="eastAsia"/>
          <w:color w:val="auto"/>
          <w:lang w:val="en-US" w:eastAsia="zh-CN"/>
        </w:rPr>
        <w:t>8</w:t>
      </w:r>
      <w:r>
        <w:rPr>
          <w:rFonts w:hint="eastAsia"/>
          <w:color w:val="auto"/>
        </w:rPr>
        <w:t>.</w:t>
      </w:r>
      <w:r>
        <w:rPr>
          <w:color w:val="auto"/>
        </w:rPr>
        <w:t>《中华人民共和国非居民企业所得税预缴申报表（</w:t>
      </w:r>
      <w:r>
        <w:rPr>
          <w:rFonts w:hint="eastAsia"/>
          <w:color w:val="auto"/>
        </w:rPr>
        <w:t>2019</w:t>
      </w:r>
      <w:r>
        <w:rPr>
          <w:color w:val="auto"/>
        </w:rPr>
        <w:t>年版）》启用前，按规定使用《中华人民共和国非居民企业所得税季度和年度纳税申报表（适用于核定征收企业）/（不构成常设机构和国际运输免税申报）》或《中华人民共和国非居民企业所得税季度纳税申报表（适用于据实申报企业）》。</w:t>
      </w:r>
    </w:p>
    <w:p>
      <w:pPr>
        <w:ind w:firstLine="472"/>
        <w:rPr>
          <w:color w:val="auto"/>
        </w:rPr>
      </w:pPr>
      <w:r>
        <w:rPr>
          <w:rFonts w:hint="eastAsia"/>
          <w:color w:val="auto"/>
          <w:lang w:val="en-US" w:eastAsia="zh-CN"/>
        </w:rPr>
        <w:t>9</w:t>
      </w:r>
      <w:r>
        <w:rPr>
          <w:color w:val="auto"/>
        </w:rPr>
        <w:t>.如需调整前期的申报或对前期申报进行补充申报，则通过申报错误更正业务进行办理；如属于纳税评估自查补报，则通过纳税评估通知书进行办理。</w:t>
      </w:r>
    </w:p>
    <w:p>
      <w:pPr>
        <w:ind w:firstLine="472"/>
        <w:rPr>
          <w:rFonts w:hint="eastAsia" w:eastAsia="宋体"/>
          <w:color w:val="auto"/>
          <w:lang w:eastAsia="zh-CN"/>
        </w:rPr>
      </w:pPr>
      <w:r>
        <w:rPr>
          <w:rFonts w:hint="eastAsia"/>
          <w:color w:val="auto"/>
        </w:rPr>
        <w:t>1</w:t>
      </w:r>
      <w:r>
        <w:rPr>
          <w:rFonts w:hint="eastAsia"/>
          <w:color w:val="auto"/>
          <w:lang w:val="en-US" w:eastAsia="zh-CN"/>
        </w:rPr>
        <w:t>0</w:t>
      </w:r>
      <w:r>
        <w:rPr>
          <w:rFonts w:hint="eastAsia"/>
          <w:color w:val="auto"/>
        </w:rPr>
        <w:t>.纳税人既有应退税款又有欠缴税款的，可以办理“抵缴欠税”业务。</w:t>
      </w:r>
    </w:p>
    <w:p>
      <w:pPr>
        <w:ind w:firstLine="472"/>
        <w:rPr>
          <w:rFonts w:hint="eastAsia"/>
          <w:color w:val="auto"/>
        </w:rPr>
      </w:pPr>
      <w:r>
        <w:rPr>
          <w:rFonts w:hint="eastAsia"/>
          <w:color w:val="auto"/>
          <w:lang w:val="en-US" w:eastAsia="zh-CN"/>
        </w:rPr>
        <w:t>11</w:t>
      </w:r>
      <w:r>
        <w:rPr>
          <w:rFonts w:hint="eastAsia"/>
          <w:color w:val="auto"/>
        </w:rPr>
        <w:t>.纳税人对报送资料的真实性和合法性承担责任。</w:t>
      </w:r>
    </w:p>
    <w:p>
      <w:pPr>
        <w:ind w:firstLine="472"/>
        <w:rPr>
          <w:rFonts w:hint="eastAsia"/>
          <w:color w:val="auto"/>
        </w:rPr>
      </w:pPr>
      <w:r>
        <w:rPr>
          <w:rFonts w:hint="eastAsia"/>
          <w:color w:val="auto"/>
          <w:lang w:val="en-US" w:eastAsia="zh-CN"/>
        </w:rPr>
        <w:t>12</w:t>
      </w:r>
      <w:r>
        <w:rPr>
          <w:rFonts w:hint="eastAsia"/>
          <w:color w:val="auto"/>
        </w:rPr>
        <w:t>.最多跑一次是在资料完整且符合法定受理条件的前提下，最多只需要到税务机关跑一次。</w:t>
      </w:r>
    </w:p>
    <w:p>
      <w:pPr>
        <w:ind w:firstLine="472"/>
        <w:rPr>
          <w:rFonts w:hint="default"/>
          <w:color w:val="auto"/>
          <w:lang w:val="en-US" w:eastAsia="zh-CN"/>
        </w:rPr>
      </w:pPr>
      <w:r>
        <w:rPr>
          <w:rFonts w:hint="eastAsia"/>
          <w:color w:val="auto"/>
          <w:lang w:val="en-US" w:eastAsia="zh-CN"/>
        </w:rPr>
        <w:t>13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5910"/>
    <w:multiLevelType w:val="multilevel"/>
    <w:tmpl w:val="0FB65910"/>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126CAA06"/>
    <w:multiLevelType w:val="singleLevel"/>
    <w:tmpl w:val="126CAA06"/>
    <w:lvl w:ilvl="0" w:tentative="0">
      <w:start w:val="2"/>
      <w:numFmt w:val="decimal"/>
      <w:lvlText w:val="%1."/>
      <w:lvlJc w:val="left"/>
      <w:pPr>
        <w:tabs>
          <w:tab w:val="left" w:pos="738"/>
        </w:tabs>
      </w:p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18278C"/>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2019-10-31T03:46:17Z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