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黑体" w:hAnsi="黑体" w:cs="黑体"/>
          <w:color w:val="auto"/>
        </w:rPr>
      </w:pPr>
      <w:bookmarkStart w:id="1" w:name="_GoBack"/>
      <w:bookmarkEnd w:id="1"/>
      <w:bookmarkStart w:id="0" w:name="_Toc21639"/>
      <w:r>
        <w:rPr>
          <w:rFonts w:ascii="黑体" w:hAnsi="黑体" w:cs="黑体"/>
          <w:color w:val="auto"/>
        </w:rPr>
        <w:t>1.1.1.</w:t>
      </w:r>
      <w:r>
        <w:rPr>
          <w:rFonts w:hint="eastAsia" w:ascii="黑体" w:hAnsi="黑体" w:cs="黑体"/>
          <w:color w:val="auto"/>
        </w:rPr>
        <w:t>2纳税人（扣缴义务人）身份信息报告</w:t>
      </w:r>
      <w:bookmarkEnd w:id="0"/>
    </w:p>
    <w:p>
      <w:pPr>
        <w:pStyle w:val="3"/>
        <w:ind w:firstLine="552"/>
        <w:rPr>
          <w:color w:val="auto"/>
        </w:rPr>
      </w:pPr>
      <w:r>
        <w:rPr>
          <w:color w:val="auto"/>
        </w:rPr>
        <w:t>一、事项名称</w:t>
      </w:r>
    </w:p>
    <w:p>
      <w:pPr>
        <w:ind w:firstLine="472"/>
        <w:rPr>
          <w:color w:val="auto"/>
        </w:rPr>
      </w:pPr>
      <w:r>
        <w:rPr>
          <w:rFonts w:hint="eastAsia"/>
          <w:color w:val="auto"/>
        </w:rPr>
        <w:t>纳税人（扣缴义务人）身份信息报告</w:t>
      </w:r>
    </w:p>
    <w:p>
      <w:pPr>
        <w:pStyle w:val="3"/>
        <w:ind w:firstLine="552"/>
        <w:rPr>
          <w:color w:val="auto"/>
        </w:rPr>
      </w:pPr>
      <w:r>
        <w:rPr>
          <w:color w:val="auto"/>
        </w:rPr>
        <w:t>二、事项类别</w:t>
      </w:r>
    </w:p>
    <w:p>
      <w:pPr>
        <w:pStyle w:val="49"/>
        <w:numPr>
          <w:ilvl w:val="0"/>
          <w:numId w:val="3"/>
        </w:numPr>
        <w:ind w:firstLineChars="0"/>
        <w:rPr>
          <w:color w:val="auto"/>
        </w:rPr>
      </w:pPr>
      <w:r>
        <w:rPr>
          <w:rFonts w:hint="eastAsia"/>
          <w:color w:val="auto"/>
        </w:rPr>
        <w:t>发起方式：人工发起（纳税人）</w:t>
      </w:r>
    </w:p>
    <w:p>
      <w:pPr>
        <w:pStyle w:val="47"/>
        <w:numPr>
          <w:ilvl w:val="0"/>
          <w:numId w:val="3"/>
        </w:numPr>
        <w:ind w:firstLineChars="0"/>
        <w:rPr>
          <w:color w:val="auto"/>
        </w:rPr>
      </w:pPr>
      <w:r>
        <w:rPr>
          <w:rFonts w:hint="eastAsia"/>
          <w:color w:val="auto"/>
        </w:rPr>
        <w:t>办结方式：即办</w:t>
      </w:r>
    </w:p>
    <w:p>
      <w:pPr>
        <w:pStyle w:val="47"/>
        <w:numPr>
          <w:ilvl w:val="0"/>
          <w:numId w:val="3"/>
        </w:numPr>
        <w:ind w:firstLineChars="0"/>
        <w:rPr>
          <w:color w:val="auto"/>
        </w:rPr>
      </w:pPr>
      <w:r>
        <w:rPr>
          <w:rFonts w:hint="eastAsia"/>
          <w:color w:val="auto"/>
        </w:rPr>
        <w:t>全省通办：是</w:t>
      </w:r>
    </w:p>
    <w:p>
      <w:pPr>
        <w:pStyle w:val="47"/>
        <w:numPr>
          <w:ilvl w:val="0"/>
          <w:numId w:val="3"/>
        </w:numPr>
        <w:ind w:firstLineChars="0"/>
        <w:rPr>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rPr>
        <w:t>办理条件</w:t>
      </w:r>
    </w:p>
    <w:p>
      <w:pPr>
        <w:ind w:firstLine="472"/>
        <w:rPr>
          <w:color w:val="auto"/>
        </w:rPr>
      </w:pPr>
      <w:r>
        <w:rPr>
          <w:rFonts w:hint="eastAsia"/>
          <w:color w:val="auto"/>
        </w:rPr>
        <w:t>不适用“多证合一”、“两证整合”的纳税人，满足以下情形的纳税人应办理纳税人（扣缴义务人）身份信息报告：</w:t>
      </w:r>
    </w:p>
    <w:p>
      <w:pPr>
        <w:ind w:firstLine="472"/>
        <w:rPr>
          <w:color w:val="auto"/>
        </w:rPr>
      </w:pPr>
      <w:r>
        <w:rPr>
          <w:color w:val="auto"/>
        </w:rPr>
        <w:t>1.未取得统一社会信用代码但经有关部门批准设立的；</w:t>
      </w:r>
    </w:p>
    <w:p>
      <w:pPr>
        <w:ind w:firstLine="472"/>
        <w:rPr>
          <w:color w:val="auto"/>
        </w:rPr>
      </w:pPr>
      <w:r>
        <w:rPr>
          <w:color w:val="auto"/>
        </w:rPr>
        <w:t>2.因经营地址变更等原因，注销后恢复开业的；</w:t>
      </w:r>
    </w:p>
    <w:p>
      <w:pPr>
        <w:ind w:firstLine="472"/>
        <w:rPr>
          <w:color w:val="auto"/>
        </w:rPr>
      </w:pPr>
      <w:r>
        <w:rPr>
          <w:color w:val="auto"/>
        </w:rPr>
        <w:t>3.有独立的生产经营权、在财务上独立核算并定期向发包人或者出租人上交承包费或租金的承包承租人；</w:t>
      </w:r>
    </w:p>
    <w:p>
      <w:pPr>
        <w:ind w:firstLine="472"/>
        <w:rPr>
          <w:color w:val="auto"/>
        </w:rPr>
      </w:pPr>
      <w:r>
        <w:rPr>
          <w:color w:val="auto"/>
        </w:rPr>
        <w:t>4.境外企业在中国境内承包建筑、安装、装配、勘探工程和提供劳务的；</w:t>
      </w:r>
    </w:p>
    <w:p>
      <w:pPr>
        <w:ind w:firstLine="472"/>
        <w:rPr>
          <w:color w:val="auto"/>
        </w:rPr>
      </w:pPr>
      <w:r>
        <w:rPr>
          <w:color w:val="auto"/>
        </w:rPr>
        <w:t>5.从事生产、经营的纳税人，应经有关部门批准设立但未经有关部门批准的；</w:t>
      </w:r>
    </w:p>
    <w:p>
      <w:pPr>
        <w:ind w:firstLine="472"/>
        <w:rPr>
          <w:color w:val="auto"/>
        </w:rPr>
      </w:pPr>
      <w:r>
        <w:rPr>
          <w:color w:val="auto"/>
        </w:rPr>
        <w:t>6.非境内注册居民企业收到居民身份认定书的；</w:t>
      </w:r>
    </w:p>
    <w:p>
      <w:pPr>
        <w:ind w:firstLine="472"/>
        <w:rPr>
          <w:color w:val="auto"/>
        </w:rPr>
      </w:pPr>
      <w:r>
        <w:rPr>
          <w:color w:val="auto"/>
        </w:rPr>
        <w:t>7.根据税收法律、行政法规的规定负有扣缴税款义务的扣缴义务人，应当办理扣缴税款登记的；</w:t>
      </w:r>
    </w:p>
    <w:p>
      <w:pPr>
        <w:ind w:firstLine="472"/>
        <w:rPr>
          <w:color w:val="auto"/>
        </w:rPr>
      </w:pPr>
      <w:r>
        <w:rPr>
          <w:rFonts w:hint="eastAsia"/>
          <w:color w:val="auto"/>
        </w:rPr>
        <w:t>上述纳税人（扣缴义务人）身份信息发生变化的也通过该事项办理。</w:t>
      </w:r>
    </w:p>
    <w:p>
      <w:pPr>
        <w:pStyle w:val="3"/>
        <w:ind w:firstLine="552"/>
        <w:rPr>
          <w:color w:val="auto"/>
        </w:rPr>
      </w:pPr>
      <w:r>
        <w:rPr>
          <w:rFonts w:hint="eastAsia"/>
          <w:color w:val="auto"/>
        </w:rPr>
        <w:t>四、设定依据</w:t>
      </w:r>
    </w:p>
    <w:p>
      <w:pPr>
        <w:ind w:firstLine="472"/>
        <w:rPr>
          <w:color w:val="auto"/>
        </w:rPr>
      </w:pPr>
      <w:r>
        <w:rPr>
          <w:color w:val="auto"/>
        </w:rPr>
        <w:t>1.《中华人民共和国税收征收管理法实施细则》第十三条</w:t>
      </w:r>
    </w:p>
    <w:p>
      <w:pPr>
        <w:ind w:firstLine="472"/>
        <w:rPr>
          <w:color w:val="auto"/>
        </w:rPr>
      </w:pPr>
      <w:r>
        <w:rPr>
          <w:color w:val="auto"/>
        </w:rPr>
        <w:t>“扣缴义务人应当自扣缴义务发生之日起30日内，向所在地的主管税务机关申报办理扣缴税款登记，领取扣缴税款登记证件；税务机关对已办理税务登记的扣缴义务人，可以只在其税务登记证件上登记扣缴税款事项，不再发给扣缴税款登记证件。”</w:t>
      </w:r>
    </w:p>
    <w:p>
      <w:pPr>
        <w:ind w:firstLine="472"/>
        <w:rPr>
          <w:color w:val="auto"/>
        </w:rPr>
      </w:pPr>
      <w:r>
        <w:rPr>
          <w:color w:val="auto"/>
        </w:rPr>
        <w:t>2.《税务登记管理办法》（国家税务总局令第7号公布，国家税务总局令第36号、第44号、第48号修改）第二条</w:t>
      </w:r>
    </w:p>
    <w:p>
      <w:pPr>
        <w:ind w:firstLine="472"/>
        <w:rPr>
          <w:color w:val="auto"/>
        </w:rPr>
      </w:pPr>
      <w:r>
        <w:rPr>
          <w:color w:val="auto"/>
        </w:rPr>
        <w:t>“企业，企业在外地设立的分支机构和从事生产、经营的场所，个体工商户和从事生产、经营的事业单位，均应当按照《税收征管法》及《实施细则》和本办法的规定办理税务登记。前款规定以外的纳税人，除国家机关、个人和无固定生产、经营场所的流动性农村小商贩外，也应当按照《税收征管法》及《实施细则》和本办法的规定办理税务登记。根据税收法律、行政法规的规定负有扣缴税款义务的扣缴义务人（国家机关除外），应当按照《税收征管法》及</w:t>
      </w:r>
      <w:r>
        <w:rPr>
          <w:rFonts w:hint="eastAsia"/>
          <w:color w:val="auto"/>
        </w:rPr>
        <w:t>《实施细则》和本办法的规定办理扣缴税款登记。</w:t>
      </w:r>
      <w:r>
        <w:rPr>
          <w:color w:val="auto"/>
        </w:rPr>
        <w:t>”</w:t>
      </w:r>
    </w:p>
    <w:p>
      <w:pPr>
        <w:ind w:firstLine="472"/>
        <w:rPr>
          <w:color w:val="auto"/>
        </w:rPr>
      </w:pPr>
      <w:r>
        <w:rPr>
          <w:color w:val="auto"/>
        </w:rPr>
        <w:t>3.《国家税务总局关于进一步完善税务登记管理有关问题的公告》（国家税务总局公告2011年第21号）</w:t>
      </w:r>
      <w:r>
        <w:rPr>
          <w:rFonts w:hint="eastAsia"/>
          <w:color w:val="auto"/>
        </w:rPr>
        <w:t>第一条</w:t>
      </w:r>
    </w:p>
    <w:p>
      <w:pPr>
        <w:ind w:firstLine="472"/>
        <w:rPr>
          <w:color w:val="auto"/>
        </w:rPr>
      </w:pPr>
      <w:r>
        <w:rPr>
          <w:rFonts w:hint="eastAsia"/>
          <w:color w:val="auto"/>
        </w:rPr>
        <w:t>“一、无照户纳税人的管理</w:t>
      </w:r>
    </w:p>
    <w:p>
      <w:pPr>
        <w:ind w:firstLine="472"/>
        <w:rPr>
          <w:color w:val="auto"/>
        </w:rPr>
      </w:pPr>
      <w:r>
        <w:rPr>
          <w:color w:val="auto"/>
        </w:rPr>
        <w:t>从事生产、经营的纳税人，应办而未办工商营业执照，或不需办理工商营业执照而需经有关部门批准设立但未经有关部门批准的（简称无照户纳税人），应当自纳税义务发生之日起30日内申报办理税务登记。税务机关对无照户纳税人核发临时税务登记证及副本，并限量供应发票。</w:t>
      </w:r>
    </w:p>
    <w:p>
      <w:pPr>
        <w:ind w:firstLine="472"/>
        <w:rPr>
          <w:color w:val="auto"/>
        </w:rPr>
      </w:pPr>
      <w:r>
        <w:rPr>
          <w:color w:val="auto"/>
        </w:rPr>
        <w:t>无照户纳税人已领取营业执照或已经有关部门批准的，应当自领取营业执照或自有关部门批准设立之日起30日内，向税务机关申报办理税务登记，税务机关核发税务登记证及副本；已领取临时税务登记证及副本的，税务机关应当同时收回并做作废处理。</w:t>
      </w:r>
      <w:r>
        <w:rPr>
          <w:rFonts w:hint="eastAsia"/>
          <w:color w:val="auto"/>
        </w:rPr>
        <w:t>”</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beforeAutospacing="0" w:after="100" w:afterAutospacing="0" w:line="280" w:lineRule="exact"/>
              <w:ind w:firstLine="352"/>
              <w:jc w:val="center"/>
              <w:rPr>
                <w:rFonts w:ascii="宋体" w:hAnsi="宋体" w:eastAsia="宋体"/>
                <w:color w:val="auto"/>
                <w:sz w:val="18"/>
                <w:szCs w:val="18"/>
              </w:rPr>
            </w:pPr>
            <w:r>
              <w:rPr>
                <w:rFonts w:ascii="宋体" w:hAnsi="宋体" w:eastAsia="宋体" w:cs="微软雅黑"/>
                <w:color w:val="auto"/>
                <w:sz w:val="18"/>
                <w:szCs w:val="18"/>
              </w:rPr>
              <w:t>1</w:t>
            </w:r>
          </w:p>
        </w:tc>
        <w:tc>
          <w:tcPr>
            <w:tcW w:w="2551" w:type="dxa"/>
            <w:shd w:val="clear" w:color="auto" w:fill="auto"/>
            <w:vAlign w:val="center"/>
          </w:tcPr>
          <w:p>
            <w:pPr>
              <w:widowControl/>
              <w:spacing w:line="280" w:lineRule="exact"/>
              <w:ind w:firstLine="0" w:firstLineChars="0"/>
              <w:jc w:val="left"/>
              <w:rPr>
                <w:color w:val="auto"/>
                <w:sz w:val="18"/>
                <w:szCs w:val="18"/>
              </w:rPr>
            </w:pPr>
            <w:r>
              <w:rPr>
                <w:rFonts w:hint="eastAsia" w:cs="宋体"/>
                <w:color w:val="auto"/>
                <w:kern w:val="0"/>
                <w:sz w:val="18"/>
                <w:szCs w:val="18"/>
              </w:rPr>
              <w:t>《纳税人（扣缴义务人）基础信息报告表》</w:t>
            </w:r>
          </w:p>
        </w:tc>
        <w:tc>
          <w:tcPr>
            <w:tcW w:w="709" w:type="dxa"/>
            <w:shd w:val="clear" w:color="auto" w:fill="auto"/>
            <w:vAlign w:val="center"/>
          </w:tcPr>
          <w:p>
            <w:pPr>
              <w:widowControl/>
              <w:spacing w:line="280" w:lineRule="exact"/>
              <w:ind w:firstLine="0" w:firstLineChars="0"/>
              <w:jc w:val="center"/>
              <w:rPr>
                <w:rStyle w:val="17"/>
                <w:rFonts w:cs="微软雅黑"/>
                <w:color w:val="auto"/>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微软雅黑"/>
                <w:color w:val="auto"/>
                <w:sz w:val="18"/>
                <w:szCs w:val="18"/>
              </w:rPr>
            </w:pPr>
            <w:r>
              <w:rPr>
                <w:rFonts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微软雅黑"/>
                <w:color w:val="auto"/>
                <w:sz w:val="18"/>
                <w:szCs w:val="18"/>
              </w:rPr>
              <w:t>不</w:t>
            </w:r>
            <w:r>
              <w:rPr>
                <w:rFonts w:cs="微软雅黑"/>
                <w:color w:val="auto"/>
                <w:sz w:val="18"/>
                <w:szCs w:val="18"/>
              </w:rPr>
              <w:t>适用</w:t>
            </w:r>
            <w:r>
              <w:rPr>
                <w:rFonts w:hint="eastAsia" w:cs="微软雅黑"/>
                <w:color w:val="auto"/>
                <w:sz w:val="18"/>
                <w:szCs w:val="18"/>
              </w:rPr>
              <w:t>“多证合一”、“两证整合”的纳税人，满足本事项“业务概述”中特定情形时报送</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beforeAutospacing="0" w:after="100" w:afterAutospacing="0" w:line="280" w:lineRule="exact"/>
              <w:ind w:firstLine="352"/>
              <w:jc w:val="center"/>
              <w:rPr>
                <w:rFonts w:ascii="宋体" w:hAnsi="宋体" w:eastAsia="宋体"/>
                <w:color w:val="auto"/>
                <w:sz w:val="18"/>
                <w:szCs w:val="18"/>
              </w:rPr>
            </w:pPr>
            <w:r>
              <w:rPr>
                <w:rFonts w:hint="eastAsia" w:ascii="宋体" w:hAnsi="宋体" w:eastAsia="宋体" w:cs="微软雅黑"/>
                <w:color w:val="auto"/>
                <w:sz w:val="18"/>
                <w:szCs w:val="18"/>
              </w:rPr>
              <w:t>2</w:t>
            </w:r>
          </w:p>
        </w:tc>
        <w:tc>
          <w:tcPr>
            <w:tcW w:w="2551" w:type="dxa"/>
            <w:shd w:val="clear" w:color="auto" w:fill="auto"/>
            <w:vAlign w:val="center"/>
          </w:tcPr>
          <w:p>
            <w:pPr>
              <w:widowControl/>
              <w:spacing w:line="280" w:lineRule="exact"/>
              <w:ind w:firstLine="0" w:firstLineChars="0"/>
              <w:jc w:val="left"/>
              <w:rPr>
                <w:color w:val="auto"/>
                <w:sz w:val="18"/>
                <w:szCs w:val="18"/>
              </w:rPr>
            </w:pPr>
            <w:r>
              <w:rPr>
                <w:rFonts w:hint="eastAsia" w:cs="宋体"/>
                <w:color w:val="auto"/>
                <w:kern w:val="0"/>
                <w:sz w:val="18"/>
                <w:szCs w:val="18"/>
              </w:rPr>
              <w:t>法定代表人（负责人）居民身份证、护照或其他证明身份的合法证件原件</w:t>
            </w:r>
          </w:p>
        </w:tc>
        <w:tc>
          <w:tcPr>
            <w:tcW w:w="709" w:type="dxa"/>
            <w:shd w:val="clear" w:color="auto" w:fill="auto"/>
            <w:vAlign w:val="center"/>
          </w:tcPr>
          <w:p>
            <w:pPr>
              <w:widowControl/>
              <w:spacing w:line="280" w:lineRule="exact"/>
              <w:ind w:firstLine="0" w:firstLineChars="0"/>
              <w:jc w:val="center"/>
              <w:rPr>
                <w:b/>
                <w:color w:val="auto"/>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color w:val="auto"/>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新增基础信息采集的单位纳税人、临时税务登记纳税人、个体经营纳税人</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beforeAutospacing="0" w:after="100" w:afterAutospacing="0" w:line="280" w:lineRule="exact"/>
              <w:ind w:firstLine="352"/>
              <w:jc w:val="center"/>
              <w:rPr>
                <w:rFonts w:ascii="宋体" w:hAnsi="宋体" w:eastAsia="宋体"/>
                <w:color w:val="auto"/>
                <w:sz w:val="18"/>
                <w:szCs w:val="18"/>
              </w:rPr>
            </w:pPr>
            <w:r>
              <w:rPr>
                <w:rFonts w:hint="eastAsia" w:ascii="宋体" w:hAnsi="宋体" w:eastAsia="宋体" w:cs="微软雅黑"/>
                <w:color w:val="auto"/>
                <w:sz w:val="18"/>
                <w:szCs w:val="18"/>
              </w:rPr>
              <w:t>3</w:t>
            </w:r>
          </w:p>
        </w:tc>
        <w:tc>
          <w:tcPr>
            <w:tcW w:w="2551" w:type="dxa"/>
            <w:shd w:val="clear" w:color="auto" w:fill="auto"/>
            <w:vAlign w:val="center"/>
          </w:tcPr>
          <w:p>
            <w:pPr>
              <w:widowControl/>
              <w:spacing w:line="280" w:lineRule="exact"/>
              <w:ind w:firstLine="0" w:firstLineChars="0"/>
              <w:jc w:val="left"/>
              <w:rPr>
                <w:color w:val="auto"/>
                <w:sz w:val="18"/>
                <w:szCs w:val="18"/>
              </w:rPr>
            </w:pPr>
            <w:r>
              <w:rPr>
                <w:rFonts w:hint="eastAsia" w:cs="宋体"/>
                <w:color w:val="auto"/>
                <w:kern w:val="0"/>
                <w:sz w:val="18"/>
                <w:szCs w:val="18"/>
              </w:rPr>
              <w:t>变更信息的有关资料或证明材料复印件</w:t>
            </w:r>
          </w:p>
        </w:tc>
        <w:tc>
          <w:tcPr>
            <w:tcW w:w="709" w:type="dxa"/>
            <w:shd w:val="clear" w:color="auto" w:fill="auto"/>
            <w:vAlign w:val="center"/>
          </w:tcPr>
          <w:p>
            <w:pPr>
              <w:widowControl/>
              <w:spacing w:line="280" w:lineRule="exact"/>
              <w:ind w:firstLine="0" w:firstLineChars="0"/>
              <w:jc w:val="center"/>
              <w:rPr>
                <w:color w:val="auto"/>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color w:val="auto"/>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color w:val="auto"/>
                <w:sz w:val="18"/>
                <w:szCs w:val="18"/>
              </w:rPr>
            </w:pPr>
            <w:r>
              <w:rPr>
                <w:rFonts w:hint="eastAsia"/>
                <w:color w:val="auto"/>
                <w:sz w:val="18"/>
                <w:szCs w:val="18"/>
              </w:rPr>
              <w:t>纳税人（扣缴义务人）身份信息发生变更的。</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w:t>
      </w:r>
      <w:r>
        <w:rPr>
          <w:color w:val="auto"/>
        </w:rPr>
        <w:t>、办理流程</w:t>
      </w:r>
    </w:p>
    <w:p>
      <w:pPr>
        <w:spacing w:line="240" w:lineRule="auto"/>
        <w:ind w:left="472" w:firstLine="0" w:firstLineChars="0"/>
        <w:rPr>
          <w:color w:val="auto"/>
        </w:rPr>
      </w:pPr>
      <w:r>
        <w:rPr>
          <w:color w:val="auto"/>
        </w:rPr>
        <w:drawing>
          <wp:inline distT="0" distB="0" distL="0" distR="0">
            <wp:extent cx="4866640" cy="1095375"/>
            <wp:effectExtent l="0" t="0" r="1016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4866640" cy="1095375"/>
                    </a:xfrm>
                    <a:prstGeom prst="rect">
                      <a:avLst/>
                    </a:prstGeom>
                    <a:noFill/>
                  </pic:spPr>
                </pic:pic>
              </a:graphicData>
            </a:graphic>
          </wp:inline>
        </w:drawing>
      </w:r>
    </w:p>
    <w:p>
      <w:pPr>
        <w:spacing w:line="240" w:lineRule="auto"/>
        <w:ind w:firstLine="0" w:firstLineChars="0"/>
        <w:rPr>
          <w:color w:val="auto"/>
        </w:rPr>
      </w:pP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rFonts w:hint="eastAsia"/>
          <w:color w:val="auto"/>
        </w:rPr>
        <w:t>1.</w:t>
      </w:r>
      <w:r>
        <w:rPr>
          <w:color w:val="auto"/>
        </w:rPr>
        <w:t>A01083</w:t>
      </w:r>
      <w:r>
        <w:rPr>
          <w:rFonts w:hint="eastAsia"/>
          <w:color w:val="auto"/>
        </w:rPr>
        <w:t>《纳税人（扣缴义务人）基础信息报告表》</w:t>
      </w:r>
    </w:p>
    <w:p>
      <w:pPr>
        <w:pStyle w:val="3"/>
        <w:ind w:firstLine="552"/>
        <w:rPr>
          <w:color w:val="auto"/>
        </w:rPr>
      </w:pPr>
      <w:r>
        <w:rPr>
          <w:rFonts w:hint="eastAsia"/>
          <w:color w:val="auto"/>
        </w:rPr>
        <w:t>九、注意事项</w:t>
      </w:r>
    </w:p>
    <w:p>
      <w:pPr>
        <w:ind w:firstLine="472"/>
        <w:rPr>
          <w:color w:val="auto"/>
        </w:rPr>
      </w:pPr>
      <w:r>
        <w:rPr>
          <w:color w:val="auto"/>
        </w:rPr>
        <w:t>1</w:t>
      </w:r>
      <w:r>
        <w:rPr>
          <w:rFonts w:hint="eastAsia"/>
          <w:color w:val="auto"/>
        </w:rPr>
        <w:t>.纳税人对报送资料的真实性和合法性承担责任。</w:t>
      </w:r>
    </w:p>
    <w:p>
      <w:pPr>
        <w:ind w:firstLine="472"/>
        <w:jc w:val="left"/>
        <w:rPr>
          <w:color w:val="auto"/>
        </w:rPr>
      </w:pPr>
      <w:r>
        <w:rPr>
          <w:color w:val="auto"/>
        </w:rPr>
        <w:t>2</w:t>
      </w:r>
      <w:r>
        <w:rPr>
          <w:rFonts w:hint="eastAsia"/>
          <w:color w:val="auto"/>
        </w:rPr>
        <w:t>.最多跑一次是在资料完整且符合法定受理条件的前提下，最多只需要到税务机关跑一次。</w:t>
      </w:r>
    </w:p>
    <w:p>
      <w:pPr>
        <w:ind w:firstLine="472"/>
        <w:jc w:val="left"/>
        <w:rPr>
          <w:color w:val="auto"/>
        </w:rPr>
      </w:pPr>
      <w:r>
        <w:rPr>
          <w:color w:val="auto"/>
        </w:rPr>
        <w:t>3</w:t>
      </w:r>
      <w:r>
        <w:rPr>
          <w:rFonts w:hint="eastAsia"/>
          <w:color w:val="auto"/>
        </w:rPr>
        <w:t>.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1487093"/>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2019-10-31T03:27:24Z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