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5492"/>
      <w:r>
        <w:rPr>
          <w:rFonts w:hint="eastAsia" w:ascii="黑体" w:hAnsi="黑体" w:cs="黑体"/>
          <w:color w:val="auto"/>
          <w:lang w:val="en-US" w:eastAsia="zh-CN"/>
        </w:rPr>
        <w:t>1.1.2.8</w:t>
      </w:r>
      <w:r>
        <w:rPr>
          <w:rFonts w:hint="eastAsia" w:ascii="黑体" w:hAnsi="黑体" w:cs="黑体"/>
          <w:color w:val="auto"/>
        </w:rPr>
        <w:t>出口退（免）税企业资格信息报告（退税代理机构）</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出口退（免）税企业资格信息报告（退税代理机构）</w:t>
      </w:r>
    </w:p>
    <w:p>
      <w:pPr>
        <w:pStyle w:val="3"/>
        <w:ind w:firstLine="552"/>
        <w:rPr>
          <w:color w:val="auto"/>
        </w:rPr>
      </w:pPr>
      <w:r>
        <w:rPr>
          <w:color w:val="auto"/>
        </w:rPr>
        <w:t>二、事项类别</w:t>
      </w:r>
    </w:p>
    <w:p>
      <w:pPr>
        <w:pStyle w:val="47"/>
        <w:numPr>
          <w:ilvl w:val="0"/>
          <w:numId w:val="3"/>
        </w:numPr>
        <w:ind w:firstLineChars="0"/>
        <w:rPr>
          <w:rFonts w:cs="Times New Roman"/>
          <w:color w:val="auto"/>
        </w:rPr>
      </w:pPr>
      <w:r>
        <w:rPr>
          <w:rFonts w:hint="eastAsia"/>
          <w:color w:val="auto"/>
        </w:rPr>
        <w:t>发起方式：人工发起（纳税人）</w:t>
      </w:r>
    </w:p>
    <w:p>
      <w:pPr>
        <w:pStyle w:val="47"/>
        <w:numPr>
          <w:ilvl w:val="0"/>
          <w:numId w:val="3"/>
        </w:numPr>
        <w:ind w:firstLineChars="0"/>
        <w:rPr>
          <w:rFonts w:cs="Times New Roman"/>
          <w:color w:val="auto"/>
        </w:rPr>
      </w:pPr>
      <w:r>
        <w:rPr>
          <w:rFonts w:hint="eastAsia"/>
          <w:color w:val="auto"/>
        </w:rPr>
        <w:t>办结方式：即办</w:t>
      </w:r>
    </w:p>
    <w:p>
      <w:pPr>
        <w:pStyle w:val="47"/>
        <w:numPr>
          <w:ilvl w:val="0"/>
          <w:numId w:val="3"/>
        </w:numPr>
        <w:ind w:firstLineChars="0"/>
        <w:rPr>
          <w:rFonts w:cs="Times New Roman"/>
          <w:color w:val="auto"/>
        </w:rPr>
      </w:pPr>
      <w:r>
        <w:rPr>
          <w:rFonts w:hint="eastAsia"/>
          <w:color w:val="auto"/>
        </w:rPr>
        <w:t>全省通办：否</w:t>
      </w:r>
    </w:p>
    <w:p>
      <w:pPr>
        <w:pStyle w:val="47"/>
        <w:numPr>
          <w:ilvl w:val="0"/>
          <w:numId w:val="3"/>
        </w:numPr>
        <w:ind w:firstLineChars="0"/>
        <w:rPr>
          <w:rFonts w:cs="Times New Roman"/>
          <w:color w:val="auto"/>
        </w:rPr>
      </w:pPr>
      <w:r>
        <w:rPr>
          <w:rFonts w:hint="eastAsia"/>
          <w:color w:val="auto"/>
        </w:rPr>
        <w:t>网上办理：否</w:t>
      </w:r>
    </w:p>
    <w:p>
      <w:pPr>
        <w:pStyle w:val="47"/>
        <w:numPr>
          <w:ilvl w:val="0"/>
          <w:numId w:val="3"/>
        </w:numPr>
        <w:ind w:firstLineChars="0"/>
        <w:rPr>
          <w:rFonts w:cs="Times New Roman"/>
          <w:color w:val="auto"/>
        </w:rPr>
      </w:pPr>
      <w:r>
        <w:rPr>
          <w:rFonts w:hint="eastAsia"/>
          <w:color w:val="auto"/>
        </w:rPr>
        <w:t>适用层级：</w:t>
      </w:r>
      <w:r>
        <w:rPr>
          <w:rFonts w:hint="eastAsia"/>
          <w:color w:val="auto"/>
          <w:kern w:val="0"/>
        </w:rPr>
        <w:t>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cs="Times New Roman"/>
          <w:color w:val="auto"/>
        </w:rPr>
      </w:pPr>
      <w:r>
        <w:rPr>
          <w:rFonts w:hint="eastAsia"/>
          <w:color w:val="auto"/>
        </w:rPr>
        <w:t>符合规定条件的银行可以申请成为退税代理机构。退税代理机构由省税务局会同财政、海关等部门，按照公平、公开、公正的原则选择，并由省税务局公告。完成选定手续后，省税务局应与选定的退税代理机构签订服务协议，服务期限为两年。选定为退税代理机构的银行在首次向主管税务机关申报境外旅客离境退税结算时，需向主管税务机关提供《出口退（免）税备案表》及相关资料，主管税务机关应结合其提供的资料办理退税代理机构备案手续。</w:t>
      </w:r>
    </w:p>
    <w:p>
      <w:pPr>
        <w:pStyle w:val="3"/>
        <w:ind w:firstLine="552"/>
        <w:rPr>
          <w:color w:val="auto"/>
        </w:rPr>
      </w:pPr>
      <w:r>
        <w:rPr>
          <w:rFonts w:hint="eastAsia"/>
          <w:color w:val="auto"/>
        </w:rPr>
        <w:t>四、设定依据</w:t>
      </w:r>
    </w:p>
    <w:p>
      <w:pPr>
        <w:ind w:firstLine="472"/>
        <w:rPr>
          <w:rFonts w:cs="Times New Roman"/>
          <w:color w:val="auto"/>
        </w:rPr>
      </w:pPr>
      <w:r>
        <w:rPr>
          <w:color w:val="auto"/>
        </w:rPr>
        <w:t>1.</w:t>
      </w:r>
      <w:r>
        <w:rPr>
          <w:rFonts w:hint="eastAsia"/>
          <w:color w:val="auto"/>
        </w:rPr>
        <w:t>《国家税务总局关于发布〈境外旅客购物离境退税管理办法（试行）〉的公告》（国家税务总局公告</w:t>
      </w:r>
      <w:r>
        <w:rPr>
          <w:color w:val="auto"/>
        </w:rPr>
        <w:t>2015</w:t>
      </w:r>
      <w:r>
        <w:rPr>
          <w:rFonts w:hint="eastAsia"/>
          <w:color w:val="auto"/>
        </w:rPr>
        <w:t>年第</w:t>
      </w:r>
      <w:r>
        <w:rPr>
          <w:color w:val="auto"/>
        </w:rPr>
        <w:t>41</w:t>
      </w:r>
      <w:r>
        <w:rPr>
          <w:rFonts w:hint="eastAsia"/>
          <w:color w:val="auto"/>
        </w:rPr>
        <w:t>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《出口退（免）税备案表》及电子数据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与省税务局签订的服务协议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p>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r>
        <w:rPr>
          <w:color w:val="auto"/>
        </w:rPr>
        <w:drawing>
          <wp:inline distT="0" distB="0" distL="114300" distR="114300">
            <wp:extent cx="5536565" cy="1216025"/>
            <wp:effectExtent l="0" t="0" r="6985" b="3175"/>
            <wp:docPr id="6" name="图片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46"/>
                    <pic:cNvPicPr>
                      <a:picLocks noChangeAspect="1"/>
                    </pic:cNvPicPr>
                  </pic:nvPicPr>
                  <pic:blipFill>
                    <a:blip r:embed="rId10"/>
                    <a:stretch>
                      <a:fillRect/>
                    </a:stretch>
                  </pic:blipFill>
                  <pic:spPr>
                    <a:xfrm>
                      <a:off x="0" y="0"/>
                      <a:ext cx="5536565" cy="1216025"/>
                    </a:xfrm>
                    <a:prstGeom prst="rect">
                      <a:avLst/>
                    </a:prstGeom>
                    <a:noFill/>
                    <a:ln>
                      <a:noFill/>
                    </a:ln>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sz w:val="24"/>
          <w:szCs w:val="24"/>
          <w:lang w:eastAsia="zh-CN"/>
        </w:rPr>
      </w:pPr>
      <w:r>
        <w:rPr>
          <w:rFonts w:hint="eastAsia"/>
          <w:color w:val="auto"/>
          <w:sz w:val="24"/>
          <w:szCs w:val="24"/>
        </w:rPr>
        <w:t>1.</w:t>
      </w:r>
      <w:r>
        <w:rPr>
          <w:rFonts w:hint="eastAsia"/>
          <w:color w:val="auto"/>
          <w:sz w:val="24"/>
          <w:szCs w:val="24"/>
          <w:lang w:val="en-US" w:eastAsia="zh-CN"/>
        </w:rPr>
        <w:t>A04042</w:t>
      </w:r>
      <w:r>
        <w:rPr>
          <w:rFonts w:hint="eastAsia"/>
          <w:color w:val="auto"/>
          <w:sz w:val="24"/>
          <w:szCs w:val="24"/>
        </w:rPr>
        <w:t>《出口退（免）税备案表》</w:t>
      </w:r>
      <w:r>
        <w:rPr>
          <w:rFonts w:hint="eastAsia"/>
          <w:color w:val="auto"/>
          <w:sz w:val="24"/>
          <w:szCs w:val="24"/>
          <w:lang w:eastAsia="zh-CN"/>
        </w:rPr>
        <w:t>（</w:t>
      </w:r>
      <w:r>
        <w:rPr>
          <w:rFonts w:hint="eastAsia"/>
          <w:color w:val="auto"/>
          <w:sz w:val="24"/>
          <w:szCs w:val="24"/>
          <w:lang w:val="en-US" w:eastAsia="zh-CN"/>
        </w:rPr>
        <w:t>A04042</w:t>
      </w:r>
      <w:r>
        <w:rPr>
          <w:rFonts w:hint="eastAsia"/>
          <w:color w:val="auto"/>
          <w:sz w:val="24"/>
          <w:szCs w:val="24"/>
        </w:rPr>
        <w:t>《出口退（免）税备案表》</w:t>
      </w:r>
      <w:r>
        <w:rPr>
          <w:rFonts w:hint="eastAsia"/>
          <w:color w:val="auto"/>
          <w:sz w:val="24"/>
          <w:szCs w:val="24"/>
          <w:lang w:val="en-US" w:eastAsia="zh-CN"/>
        </w:rPr>
        <w:t>(</w:t>
      </w:r>
      <w:r>
        <w:rPr>
          <w:rFonts w:hint="eastAsia"/>
          <w:color w:val="auto"/>
          <w:sz w:val="24"/>
          <w:szCs w:val="24"/>
          <w:lang w:eastAsia="zh-CN"/>
        </w:rPr>
        <w:t>填表样例</w:t>
      </w:r>
      <w:r>
        <w:rPr>
          <w:rFonts w:hint="eastAsia"/>
          <w:color w:val="auto"/>
          <w:sz w:val="24"/>
          <w:szCs w:val="24"/>
          <w:lang w:val="en-US" w:eastAsia="zh-CN"/>
        </w:rPr>
        <w:t>)</w:t>
      </w:r>
      <w:r>
        <w:rPr>
          <w:rFonts w:hint="eastAsia"/>
          <w:color w:val="auto"/>
          <w:sz w:val="24"/>
          <w:szCs w:val="24"/>
          <w:lang w:eastAsia="zh-CN"/>
        </w:rPr>
        <w:t>）</w:t>
      </w:r>
    </w:p>
    <w:p>
      <w:pPr>
        <w:pStyle w:val="3"/>
        <w:ind w:firstLine="552"/>
        <w:rPr>
          <w:color w:val="auto"/>
        </w:rPr>
      </w:pPr>
      <w:r>
        <w:rPr>
          <w:rFonts w:hint="eastAsia"/>
          <w:color w:val="auto"/>
        </w:rPr>
        <w:t>九、注意事项</w:t>
      </w:r>
    </w:p>
    <w:p>
      <w:pPr>
        <w:ind w:firstLine="472"/>
        <w:rPr>
          <w:rFonts w:cs="Times New Roman"/>
          <w:color w:val="auto"/>
        </w:rPr>
      </w:pPr>
      <w:r>
        <w:rPr>
          <w:color w:val="auto"/>
        </w:rPr>
        <w:t>1.</w:t>
      </w:r>
      <w:r>
        <w:rPr>
          <w:rFonts w:hint="eastAsia"/>
          <w:color w:val="auto"/>
        </w:rPr>
        <w:t>具备以下条件的银行，可以申请成为退税代理机构：</w:t>
      </w:r>
    </w:p>
    <w:p>
      <w:pPr>
        <w:ind w:firstLine="472"/>
        <w:rPr>
          <w:rFonts w:cs="Times New Roman"/>
          <w:color w:val="auto"/>
        </w:rPr>
      </w:pPr>
      <w:r>
        <w:rPr>
          <w:rFonts w:hint="eastAsia"/>
          <w:color w:val="auto"/>
        </w:rPr>
        <w:t>（1）能够在离境口岸隔离区内具备办理退税业务的场所和相关设施；</w:t>
      </w:r>
    </w:p>
    <w:p>
      <w:pPr>
        <w:ind w:firstLine="472"/>
        <w:rPr>
          <w:rFonts w:cs="Times New Roman"/>
          <w:color w:val="auto"/>
        </w:rPr>
      </w:pPr>
      <w:r>
        <w:rPr>
          <w:rFonts w:hint="eastAsia"/>
          <w:color w:val="auto"/>
        </w:rPr>
        <w:t>（2）具备离境退税管理系统运行条件，能够及时、准确地向主管税务机关报送相关信息；</w:t>
      </w:r>
    </w:p>
    <w:p>
      <w:pPr>
        <w:ind w:firstLine="472"/>
        <w:rPr>
          <w:rFonts w:cs="Times New Roman"/>
          <w:color w:val="auto"/>
        </w:rPr>
      </w:pPr>
      <w:r>
        <w:rPr>
          <w:rFonts w:hint="eastAsia"/>
          <w:color w:val="auto"/>
        </w:rPr>
        <w:t>（3）遵守税收法律法规规定，三年内未因发生税收违法行为受到行政、刑事处理的；</w:t>
      </w:r>
    </w:p>
    <w:p>
      <w:pPr>
        <w:ind w:firstLine="472"/>
        <w:rPr>
          <w:rFonts w:cs="Times New Roman"/>
          <w:color w:val="auto"/>
        </w:rPr>
      </w:pPr>
      <w:r>
        <w:rPr>
          <w:rFonts w:hint="eastAsia"/>
          <w:color w:val="auto"/>
        </w:rPr>
        <w:t>（4）愿意先行垫付退税资金。</w:t>
      </w:r>
    </w:p>
    <w:p>
      <w:pPr>
        <w:ind w:firstLine="472"/>
        <w:rPr>
          <w:color w:val="auto"/>
        </w:rPr>
      </w:pPr>
      <w:r>
        <w:rPr>
          <w:color w:val="auto"/>
        </w:rPr>
        <w:t>2.</w:t>
      </w:r>
      <w:r>
        <w:rPr>
          <w:rFonts w:hint="eastAsia"/>
          <w:color w:val="auto"/>
        </w:rPr>
        <w:t>主管税务机关应加强对退税代理机构的管理，发现退税代理机构存在以下情形之一的，应逐级上报省税务局，省税务局会商同级财政、海关等部门后终止其退税代理服务，注销其离境退税管理系统用户：</w:t>
      </w:r>
    </w:p>
    <w:p>
      <w:pPr>
        <w:ind w:firstLine="472"/>
        <w:rPr>
          <w:color w:val="auto"/>
        </w:rPr>
      </w:pPr>
      <w:r>
        <w:rPr>
          <w:rFonts w:hint="eastAsia"/>
          <w:color w:val="auto"/>
        </w:rPr>
        <w:t>（</w:t>
      </w:r>
      <w:r>
        <w:rPr>
          <w:color w:val="auto"/>
        </w:rPr>
        <w:t>1</w:t>
      </w:r>
      <w:r>
        <w:rPr>
          <w:rFonts w:hint="eastAsia"/>
          <w:color w:val="auto"/>
        </w:rPr>
        <w:t>）不符合申请成为退税代理机构条件的；</w:t>
      </w:r>
    </w:p>
    <w:p>
      <w:pPr>
        <w:ind w:firstLine="472"/>
        <w:rPr>
          <w:color w:val="auto"/>
        </w:rPr>
      </w:pPr>
      <w:r>
        <w:rPr>
          <w:rFonts w:hint="eastAsia"/>
          <w:color w:val="auto"/>
        </w:rPr>
        <w:t>（</w:t>
      </w:r>
      <w:r>
        <w:rPr>
          <w:color w:val="auto"/>
        </w:rPr>
        <w:t>2</w:t>
      </w:r>
      <w:r>
        <w:rPr>
          <w:rFonts w:hint="eastAsia"/>
          <w:color w:val="auto"/>
        </w:rPr>
        <w:t>）未按规定申报境外旅客离境退税结算；</w:t>
      </w:r>
    </w:p>
    <w:p>
      <w:pPr>
        <w:ind w:firstLine="472"/>
        <w:rPr>
          <w:color w:val="auto"/>
        </w:rPr>
      </w:pPr>
      <w:r>
        <w:rPr>
          <w:rFonts w:hint="eastAsia"/>
          <w:color w:val="auto"/>
        </w:rPr>
        <w:t>（</w:t>
      </w:r>
      <w:r>
        <w:rPr>
          <w:color w:val="auto"/>
        </w:rPr>
        <w:t>3</w:t>
      </w:r>
      <w:r>
        <w:rPr>
          <w:rFonts w:hint="eastAsia"/>
          <w:color w:val="auto"/>
        </w:rPr>
        <w:t>）境外旅客离境退税结算申报资料未按规定留存备查；</w:t>
      </w:r>
    </w:p>
    <w:p>
      <w:pPr>
        <w:ind w:firstLine="472"/>
        <w:rPr>
          <w:color w:val="auto"/>
        </w:rPr>
      </w:pPr>
      <w:r>
        <w:rPr>
          <w:rFonts w:hint="eastAsia"/>
          <w:color w:val="auto"/>
        </w:rPr>
        <w:t>（</w:t>
      </w:r>
      <w:r>
        <w:rPr>
          <w:color w:val="auto"/>
        </w:rPr>
        <w:t>4</w:t>
      </w:r>
      <w:r>
        <w:rPr>
          <w:rFonts w:hint="eastAsia"/>
          <w:color w:val="auto"/>
        </w:rPr>
        <w:t>）将境外旅客不符合规定的离境退税申请办理了退税，并申报境外旅客离境退税结算；</w:t>
      </w:r>
    </w:p>
    <w:p>
      <w:pPr>
        <w:ind w:firstLine="472"/>
        <w:rPr>
          <w:color w:val="auto"/>
        </w:rPr>
      </w:pPr>
      <w:r>
        <w:rPr>
          <w:rFonts w:hint="eastAsia"/>
          <w:color w:val="auto"/>
        </w:rPr>
        <w:t>（</w:t>
      </w:r>
      <w:r>
        <w:rPr>
          <w:color w:val="auto"/>
        </w:rPr>
        <w:t>5</w:t>
      </w:r>
      <w:r>
        <w:rPr>
          <w:rFonts w:hint="eastAsia"/>
          <w:color w:val="auto"/>
        </w:rPr>
        <w:t>）在服务期间发生税收违法行为受到行政、刑事处理的；</w:t>
      </w:r>
    </w:p>
    <w:p>
      <w:pPr>
        <w:ind w:firstLine="472"/>
        <w:rPr>
          <w:color w:val="auto"/>
        </w:rPr>
      </w:pPr>
      <w:r>
        <w:rPr>
          <w:rFonts w:hint="eastAsia"/>
          <w:color w:val="auto"/>
        </w:rPr>
        <w:t>（</w:t>
      </w:r>
      <w:r>
        <w:rPr>
          <w:color w:val="auto"/>
        </w:rPr>
        <w:t>6</w:t>
      </w:r>
      <w:r>
        <w:rPr>
          <w:rFonts w:hint="eastAsia"/>
          <w:color w:val="auto"/>
        </w:rPr>
        <w:t>）未履行与省税务局签订的服务协议。</w:t>
      </w:r>
    </w:p>
    <w:p>
      <w:pPr>
        <w:ind w:firstLine="472"/>
        <w:rPr>
          <w:color w:val="auto"/>
        </w:rPr>
      </w:pPr>
      <w:r>
        <w:rPr>
          <w:color w:val="auto"/>
        </w:rPr>
        <w:t>3.</w:t>
      </w:r>
      <w:r>
        <w:rPr>
          <w:rFonts w:hint="eastAsia"/>
          <w:color w:val="auto"/>
        </w:rPr>
        <w:t>办结</w:t>
      </w:r>
      <w:r>
        <w:rPr>
          <w:color w:val="auto"/>
        </w:rPr>
        <w:t>后，</w:t>
      </w:r>
      <w:r>
        <w:rPr>
          <w:rFonts w:hint="eastAsia"/>
          <w:color w:val="auto"/>
        </w:rPr>
        <w:t>纳税</w:t>
      </w:r>
      <w:r>
        <w:rPr>
          <w:color w:val="auto"/>
        </w:rPr>
        <w:t>服务部门</w:t>
      </w:r>
      <w:r>
        <w:rPr>
          <w:rFonts w:hint="eastAsia"/>
          <w:color w:val="auto"/>
        </w:rPr>
        <w:t>留存</w:t>
      </w:r>
      <w:r>
        <w:rPr>
          <w:color w:val="auto"/>
        </w:rPr>
        <w:t>的</w:t>
      </w:r>
      <w:r>
        <w:rPr>
          <w:rFonts w:hint="eastAsia"/>
          <w:color w:val="auto"/>
        </w:rPr>
        <w:t>相关</w:t>
      </w:r>
      <w:r>
        <w:rPr>
          <w:color w:val="auto"/>
        </w:rPr>
        <w:t>资料传递至</w:t>
      </w:r>
      <w:r>
        <w:rPr>
          <w:rFonts w:hint="eastAsia"/>
          <w:color w:val="auto"/>
        </w:rPr>
        <w:t>出口退税部门</w:t>
      </w:r>
      <w:r>
        <w:rPr>
          <w:color w:val="auto"/>
        </w:rPr>
        <w:t>。</w:t>
      </w:r>
    </w:p>
    <w:p>
      <w:pPr>
        <w:ind w:firstLine="472"/>
        <w:rPr>
          <w:rFonts w:hint="eastAsia"/>
          <w:color w:val="auto"/>
          <w:lang w:val="en-US" w:eastAsia="zh-CN"/>
        </w:rPr>
      </w:pPr>
      <w:r>
        <w:rPr>
          <w:rFonts w:hint="eastAsia"/>
          <w:color w:val="auto"/>
          <w:lang w:val="en-US" w:eastAsia="zh-CN"/>
        </w:rPr>
        <w:t>4.纳税人对报送资料的真实性和合法性承担责任。</w:t>
      </w:r>
    </w:p>
    <w:p>
      <w:pPr>
        <w:ind w:firstLine="472"/>
        <w:rPr>
          <w:rFonts w:hint="eastAsia"/>
          <w:color w:val="auto"/>
          <w:lang w:val="en-US" w:eastAsia="zh-CN"/>
        </w:rPr>
      </w:pPr>
      <w:r>
        <w:rPr>
          <w:rFonts w:hint="eastAsia"/>
          <w:color w:val="auto"/>
          <w:lang w:val="en-US" w:eastAsia="zh-CN"/>
        </w:rPr>
        <w:t>5.最多跑一次是在资料完整且符合法定受理条件的前提下，最多只需要到税务机关跑一次。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E65607"/>
    <w:multiLevelType w:val="singleLevel"/>
    <w:tmpl w:val="F7E65607"/>
    <w:lvl w:ilvl="0" w:tentative="0">
      <w:start w:val="6"/>
      <w:numFmt w:val="chineseCounting"/>
      <w:suff w:val="nothing"/>
      <w:lvlText w:val="%1、"/>
      <w:lvlJc w:val="left"/>
      <w:rPr>
        <w:rFonts w:hint="eastAsia"/>
      </w:rPr>
    </w:lvl>
  </w:abstractNum>
  <w:abstractNum w:abstractNumId="1">
    <w:nsid w:val="0D385E49"/>
    <w:multiLevelType w:val="multilevel"/>
    <w:tmpl w:val="0D385E49"/>
    <w:lvl w:ilvl="0" w:tentative="0">
      <w:start w:val="1"/>
      <w:numFmt w:val="bullet"/>
      <w:lvlText w:val=""/>
      <w:lvlJc w:val="left"/>
      <w:pPr>
        <w:ind w:left="892" w:hanging="420"/>
      </w:pPr>
      <w:rPr>
        <w:rFonts w:hint="default" w:ascii="Wingdings" w:hAnsi="Wingdings" w:cs="Wingdings"/>
      </w:rPr>
    </w:lvl>
    <w:lvl w:ilvl="1" w:tentative="0">
      <w:start w:val="1"/>
      <w:numFmt w:val="bullet"/>
      <w:lvlText w:val=""/>
      <w:lvlJc w:val="left"/>
      <w:pPr>
        <w:ind w:left="1312" w:hanging="420"/>
      </w:pPr>
      <w:rPr>
        <w:rFonts w:hint="default" w:ascii="Wingdings" w:hAnsi="Wingdings" w:cs="Wingdings"/>
      </w:rPr>
    </w:lvl>
    <w:lvl w:ilvl="2" w:tentative="0">
      <w:start w:val="1"/>
      <w:numFmt w:val="bullet"/>
      <w:lvlText w:val=""/>
      <w:lvlJc w:val="left"/>
      <w:pPr>
        <w:ind w:left="1732" w:hanging="420"/>
      </w:pPr>
      <w:rPr>
        <w:rFonts w:hint="default" w:ascii="Wingdings" w:hAnsi="Wingdings" w:cs="Wingdings"/>
      </w:rPr>
    </w:lvl>
    <w:lvl w:ilvl="3" w:tentative="0">
      <w:start w:val="1"/>
      <w:numFmt w:val="bullet"/>
      <w:lvlText w:val=""/>
      <w:lvlJc w:val="left"/>
      <w:pPr>
        <w:ind w:left="2152" w:hanging="420"/>
      </w:pPr>
      <w:rPr>
        <w:rFonts w:hint="default" w:ascii="Wingdings" w:hAnsi="Wingdings" w:cs="Wingdings"/>
      </w:rPr>
    </w:lvl>
    <w:lvl w:ilvl="4" w:tentative="0">
      <w:start w:val="1"/>
      <w:numFmt w:val="bullet"/>
      <w:lvlText w:val=""/>
      <w:lvlJc w:val="left"/>
      <w:pPr>
        <w:ind w:left="2572" w:hanging="420"/>
      </w:pPr>
      <w:rPr>
        <w:rFonts w:hint="default" w:ascii="Wingdings" w:hAnsi="Wingdings" w:cs="Wingdings"/>
      </w:rPr>
    </w:lvl>
    <w:lvl w:ilvl="5" w:tentative="0">
      <w:start w:val="1"/>
      <w:numFmt w:val="bullet"/>
      <w:lvlText w:val=""/>
      <w:lvlJc w:val="left"/>
      <w:pPr>
        <w:ind w:left="2992" w:hanging="420"/>
      </w:pPr>
      <w:rPr>
        <w:rFonts w:hint="default" w:ascii="Wingdings" w:hAnsi="Wingdings" w:cs="Wingdings"/>
      </w:rPr>
    </w:lvl>
    <w:lvl w:ilvl="6" w:tentative="0">
      <w:start w:val="1"/>
      <w:numFmt w:val="bullet"/>
      <w:lvlText w:val=""/>
      <w:lvlJc w:val="left"/>
      <w:pPr>
        <w:ind w:left="3412" w:hanging="420"/>
      </w:pPr>
      <w:rPr>
        <w:rFonts w:hint="default" w:ascii="Wingdings" w:hAnsi="Wingdings" w:cs="Wingdings"/>
      </w:rPr>
    </w:lvl>
    <w:lvl w:ilvl="7" w:tentative="0">
      <w:start w:val="1"/>
      <w:numFmt w:val="bullet"/>
      <w:lvlText w:val=""/>
      <w:lvlJc w:val="left"/>
      <w:pPr>
        <w:ind w:left="3832" w:hanging="420"/>
      </w:pPr>
      <w:rPr>
        <w:rFonts w:hint="default" w:ascii="Wingdings" w:hAnsi="Wingdings" w:cs="Wingdings"/>
      </w:rPr>
    </w:lvl>
    <w:lvl w:ilvl="8" w:tentative="0">
      <w:start w:val="1"/>
      <w:numFmt w:val="bullet"/>
      <w:lvlText w:val=""/>
      <w:lvlJc w:val="left"/>
      <w:pPr>
        <w:ind w:left="4252" w:hanging="420"/>
      </w:pPr>
      <w:rPr>
        <w:rFonts w:hint="default" w:ascii="Wingdings" w:hAnsi="Wingdings" w:cs="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47C2BFC"/>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2019-10-31T03:29:30Z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