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5043"/>
      <w:r>
        <w:rPr>
          <w:rFonts w:ascii="黑体" w:hAnsi="黑体" w:cs="黑体"/>
          <w:color w:val="auto"/>
        </w:rPr>
        <w:t>1.1.</w:t>
      </w:r>
      <w:r>
        <w:rPr>
          <w:rFonts w:hint="eastAsia" w:ascii="黑体" w:hAnsi="黑体" w:cs="黑体"/>
          <w:color w:val="auto"/>
        </w:rPr>
        <w:t>7.6</w:t>
      </w:r>
      <w:r>
        <w:rPr>
          <w:rFonts w:hint="eastAsia"/>
          <w:color w:val="auto"/>
        </w:rPr>
        <w:t>解除相关人员关联关系</w:t>
      </w:r>
      <w:bookmarkEnd w:id="0"/>
    </w:p>
    <w:p>
      <w:pPr>
        <w:pStyle w:val="3"/>
        <w:ind w:firstLine="552"/>
        <w:rPr>
          <w:color w:val="auto"/>
        </w:rPr>
      </w:pPr>
      <w:r>
        <w:rPr>
          <w:color w:val="auto"/>
        </w:rPr>
        <w:t>一、事项名称</w:t>
      </w:r>
    </w:p>
    <w:p>
      <w:pPr>
        <w:ind w:firstLine="472"/>
        <w:rPr>
          <w:color w:val="auto"/>
        </w:rPr>
      </w:pPr>
      <w:r>
        <w:rPr>
          <w:rFonts w:hint="eastAsia"/>
          <w:color w:val="auto"/>
        </w:rPr>
        <w:t>解除相关人员关联关系</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发起方式：人工发起（主张</w:t>
      </w:r>
      <w:r>
        <w:rPr>
          <w:color w:val="auto"/>
        </w:rPr>
        <w:t>人</w:t>
      </w:r>
      <w:r>
        <w:rPr>
          <w:rFonts w:hint="eastAsia"/>
          <w:color w:val="auto"/>
        </w:rPr>
        <w:t>）</w:t>
      </w:r>
    </w:p>
    <w:p>
      <w:pPr>
        <w:pStyle w:val="49"/>
        <w:numPr>
          <w:ilvl w:val="0"/>
          <w:numId w:val="3"/>
        </w:numPr>
        <w:ind w:firstLineChars="0"/>
        <w:rPr>
          <w:color w:val="auto"/>
        </w:rPr>
      </w:pPr>
      <w:r>
        <w:rPr>
          <w:rFonts w:hint="eastAsia"/>
          <w:color w:val="auto"/>
        </w:rPr>
        <w:t>办结方式：</w:t>
      </w:r>
      <w:r>
        <w:rPr>
          <w:color w:val="auto"/>
        </w:rPr>
        <w:t>条件即办</w:t>
      </w:r>
    </w:p>
    <w:p>
      <w:pPr>
        <w:pStyle w:val="49"/>
        <w:numPr>
          <w:ilvl w:val="0"/>
          <w:numId w:val="3"/>
        </w:numPr>
        <w:ind w:firstLineChars="0"/>
        <w:rPr>
          <w:color w:val="auto"/>
        </w:rPr>
      </w:pPr>
      <w:r>
        <w:rPr>
          <w:rFonts w:hint="eastAsia"/>
          <w:color w:val="auto"/>
        </w:rPr>
        <w:t>全省通办：是</w:t>
      </w:r>
    </w:p>
    <w:p>
      <w:pPr>
        <w:pStyle w:val="49"/>
        <w:numPr>
          <w:ilvl w:val="0"/>
          <w:numId w:val="3"/>
        </w:numPr>
        <w:ind w:firstLineChars="0"/>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w:t>
      </w:r>
      <w:r>
        <w:rPr>
          <w:color w:val="auto"/>
        </w:rPr>
        <w:t>(市、区)级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税务机关对主张身份证件被冒用于登记注册的法定代表人，根据登记机关登记信息的变化情况，更改该法定代表人与纳税人的关联关系；</w:t>
      </w:r>
    </w:p>
    <w:p>
      <w:pPr>
        <w:ind w:firstLine="472"/>
        <w:rPr>
          <w:color w:val="auto"/>
        </w:rPr>
      </w:pPr>
      <w:r>
        <w:rPr>
          <w:rFonts w:hint="eastAsia"/>
          <w:color w:val="auto"/>
        </w:rPr>
        <w:t>税务机关对主张身份证件被冒用的财务负责人和其他办税人员，根据其出具的个人声明、公安机关接报案回执等相关资料，解除其与纳税人的关联关系；</w:t>
      </w:r>
    </w:p>
    <w:p>
      <w:pPr>
        <w:ind w:firstLine="472"/>
        <w:rPr>
          <w:color w:val="auto"/>
        </w:rPr>
      </w:pPr>
      <w:r>
        <w:rPr>
          <w:rFonts w:hint="eastAsia"/>
          <w:color w:val="auto"/>
        </w:rPr>
        <w:t>主张本人身份信息被其他单位或个人违法使用办理虚假纳税申报的自然人纳税人，可向税务机关进行检举。包括正常、非正常、非正常注销、注销等状态纳税人。</w:t>
      </w:r>
    </w:p>
    <w:p>
      <w:pPr>
        <w:pStyle w:val="3"/>
        <w:ind w:firstLine="552"/>
        <w:rPr>
          <w:color w:val="auto"/>
        </w:rPr>
      </w:pPr>
      <w:r>
        <w:rPr>
          <w:rFonts w:hint="eastAsia"/>
          <w:color w:val="auto"/>
        </w:rPr>
        <w:t>四、设定依据</w:t>
      </w:r>
    </w:p>
    <w:p>
      <w:pPr>
        <w:ind w:firstLine="472"/>
        <w:rPr>
          <w:color w:val="auto"/>
        </w:rPr>
      </w:pPr>
      <w:r>
        <w:rPr>
          <w:rFonts w:hint="eastAsia"/>
          <w:color w:val="auto"/>
        </w:rPr>
        <w:t>1.</w:t>
      </w:r>
      <w:r>
        <w:rPr>
          <w:color w:val="auto"/>
        </w:rPr>
        <w:t>《中华人民共和国税收征收管理法》</w:t>
      </w:r>
      <w:r>
        <w:rPr>
          <w:rFonts w:hint="eastAsia"/>
          <w:color w:val="auto"/>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《个人声明》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r>
              <w:rPr>
                <w:rFonts w:ascii="宋体" w:hAnsi="宋体" w:eastAsia="宋体"/>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离职证明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相关人员（法定代表人除外）离职后原任职单位未及时报告税务机关维护的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r>
              <w:rPr>
                <w:rFonts w:ascii="宋体" w:hAnsi="宋体" w:eastAsia="宋体"/>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公安接报案回执复印件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身份信息被冒用登记为财务负责人、</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办税人员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spacing w:line="240" w:lineRule="auto"/>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53" o:spt="75" type="#_x0000_t75" style="height:133.95pt;width:453.75pt;" o:ole="t" filled="f" o:preferrelative="t" stroked="f" coordsize="21600,21600">
            <v:path/>
            <v:fill on="f" focussize="0,0"/>
            <v:stroke on="f" joinstyle="miter"/>
            <v:imagedata r:id="rId11" o:title=""/>
            <o:lock v:ext="edit" aspectratio="t"/>
            <w10:wrap type="none"/>
            <w10:anchorlock/>
          </v:shape>
          <o:OLEObject Type="Embed" ProgID="Visio.Drawing.11" ShapeID="_x0000_i105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资料齐全、符合法定形式的，税务机关受理后即时办结或自税务机关受理之日起</w:t>
      </w:r>
      <w:r>
        <w:rPr>
          <w:color w:val="auto"/>
        </w:rPr>
        <w:t>30个工作日</w:t>
      </w:r>
      <w:r>
        <w:rPr>
          <w:rFonts w:hint="eastAsia"/>
          <w:color w:val="auto"/>
        </w:rPr>
        <w:t>办结。</w:t>
      </w:r>
    </w:p>
    <w:p>
      <w:pPr>
        <w:pStyle w:val="3"/>
        <w:ind w:firstLine="552"/>
        <w:rPr>
          <w:color w:val="auto"/>
        </w:rPr>
      </w:pPr>
      <w:r>
        <w:rPr>
          <w:rFonts w:hint="eastAsia"/>
          <w:color w:val="auto"/>
        </w:rPr>
        <w:t>八、表证单书</w:t>
      </w:r>
    </w:p>
    <w:p>
      <w:pPr>
        <w:ind w:firstLine="472"/>
        <w:rPr>
          <w:color w:val="auto"/>
        </w:rPr>
      </w:pPr>
      <w:r>
        <w:rPr>
          <w:rFonts w:hint="eastAsia"/>
          <w:color w:val="auto"/>
        </w:rPr>
        <w:t>1.A01082《个人声明》</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BC86A9F"/>
    <w:multiLevelType w:val="multilevel"/>
    <w:tmpl w:val="4BC86A9F"/>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3E61FD"/>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2019-10-31T03:38:00Z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