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2165"/>
      <w:r>
        <w:rPr>
          <w:rFonts w:ascii="黑体" w:hAnsi="黑体" w:cs="黑体"/>
          <w:color w:val="auto"/>
        </w:rPr>
        <w:t>1.1</w:t>
      </w:r>
      <w:r>
        <w:rPr>
          <w:rFonts w:hint="eastAsia" w:ascii="黑体" w:hAnsi="黑体" w:cs="黑体"/>
          <w:color w:val="auto"/>
        </w:rPr>
        <w:t>.6</w:t>
      </w:r>
      <w:r>
        <w:rPr>
          <w:rFonts w:ascii="黑体" w:hAnsi="黑体" w:cs="黑体"/>
          <w:color w:val="auto"/>
        </w:rPr>
        <w:t>.3</w:t>
      </w:r>
      <w:r>
        <w:rPr>
          <w:rFonts w:hint="eastAsia" w:ascii="黑体" w:hAnsi="黑体" w:cs="黑体"/>
          <w:color w:val="auto"/>
        </w:rPr>
        <w:t>纳税人合并分立情况报告</w:t>
      </w:r>
      <w:bookmarkEnd w:id="0"/>
    </w:p>
    <w:p>
      <w:pPr>
        <w:pStyle w:val="3"/>
        <w:ind w:firstLine="552"/>
        <w:rPr>
          <w:color w:val="auto"/>
        </w:rPr>
      </w:pPr>
      <w:r>
        <w:rPr>
          <w:color w:val="auto"/>
        </w:rPr>
        <w:t>一、事项名称</w:t>
      </w:r>
    </w:p>
    <w:p>
      <w:pPr>
        <w:ind w:firstLine="472"/>
        <w:rPr>
          <w:color w:val="auto"/>
        </w:rPr>
      </w:pPr>
      <w:r>
        <w:rPr>
          <w:rFonts w:hint="eastAsia" w:ascii="黑体" w:hAnsi="黑体" w:cs="黑体"/>
          <w:color w:val="auto"/>
        </w:rPr>
        <w:t>纳税人合并分立情况报告</w:t>
      </w:r>
    </w:p>
    <w:p>
      <w:pPr>
        <w:pStyle w:val="3"/>
        <w:ind w:firstLine="552"/>
        <w:rPr>
          <w:color w:val="auto"/>
        </w:rPr>
      </w:pPr>
      <w:r>
        <w:rPr>
          <w:color w:val="auto"/>
        </w:rPr>
        <w:t>二、事项类别</w:t>
      </w:r>
    </w:p>
    <w:p>
      <w:pPr>
        <w:numPr>
          <w:ilvl w:val="0"/>
          <w:numId w:val="3"/>
        </w:numPr>
        <w:ind w:left="0" w:firstLine="420" w:firstLineChars="0"/>
        <w:rPr>
          <w:color w:val="auto"/>
        </w:rPr>
      </w:pPr>
      <w:r>
        <w:rPr>
          <w:rFonts w:hint="eastAsia"/>
          <w:color w:val="auto"/>
        </w:rPr>
        <w:t>发起方式：人工发起（纳税人）</w:t>
      </w:r>
    </w:p>
    <w:p>
      <w:pPr>
        <w:numPr>
          <w:ilvl w:val="0"/>
          <w:numId w:val="3"/>
        </w:numPr>
        <w:ind w:left="0" w:firstLine="420" w:firstLineChars="0"/>
        <w:rPr>
          <w:color w:val="auto"/>
        </w:rPr>
      </w:pPr>
      <w:r>
        <w:rPr>
          <w:rFonts w:hint="eastAsia"/>
          <w:color w:val="auto"/>
        </w:rPr>
        <w:t>办结方式：即办</w:t>
      </w:r>
    </w:p>
    <w:p>
      <w:pPr>
        <w:numPr>
          <w:ilvl w:val="0"/>
          <w:numId w:val="3"/>
        </w:numPr>
        <w:ind w:left="0" w:firstLine="420" w:firstLineChars="0"/>
        <w:rPr>
          <w:color w:val="auto"/>
        </w:rPr>
      </w:pPr>
      <w:r>
        <w:rPr>
          <w:rFonts w:hint="eastAsia"/>
          <w:color w:val="auto"/>
        </w:rPr>
        <w:t>全省通办：是</w:t>
      </w:r>
    </w:p>
    <w:p>
      <w:pPr>
        <w:numPr>
          <w:ilvl w:val="0"/>
          <w:numId w:val="3"/>
        </w:numPr>
        <w:ind w:left="0" w:firstLine="420" w:firstLineChars="0"/>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纳税人合并分立情况报告是指纳税人有合并、分立情形的，应当向税务机关报告，并依法缴清税款的业务活动。纳税人合并时未缴清税款的，由合并后的纳税人继续履行未履行的纳税义务；纳税人分立时未缴清税款的，分立后的纳税人对未履行的纳税义务应当承担连带责任。</w:t>
      </w:r>
    </w:p>
    <w:p>
      <w:pPr>
        <w:ind w:firstLine="472"/>
        <w:rPr>
          <w:color w:val="auto"/>
        </w:rPr>
      </w:pPr>
      <w:r>
        <w:rPr>
          <w:rFonts w:hint="eastAsia"/>
          <w:color w:val="auto"/>
        </w:rPr>
        <w:t>纳税人合并分立报告分为纳税人合并报告和纳税人分立报告两种情况，其中合并又分为吸收合并和新设合并，分立又分为存续分立和新设分立。</w:t>
      </w:r>
    </w:p>
    <w:p>
      <w:pPr>
        <w:ind w:firstLine="472"/>
        <w:rPr>
          <w:color w:val="auto"/>
        </w:rPr>
      </w:pPr>
      <w:r>
        <w:rPr>
          <w:rFonts w:hint="eastAsia"/>
          <w:color w:val="auto"/>
        </w:rPr>
        <w:t>1.合并。一是吸收合并，被吸收纳税人办理注销税务登记，吸收纳税人办理变更税务登记。二是新设合并，原纳税人办理注销税务登记，新设纳税人办理设立税务登记。</w:t>
      </w:r>
    </w:p>
    <w:p>
      <w:pPr>
        <w:ind w:firstLine="472"/>
        <w:rPr>
          <w:color w:val="auto"/>
        </w:rPr>
      </w:pPr>
      <w:r>
        <w:rPr>
          <w:rFonts w:hint="eastAsia"/>
          <w:color w:val="auto"/>
        </w:rPr>
        <w:t>2.分立。一是存续分立，原纳税人办理变更税务登记，新分立纳税人办理设立税务登记。二是新设分立，原纳税人办理注销税务登记，新分立纳税人办理设立税务登记。</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1.《中华人民共和国税收征收管理法》第四十八条</w:t>
      </w:r>
    </w:p>
    <w:p>
      <w:pPr>
        <w:ind w:firstLine="472"/>
        <w:rPr>
          <w:color w:val="auto"/>
        </w:rPr>
      </w:pPr>
      <w:r>
        <w:rPr>
          <w:rFonts w:hint="eastAsia"/>
          <w:color w:val="auto"/>
        </w:rPr>
        <w:t>“纳税人有合并、分立情形的，应当向税务机关报告，并依法缴清税款。纳税人合并时未缴清税款的，应当由合并后的纳税人继续履行未履行的纳税义务；纳税人分立时未缴清税款的，分立后的纳税人对未履行的纳税义务应当承担连带责任。”</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《纳税人合并（分立）情况报告书》</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b w:val="0"/>
                <w:bCs/>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jc w:val="center"/>
              <w:rPr>
                <w:rFonts w:cs="宋体"/>
                <w:color w:val="auto"/>
                <w:sz w:val="18"/>
                <w:szCs w:val="18"/>
              </w:rPr>
            </w:pP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合并、分立的批准文件或企业决议</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jc w:val="center"/>
              <w:rPr>
                <w:rFonts w:cs="宋体"/>
                <w:color w:val="auto"/>
                <w:sz w:val="18"/>
                <w:szCs w:val="18"/>
              </w:rPr>
            </w:pP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p>
    <w:p>
      <w:pPr>
        <w:spacing w:line="240" w:lineRule="auto"/>
        <w:ind w:left="471" w:firstLine="0" w:firstLineChars="0"/>
        <w:rPr>
          <w:color w:val="auto"/>
        </w:rPr>
      </w:pPr>
      <w:r>
        <w:rPr>
          <w:color w:val="auto"/>
        </w:rPr>
        <w:object>
          <v:shape id="_x0000_i1043" o:spt="75" type="#_x0000_t75" style="height:89.25pt;width:429pt;" o:ole="t" filled="f" o:preferrelative="t" stroked="f" coordsize="21600,21600">
            <v:path/>
            <v:fill on="f" focussize="0,0"/>
            <v:stroke on="f" joinstyle="miter"/>
            <v:imagedata r:id="rId11" o:title=""/>
            <o:lock v:ext="edit" aspectratio="f"/>
            <w10:wrap type="none"/>
            <w10:anchorlock/>
          </v:shape>
          <o:OLEObject Type="Embed" ProgID="Visio.Drawing.11" ShapeID="_x0000_i1043"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1.A01031《纳税人合并（分立）情况报告书》(A01031《纳税人合并（分立）情况报告书》（填写样例）)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1.按照合并分立不同情况，纳税人分别办理设立、变更、注销税务登记。</w:t>
      </w:r>
    </w:p>
    <w:p>
      <w:pPr>
        <w:ind w:firstLine="472"/>
        <w:rPr>
          <w:color w:val="auto"/>
        </w:rPr>
      </w:pPr>
      <w:r>
        <w:rPr>
          <w:rFonts w:hint="eastAsia"/>
          <w:color w:val="auto"/>
        </w:rPr>
        <w:t>2.纳税人对报送资料的真实性和合法性承担责任。</w:t>
      </w:r>
    </w:p>
    <w:p>
      <w:pPr>
        <w:ind w:firstLine="472"/>
        <w:jc w:val="left"/>
        <w:rPr>
          <w:color w:val="auto"/>
        </w:rPr>
      </w:pPr>
      <w:r>
        <w:rPr>
          <w:rFonts w:hint="eastAsia"/>
          <w:color w:val="auto"/>
        </w:rPr>
        <w:t>3.最多跑一次是在资料完整且符合法定受理条件的前提下，最多只需要到税务机关跑一次。</w:t>
      </w:r>
    </w:p>
    <w:p>
      <w:pPr>
        <w:ind w:firstLine="472"/>
        <w:jc w:val="left"/>
        <w:rPr>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FF1BF5"/>
    <w:multiLevelType w:val="singleLevel"/>
    <w:tmpl w:val="CDFF1BF5"/>
    <w:lvl w:ilvl="0" w:tentative="0">
      <w:start w:val="1"/>
      <w:numFmt w:val="bullet"/>
      <w:lvlText w:val=""/>
      <w:lvlJc w:val="left"/>
      <w:pPr>
        <w:ind w:left="420"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961B19"/>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2019-10-31T03:35:16Z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