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5216"/>
      <w:r>
        <w:rPr>
          <w:rFonts w:hint="eastAsia" w:ascii="黑体" w:hAnsi="黑体"/>
          <w:color w:val="auto"/>
        </w:rPr>
        <w:t>1.3.8.2代收代缴车船税申报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代收代缴车船税申报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代收代缴车船税申报是指扣缴义务人依照税收法律、法规、规章及其他有关规定，在规定的纳税期限内，履行代收代缴车船税义务，如实填报《车船税代收代缴报告表》并报送代扣代缴、代收代缴税款的合法凭证及其他相关资料并向税务机关进行纳税申报的业务活动。</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1.《中华人民共和国税收征收管理法》第二十五条第二款</w:t>
      </w:r>
    </w:p>
    <w:p>
      <w:pPr>
        <w:ind w:firstLine="472"/>
        <w:rPr>
          <w:rFonts w:hint="eastAsia" w:eastAsia="宋体"/>
          <w:color w:val="auto"/>
          <w:lang w:eastAsia="zh-CN"/>
        </w:rPr>
      </w:pPr>
      <w:r>
        <w:rPr>
          <w:rFonts w:hint="eastAsia"/>
          <w:color w:val="auto"/>
          <w:lang w:eastAsia="zh-CN"/>
        </w:rPr>
        <w:t>“</w:t>
      </w:r>
      <w:r>
        <w:rPr>
          <w:rFonts w:hint="eastAsia"/>
          <w:color w:val="auto"/>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r>
        <w:rPr>
          <w:rFonts w:hint="eastAsia"/>
          <w:color w:val="auto"/>
          <w:lang w:eastAsia="zh-CN"/>
        </w:rPr>
        <w:t>”</w:t>
      </w:r>
    </w:p>
    <w:p>
      <w:pPr>
        <w:ind w:firstLine="472"/>
        <w:rPr>
          <w:rFonts w:hint="eastAsia"/>
          <w:color w:val="auto"/>
        </w:rPr>
      </w:pPr>
      <w:r>
        <w:rPr>
          <w:rFonts w:hint="eastAsia"/>
          <w:color w:val="auto"/>
        </w:rPr>
        <w:t>2.《中华人民共和国车船税法》第六条</w:t>
      </w:r>
    </w:p>
    <w:p>
      <w:pPr>
        <w:ind w:firstLine="472"/>
        <w:rPr>
          <w:rFonts w:hint="eastAsia" w:eastAsia="宋体"/>
          <w:color w:val="auto"/>
          <w:lang w:eastAsia="zh-CN"/>
        </w:rPr>
      </w:pPr>
      <w:r>
        <w:rPr>
          <w:rFonts w:hint="eastAsia"/>
          <w:color w:val="auto"/>
          <w:lang w:eastAsia="zh-CN"/>
        </w:rPr>
        <w:t>“</w:t>
      </w:r>
      <w:r>
        <w:rPr>
          <w:rFonts w:hint="eastAsia"/>
          <w:color w:val="auto"/>
        </w:rPr>
        <w:t>从事机动车第三者责任强制保险业务的保险机构为机动车车船税的扣缴义务人，应当在收取保险费时依法代收车船税，并出具代收税款凭证。</w:t>
      </w:r>
      <w:r>
        <w:rPr>
          <w:rFonts w:hint="eastAsia"/>
          <w:color w:val="auto"/>
          <w:lang w:eastAsia="zh-CN"/>
        </w:rPr>
        <w:t>”</w:t>
      </w:r>
    </w:p>
    <w:p>
      <w:pPr>
        <w:ind w:firstLine="472"/>
        <w:rPr>
          <w:rFonts w:hint="eastAsia"/>
          <w:color w:val="auto"/>
        </w:rPr>
      </w:pPr>
      <w:r>
        <w:rPr>
          <w:rFonts w:hint="eastAsia"/>
          <w:color w:val="auto"/>
        </w:rPr>
        <w:t>3.《中华人民共和国车船税法实施条例》第十八条</w:t>
      </w:r>
    </w:p>
    <w:p>
      <w:pPr>
        <w:ind w:firstLine="472"/>
        <w:rPr>
          <w:rFonts w:hint="eastAsia" w:eastAsia="宋体"/>
          <w:color w:val="auto"/>
          <w:lang w:val="en-US" w:eastAsia="zh-CN"/>
        </w:rPr>
      </w:pPr>
      <w:r>
        <w:rPr>
          <w:rFonts w:hint="eastAsia"/>
          <w:color w:val="auto"/>
          <w:lang w:eastAsia="zh-CN"/>
        </w:rPr>
        <w:t>“</w:t>
      </w:r>
      <w:r>
        <w:rPr>
          <w:rFonts w:hint="eastAsia"/>
          <w:color w:val="auto"/>
        </w:rPr>
        <w:t>扣缴义务人应当及时解缴代收代缴的税款和滞纳金，并向主管税务机关申报。扣缴义务人向税务机关解缴税款和滞纳金时，应当同时报送明细的税款和滞纳金扣缴报告。扣缴义务人解缴税款和滞纳金的具体期限，由省、自治区、直辖市地方税务机关依照法律、行政法规的规定确定。</w:t>
      </w:r>
      <w:r>
        <w:rPr>
          <w:rFonts w:hint="default"/>
          <w:color w:val="auto"/>
          <w:lang w:val="en-US"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《车船税代收代缴</w:t>
            </w:r>
            <w:r>
              <w:rPr>
                <w:rFonts w:cs="宋体"/>
                <w:color w:val="auto"/>
                <w:kern w:val="0"/>
                <w:sz w:val="18"/>
                <w:szCs w:val="18"/>
              </w:rPr>
              <w:t>报告表》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spacing w:line="280" w:lineRule="exact"/>
              <w:ind w:firstLine="0" w:firstLineChars="0"/>
              <w:jc w:val="left"/>
              <w:rPr>
                <w:rFonts w:cs="宋体"/>
                <w:color w:val="auto"/>
                <w:kern w:val="0"/>
                <w:sz w:val="18"/>
                <w:szCs w:val="18"/>
              </w:rPr>
            </w:pPr>
            <w:r>
              <w:rPr>
                <w:rFonts w:hint="eastAsia" w:cs="宋体"/>
                <w:color w:val="auto"/>
                <w:kern w:val="0"/>
                <w:sz w:val="18"/>
                <w:szCs w:val="18"/>
              </w:rPr>
              <w:t>《中华人民共和国税收缴款书（代扣代收专用）》第二联</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扣缴义务人在扣缴税款时已向被扣缴义务人开具税票的情形</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《中华人民共和国税收缴款书（银行经收专用）》第一联</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扣缴义务人汇总缴库开具税票的情形</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rPr>
          <w:rFonts w:hint="eastAsia"/>
          <w:color w:val="auto"/>
        </w:rPr>
      </w:pPr>
      <w:r>
        <w:rPr>
          <w:color w:val="auto"/>
        </w:rPr>
        <w:pict>
          <v:shape id="_x0000_s1050" o:spid="_x0000_s1050" o:spt="75" type="#_x0000_t75" style="position:absolute;left:0pt;margin-left:6.75pt;margin-top:34.7pt;height:101.35pt;width:423.6pt;mso-wrap-distance-bottom:0pt;mso-wrap-distance-left:9pt;mso-wrap-distance-right:9pt;mso-wrap-distance-top:0pt;z-index:251739136;mso-width-relative:page;mso-height-relative:page;" o:ole="t" filled="f" o:preferrelative="t" stroked="f" coordsize="21600,21600">
            <v:path/>
            <v:fill on="f" focussize="0,0"/>
            <v:stroke on="f"/>
            <v:imagedata r:id="rId10" o:title=""/>
            <o:lock v:ext="edit" aspectratio="t"/>
            <w10:wrap type="square"/>
          </v:shape>
          <o:OLEObject Type="Embed" ProgID="Visio.Drawing.15" ShapeID="_x0000_s1050" DrawAspect="Content" ObjectID="_1468075725">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1.A06134《车船税代收代缴报告表》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1．扣缴登记监控。扣缴义务人是否进行扣缴登记，未进行扣缴登记的先进行扣缴登记。</w:t>
      </w:r>
    </w:p>
    <w:p>
      <w:pPr>
        <w:ind w:firstLine="472"/>
        <w:rPr>
          <w:rFonts w:hint="eastAsia"/>
          <w:color w:val="auto"/>
        </w:rPr>
      </w:pPr>
      <w:r>
        <w:rPr>
          <w:rFonts w:hint="eastAsia"/>
          <w:color w:val="auto"/>
        </w:rPr>
        <w:t>2．凡在交通运输部直属海事管理机构登记管理的应税船舶，其车船税一律由船籍港所在地的税务部门委托当地交通运输部直属海事管理机构代征。</w:t>
      </w:r>
    </w:p>
    <w:p>
      <w:pPr>
        <w:ind w:firstLine="472"/>
        <w:rPr>
          <w:color w:val="auto"/>
        </w:rPr>
      </w:pPr>
      <w:r>
        <w:rPr>
          <w:rFonts w:hint="eastAsia"/>
          <w:color w:val="auto"/>
          <w:lang w:val="en-US" w:eastAsia="zh-CN"/>
        </w:rPr>
        <w:t>3</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2C40652"/>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2019-10-31T06:24:15Z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