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20530"/>
      <w:r>
        <w:rPr>
          <w:rFonts w:hint="eastAsia" w:ascii="黑体" w:hAnsi="黑体" w:cs="黑体"/>
          <w:color w:val="auto"/>
        </w:rPr>
        <w:t>2.4.6.1纳税人申请调整核定印花税</w:t>
      </w:r>
      <w:bookmarkEnd w:id="0"/>
    </w:p>
    <w:p>
      <w:pPr>
        <w:pStyle w:val="3"/>
        <w:ind w:firstLine="552"/>
        <w:rPr>
          <w:color w:val="auto"/>
        </w:rPr>
      </w:pPr>
      <w:r>
        <w:rPr>
          <w:rFonts w:hint="eastAsia"/>
          <w:color w:val="auto"/>
        </w:rPr>
        <w:t>一、事项名称</w:t>
      </w:r>
    </w:p>
    <w:p>
      <w:pPr>
        <w:ind w:firstLine="472"/>
        <w:rPr>
          <w:color w:val="auto"/>
        </w:rPr>
      </w:pPr>
      <w:r>
        <w:rPr>
          <w:rFonts w:hint="eastAsia"/>
          <w:color w:val="auto"/>
        </w:rPr>
        <w:t>纳税人申请调整核定印花税</w:t>
      </w:r>
    </w:p>
    <w:p>
      <w:pPr>
        <w:pStyle w:val="3"/>
        <w:ind w:firstLine="552"/>
        <w:rPr>
          <w:color w:val="auto"/>
        </w:rPr>
      </w:pPr>
      <w:r>
        <w:rPr>
          <w:rFonts w:hint="eastAsia"/>
          <w:color w:val="auto"/>
        </w:rPr>
        <w:t>二、事项类别</w:t>
      </w:r>
    </w:p>
    <w:p>
      <w:pPr>
        <w:pStyle w:val="49"/>
        <w:numPr>
          <w:ilvl w:val="0"/>
          <w:numId w:val="3"/>
        </w:numPr>
        <w:ind w:left="0" w:firstLine="472"/>
        <w:rPr>
          <w:color w:val="auto"/>
        </w:rPr>
      </w:pPr>
      <w:r>
        <w:rPr>
          <w:rFonts w:hint="eastAsia"/>
          <w:color w:val="auto"/>
        </w:rPr>
        <w:t>发起方式：人工发起（纳税人）</w:t>
      </w:r>
    </w:p>
    <w:p>
      <w:pPr>
        <w:pStyle w:val="49"/>
        <w:numPr>
          <w:ilvl w:val="0"/>
          <w:numId w:val="3"/>
        </w:numPr>
        <w:ind w:left="0" w:firstLine="472"/>
        <w:rPr>
          <w:color w:val="auto"/>
        </w:rPr>
      </w:pPr>
      <w:r>
        <w:rPr>
          <w:rFonts w:hint="eastAsia"/>
          <w:color w:val="auto"/>
        </w:rPr>
        <w:t>办结方式：限时办结</w:t>
      </w:r>
    </w:p>
    <w:p>
      <w:pPr>
        <w:pStyle w:val="49"/>
        <w:numPr>
          <w:ilvl w:val="0"/>
          <w:numId w:val="3"/>
        </w:numPr>
        <w:ind w:left="0" w:firstLine="472"/>
        <w:rPr>
          <w:color w:val="auto"/>
        </w:rPr>
      </w:pPr>
      <w:r>
        <w:rPr>
          <w:rFonts w:hint="eastAsia"/>
          <w:color w:val="auto"/>
        </w:rPr>
        <w:t>全省通办：是</w:t>
      </w:r>
    </w:p>
    <w:p>
      <w:pPr>
        <w:pStyle w:val="49"/>
        <w:numPr>
          <w:ilvl w:val="0"/>
          <w:numId w:val="3"/>
        </w:numPr>
        <w:ind w:left="0" w:firstLine="472"/>
        <w:rPr>
          <w:color w:val="auto"/>
        </w:rPr>
      </w:pPr>
      <w:r>
        <w:rPr>
          <w:rFonts w:hint="eastAsia"/>
          <w:color w:val="auto"/>
        </w:rPr>
        <w:t>网上办理：否</w:t>
      </w:r>
    </w:p>
    <w:p>
      <w:pPr>
        <w:pStyle w:val="49"/>
        <w:numPr>
          <w:ilvl w:val="0"/>
          <w:numId w:val="3"/>
        </w:numPr>
        <w:ind w:left="0" w:firstLine="472"/>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numPr>
          <w:ilvl w:val="0"/>
          <w:numId w:val="5"/>
        </w:numPr>
        <w:ind w:firstLine="552"/>
        <w:rPr>
          <w:rFonts w:hint="eastAsia"/>
          <w:color w:val="auto"/>
        </w:rPr>
      </w:pPr>
      <w:r>
        <w:rPr>
          <w:rFonts w:hint="eastAsia" w:eastAsia="黑体" w:asciiTheme="majorHAnsi" w:hAnsiTheme="majorHAnsi" w:cstheme="majorBidi"/>
          <w:bCs/>
          <w:color w:val="auto"/>
          <w:kern w:val="2"/>
          <w:sz w:val="28"/>
          <w:szCs w:val="32"/>
          <w:lang w:val="en-US" w:eastAsia="zh-CN" w:bidi="ar-SA"/>
        </w:rPr>
        <w:t>办理条件</w:t>
      </w:r>
    </w:p>
    <w:p>
      <w:pPr>
        <w:numPr>
          <w:ilvl w:val="0"/>
          <w:numId w:val="0"/>
        </w:numPr>
        <w:rPr>
          <w:rFonts w:hint="eastAsia" w:eastAsia="宋体"/>
          <w:color w:val="auto"/>
          <w:lang w:val="en-US" w:eastAsia="zh-CN"/>
        </w:rPr>
      </w:pPr>
      <w:r>
        <w:rPr>
          <w:rFonts w:hint="eastAsia"/>
          <w:color w:val="auto"/>
          <w:lang w:val="en-US" w:eastAsia="zh-CN"/>
        </w:rPr>
        <w:t>实行印花税核定征收的纳税人因经营情况发生变化，需要重新核定征收税目、计税依据、核定比例的，向主管税务机关提出调整印花税核定。</w:t>
      </w:r>
    </w:p>
    <w:p>
      <w:pPr>
        <w:pStyle w:val="3"/>
        <w:ind w:firstLine="552"/>
        <w:rPr>
          <w:color w:val="auto"/>
        </w:rPr>
      </w:pPr>
      <w:r>
        <w:rPr>
          <w:rFonts w:hint="eastAsia"/>
          <w:color w:val="auto"/>
        </w:rPr>
        <w:t>四、设定依据</w:t>
      </w:r>
    </w:p>
    <w:p>
      <w:pPr>
        <w:ind w:firstLine="472"/>
        <w:rPr>
          <w:rFonts w:hint="eastAsia"/>
          <w:color w:val="auto"/>
        </w:rPr>
      </w:pPr>
      <w:r>
        <w:rPr>
          <w:color w:val="auto"/>
        </w:rPr>
        <w:t>1.</w:t>
      </w:r>
      <w:r>
        <w:rPr>
          <w:rFonts w:hint="eastAsia"/>
          <w:color w:val="auto"/>
        </w:rPr>
        <w:t>《中华人民共和国税收征收管理法》（中华人民共和国主席令第49号）第三十五条第一款</w:t>
      </w:r>
    </w:p>
    <w:p>
      <w:pPr>
        <w:rPr>
          <w:rFonts w:hint="eastAsia"/>
          <w:color w:val="auto"/>
        </w:rPr>
      </w:pPr>
      <w:r>
        <w:rPr>
          <w:rFonts w:hint="eastAsia"/>
          <w:color w:val="auto"/>
          <w:lang w:eastAsia="zh-CN"/>
        </w:rPr>
        <w:t>“</w:t>
      </w:r>
      <w:r>
        <w:rPr>
          <w:rFonts w:hint="eastAsia"/>
          <w:color w:val="auto"/>
        </w:rPr>
        <w:t>纳税人有下列情形之一的,税务机关有权核定其应纳税额:</w:t>
      </w:r>
    </w:p>
    <w:p>
      <w:pPr>
        <w:ind w:firstLine="472"/>
        <w:rPr>
          <w:rFonts w:hint="eastAsia" w:eastAsia="宋体"/>
          <w:color w:val="auto"/>
          <w:lang w:eastAsia="zh-CN"/>
        </w:rPr>
      </w:pPr>
      <w:r>
        <w:rPr>
          <w:rFonts w:hint="eastAsia"/>
          <w:color w:val="auto"/>
          <w:lang w:eastAsia="zh-CN"/>
        </w:rPr>
        <w:t>(一)依照法律、行政法规的规定可以不设置帐簿的”</w:t>
      </w:r>
    </w:p>
    <w:p>
      <w:pPr>
        <w:ind w:firstLine="472"/>
        <w:rPr>
          <w:rFonts w:hint="eastAsia"/>
          <w:color w:val="auto"/>
        </w:rPr>
      </w:pPr>
      <w:r>
        <w:rPr>
          <w:rFonts w:hint="eastAsia"/>
          <w:color w:val="auto"/>
        </w:rPr>
        <w:t>2.《中华人民共和国税收征收管理法实施细则》（中华人民共和国国务院令第362号）第四十七条</w:t>
      </w:r>
    </w:p>
    <w:p>
      <w:pPr>
        <w:ind w:firstLine="472"/>
        <w:rPr>
          <w:rFonts w:hint="eastAsia"/>
          <w:color w:val="auto"/>
          <w:lang w:eastAsia="zh-CN"/>
        </w:rPr>
      </w:pPr>
      <w:r>
        <w:rPr>
          <w:rFonts w:hint="eastAsia"/>
          <w:color w:val="auto"/>
          <w:lang w:eastAsia="zh-CN"/>
        </w:rPr>
        <w:t>“纳税人有税收征管法第三十五条或者第三十七条所列情形之一的，税务机关有权采用下列任何一种方法核定其应纳税额：</w:t>
      </w:r>
    </w:p>
    <w:p>
      <w:pPr>
        <w:ind w:firstLine="472"/>
        <w:rPr>
          <w:rFonts w:hint="eastAsia"/>
          <w:color w:val="auto"/>
          <w:lang w:eastAsia="zh-CN"/>
        </w:rPr>
      </w:pPr>
      <w:r>
        <w:rPr>
          <w:rFonts w:hint="eastAsia"/>
          <w:color w:val="auto"/>
          <w:lang w:eastAsia="zh-CN"/>
        </w:rPr>
        <w:t>（一）参照当地同类行业或者类似行业中经营规模和收入水平相近的纳税人的税负水平核定；</w:t>
      </w:r>
    </w:p>
    <w:p>
      <w:pPr>
        <w:ind w:firstLine="472"/>
        <w:rPr>
          <w:rFonts w:hint="eastAsia"/>
          <w:color w:val="auto"/>
          <w:lang w:eastAsia="zh-CN"/>
        </w:rPr>
      </w:pPr>
      <w:r>
        <w:rPr>
          <w:rFonts w:hint="eastAsia"/>
          <w:color w:val="auto"/>
          <w:lang w:eastAsia="zh-CN"/>
        </w:rPr>
        <w:t>（二）按照营业收入或者成本加合理的费用和利润的方法核定；</w:t>
      </w:r>
    </w:p>
    <w:p>
      <w:pPr>
        <w:ind w:firstLine="472"/>
        <w:rPr>
          <w:rFonts w:hint="eastAsia"/>
          <w:color w:val="auto"/>
          <w:lang w:eastAsia="zh-CN"/>
        </w:rPr>
      </w:pPr>
      <w:r>
        <w:rPr>
          <w:rFonts w:hint="eastAsia"/>
          <w:color w:val="auto"/>
          <w:lang w:eastAsia="zh-CN"/>
        </w:rPr>
        <w:t>（三）按照耗用的原材料、燃料、动力等推算或者测算核定；</w:t>
      </w:r>
    </w:p>
    <w:p>
      <w:pPr>
        <w:ind w:firstLine="472"/>
        <w:rPr>
          <w:rFonts w:hint="eastAsia"/>
          <w:color w:val="auto"/>
          <w:lang w:eastAsia="zh-CN"/>
        </w:rPr>
      </w:pPr>
      <w:r>
        <w:rPr>
          <w:rFonts w:hint="eastAsia"/>
          <w:color w:val="auto"/>
          <w:lang w:eastAsia="zh-CN"/>
        </w:rPr>
        <w:t>（四）按照其他合理方法核定。</w:t>
      </w:r>
    </w:p>
    <w:p>
      <w:pPr>
        <w:ind w:firstLine="472"/>
        <w:rPr>
          <w:rFonts w:hint="eastAsia"/>
          <w:color w:val="auto"/>
          <w:lang w:eastAsia="zh-CN"/>
        </w:rPr>
      </w:pPr>
      <w:r>
        <w:rPr>
          <w:rFonts w:hint="eastAsia"/>
          <w:color w:val="auto"/>
          <w:lang w:eastAsia="zh-CN"/>
        </w:rPr>
        <w:t>采用前款所列一种方法不足以正确核定应纳税额时，可以同时采用两种以上的方法核定。</w:t>
      </w:r>
    </w:p>
    <w:p>
      <w:pPr>
        <w:ind w:firstLine="472"/>
        <w:rPr>
          <w:rFonts w:hint="eastAsia" w:eastAsia="宋体"/>
          <w:color w:val="auto"/>
          <w:lang w:eastAsia="zh-CN"/>
        </w:rPr>
      </w:pPr>
      <w:r>
        <w:rPr>
          <w:rFonts w:hint="eastAsia"/>
          <w:color w:val="auto"/>
          <w:lang w:eastAsia="zh-CN"/>
        </w:rPr>
        <w:t>纳税人对税务机关采取本条规定的方法核定的应纳税额有异议的，应当提供相关证据，经税务机关认定后，调整应纳税额。”</w:t>
      </w:r>
    </w:p>
    <w:p>
      <w:pPr>
        <w:numPr>
          <w:ilvl w:val="0"/>
          <w:numId w:val="0"/>
        </w:numPr>
        <w:ind w:firstLine="472" w:firstLineChars="200"/>
        <w:rPr>
          <w:rFonts w:hint="eastAsia"/>
          <w:color w:val="auto"/>
        </w:rPr>
      </w:pPr>
      <w:r>
        <w:rPr>
          <w:rFonts w:hint="eastAsia"/>
          <w:color w:val="auto"/>
          <w:lang w:val="en-US" w:eastAsia="zh-CN"/>
        </w:rPr>
        <w:t>3.</w:t>
      </w:r>
      <w:r>
        <w:rPr>
          <w:rFonts w:hint="eastAsia"/>
          <w:color w:val="auto"/>
        </w:rPr>
        <w:t>国家税务总局关于发布《印花税管理规程（试行）》的公告（国家税务总局公告2016年第77号）第三章</w:t>
      </w:r>
    </w:p>
    <w:p>
      <w:pPr>
        <w:numPr>
          <w:ilvl w:val="0"/>
          <w:numId w:val="0"/>
        </w:numPr>
        <w:rPr>
          <w:rFonts w:hint="eastAsia"/>
          <w:color w:val="auto"/>
          <w:lang w:val="en-US" w:eastAsia="zh-CN"/>
        </w:rPr>
      </w:pPr>
      <w:r>
        <w:rPr>
          <w:rFonts w:hint="eastAsia"/>
          <w:color w:val="auto"/>
          <w:lang w:val="en-US" w:eastAsia="zh-CN"/>
        </w:rPr>
        <w:t>“第三章税款征收</w:t>
      </w:r>
    </w:p>
    <w:p>
      <w:pPr>
        <w:numPr>
          <w:ilvl w:val="0"/>
          <w:numId w:val="0"/>
        </w:numPr>
        <w:rPr>
          <w:rFonts w:hint="eastAsia"/>
          <w:color w:val="auto"/>
          <w:lang w:val="en-US" w:eastAsia="zh-CN"/>
        </w:rPr>
      </w:pPr>
      <w:r>
        <w:rPr>
          <w:rFonts w:hint="eastAsia"/>
          <w:color w:val="auto"/>
          <w:lang w:val="en-US" w:eastAsia="zh-CN"/>
        </w:rPr>
        <w:t>　　第八条纳税人书立、领受或者使用《条例》列举的应纳税凭证和经财政部确定征税的其他凭证时，即发生纳税义务，应当根据应纳税凭证的性质，分别按《条例》所附《印花税税目税率表》对应的税目、税率，自行计算应纳税额，购买并一次贴足印花税票（以下简称“贴花”）。</w:t>
      </w:r>
    </w:p>
    <w:p>
      <w:pPr>
        <w:numPr>
          <w:ilvl w:val="0"/>
          <w:numId w:val="0"/>
        </w:numPr>
        <w:rPr>
          <w:rFonts w:hint="eastAsia"/>
          <w:color w:val="auto"/>
          <w:lang w:val="en-US" w:eastAsia="zh-CN"/>
        </w:rPr>
      </w:pPr>
      <w:r>
        <w:rPr>
          <w:rFonts w:hint="eastAsia"/>
          <w:color w:val="auto"/>
          <w:lang w:val="en-US" w:eastAsia="zh-CN"/>
        </w:rPr>
        <w:t>　　第九条一份凭证应纳税额超过500元的，纳税人可以采取将税收缴款书、完税证明其中一联粘贴在凭证上或者由地方税务机关在凭证上加注完税标记代替贴花。</w:t>
      </w:r>
    </w:p>
    <w:p>
      <w:pPr>
        <w:numPr>
          <w:ilvl w:val="0"/>
          <w:numId w:val="0"/>
        </w:numPr>
        <w:rPr>
          <w:rFonts w:hint="eastAsia"/>
          <w:color w:val="auto"/>
          <w:lang w:val="en-US" w:eastAsia="zh-CN"/>
        </w:rPr>
      </w:pPr>
      <w:r>
        <w:rPr>
          <w:rFonts w:hint="eastAsia"/>
          <w:color w:val="auto"/>
          <w:lang w:val="en-US" w:eastAsia="zh-CN"/>
        </w:rPr>
        <w:t>　　第十条同一种类应纳税凭证，需频繁贴花的，可由纳税人根据实际情况自行决定是否采用按期汇总申报缴纳印花税的方式。汇总申报缴纳的期限不得超过一个月。</w:t>
      </w:r>
    </w:p>
    <w:p>
      <w:pPr>
        <w:numPr>
          <w:ilvl w:val="0"/>
          <w:numId w:val="0"/>
        </w:numPr>
        <w:rPr>
          <w:rFonts w:hint="eastAsia"/>
          <w:color w:val="auto"/>
          <w:lang w:val="en-US" w:eastAsia="zh-CN"/>
        </w:rPr>
      </w:pPr>
      <w:r>
        <w:rPr>
          <w:rFonts w:hint="eastAsia"/>
          <w:color w:val="auto"/>
          <w:lang w:val="en-US" w:eastAsia="zh-CN"/>
        </w:rPr>
        <w:t>　　采用按期汇总申报缴纳方式的，一年内不得改变。</w:t>
      </w:r>
    </w:p>
    <w:p>
      <w:pPr>
        <w:numPr>
          <w:ilvl w:val="0"/>
          <w:numId w:val="0"/>
        </w:numPr>
        <w:rPr>
          <w:rFonts w:hint="eastAsia"/>
          <w:color w:val="auto"/>
          <w:lang w:val="en-US" w:eastAsia="zh-CN"/>
        </w:rPr>
      </w:pPr>
      <w:r>
        <w:rPr>
          <w:rFonts w:hint="eastAsia"/>
          <w:color w:val="auto"/>
          <w:lang w:val="en-US" w:eastAsia="zh-CN"/>
        </w:rPr>
        <w:t>　　第十一条纳税人应按规定据实计算、缴纳印花税。</w:t>
      </w:r>
    </w:p>
    <w:p>
      <w:pPr>
        <w:numPr>
          <w:ilvl w:val="0"/>
          <w:numId w:val="0"/>
        </w:numPr>
        <w:rPr>
          <w:rFonts w:hint="eastAsia"/>
          <w:color w:val="auto"/>
          <w:lang w:val="en-US" w:eastAsia="zh-CN"/>
        </w:rPr>
      </w:pPr>
      <w:r>
        <w:rPr>
          <w:rFonts w:hint="eastAsia"/>
          <w:color w:val="auto"/>
          <w:lang w:val="en-US" w:eastAsia="zh-CN"/>
        </w:rPr>
        <w:t>　　第十二条税务机关可以根据《征管法》及相关规定核定纳税人应纳税额。</w:t>
      </w:r>
    </w:p>
    <w:p>
      <w:pPr>
        <w:numPr>
          <w:ilvl w:val="0"/>
          <w:numId w:val="0"/>
        </w:numPr>
        <w:rPr>
          <w:rFonts w:hint="eastAsia"/>
          <w:color w:val="auto"/>
          <w:lang w:val="en-US" w:eastAsia="zh-CN"/>
        </w:rPr>
      </w:pPr>
      <w:r>
        <w:rPr>
          <w:rFonts w:hint="eastAsia"/>
          <w:color w:val="auto"/>
          <w:lang w:val="en-US" w:eastAsia="zh-CN"/>
        </w:rPr>
        <w:t>　　第十三条税务机关应分行业对纳税人历年印花税的纳税情况、主营业务收入情况、应税合同的签订情况等进行统计、测算，评估各行业印花税纳税状况及税负水平，确定本地区不同行业应纳税凭证的核定标准。</w:t>
      </w:r>
    </w:p>
    <w:p>
      <w:pPr>
        <w:numPr>
          <w:ilvl w:val="0"/>
          <w:numId w:val="0"/>
        </w:numPr>
        <w:rPr>
          <w:rFonts w:hint="eastAsia"/>
          <w:color w:val="auto"/>
          <w:lang w:val="en-US" w:eastAsia="zh-CN"/>
        </w:rPr>
      </w:pPr>
      <w:r>
        <w:rPr>
          <w:rFonts w:hint="eastAsia"/>
          <w:color w:val="auto"/>
          <w:lang w:val="en-US" w:eastAsia="zh-CN"/>
        </w:rPr>
        <w:t>　　第十四条实行核定征收印花税的，纳税期限为一个月，税额较小的，纳税期限可为一个季度，具体由主管税务机关确定。纳税人应当自纳税期满之日起15日内，填写国家税务总局统一制定的纳税申报表申报缴纳核定征收的印花税。</w:t>
      </w:r>
    </w:p>
    <w:p>
      <w:pPr>
        <w:numPr>
          <w:ilvl w:val="0"/>
          <w:numId w:val="0"/>
        </w:numPr>
        <w:rPr>
          <w:rFonts w:hint="eastAsia"/>
          <w:color w:val="auto"/>
          <w:lang w:val="en-US" w:eastAsia="zh-CN"/>
        </w:rPr>
      </w:pPr>
      <w:r>
        <w:rPr>
          <w:rFonts w:hint="eastAsia"/>
          <w:color w:val="auto"/>
          <w:lang w:val="en-US" w:eastAsia="zh-CN"/>
        </w:rPr>
        <w:t>　　第十五条纳税人对主管税务机关核定的应纳税额有异议的，或因生产经营情况发生变化需要重新核定的，可向主管税务机关提供相关证据，主管税务机关核实后进行调整。</w:t>
      </w:r>
    </w:p>
    <w:p>
      <w:pPr>
        <w:numPr>
          <w:ilvl w:val="0"/>
          <w:numId w:val="0"/>
        </w:numPr>
        <w:rPr>
          <w:rFonts w:hint="eastAsia"/>
          <w:color w:val="auto"/>
          <w:lang w:val="en-US" w:eastAsia="zh-CN"/>
        </w:rPr>
      </w:pPr>
      <w:r>
        <w:rPr>
          <w:rFonts w:hint="eastAsia"/>
          <w:color w:val="auto"/>
          <w:lang w:val="en-US" w:eastAsia="zh-CN"/>
        </w:rPr>
        <w:t>　　第十六条主管税务机关核定征收印花税，应当向纳税人送达《税务事项通知书》，并注明核定征收的方法和税款缴纳期限。</w:t>
      </w:r>
    </w:p>
    <w:p>
      <w:pPr>
        <w:numPr>
          <w:ilvl w:val="0"/>
          <w:numId w:val="0"/>
        </w:numPr>
        <w:rPr>
          <w:rFonts w:hint="eastAsia"/>
          <w:color w:val="auto"/>
          <w:lang w:val="en-US" w:eastAsia="zh-CN"/>
        </w:rPr>
      </w:pPr>
      <w:r>
        <w:rPr>
          <w:rFonts w:hint="eastAsia"/>
          <w:color w:val="auto"/>
          <w:lang w:val="en-US" w:eastAsia="zh-CN"/>
        </w:rPr>
        <w:t>　　第十七条税务机关应当建立印花税基础资料库，内容包括分行业印花税纳税情况、分户纳税资料等，并确定科学的印花税评估方法或模型，据此及时、合理地做好印花税征收管理工作。</w:t>
      </w:r>
    </w:p>
    <w:p>
      <w:pPr>
        <w:numPr>
          <w:ilvl w:val="0"/>
          <w:numId w:val="0"/>
        </w:numPr>
        <w:rPr>
          <w:rFonts w:hint="eastAsia"/>
          <w:color w:val="auto"/>
          <w:lang w:val="en-US" w:eastAsia="zh-CN"/>
        </w:rPr>
      </w:pPr>
      <w:r>
        <w:rPr>
          <w:rFonts w:hint="eastAsia"/>
          <w:color w:val="auto"/>
          <w:lang w:val="en-US" w:eastAsia="zh-CN"/>
        </w:rPr>
        <w:t>　　第十八条税务机关根据印花税征收管理的需要，本着既加强源泉控管，又方便纳税人的原则，按照《国家税务总局关于发布〈委托代征管理办法〉的公告》（国家税务总局公告2013年第24号，以下简称《委托代征管理办法》）有关规定，可委托银行、保险、工商、房地产管理等有关部门，代征借款合同、财产保险合同、权利许可证照、产权转移书据、建设工程承包合同等的印花税。</w:t>
      </w:r>
    </w:p>
    <w:p>
      <w:pPr>
        <w:numPr>
          <w:ilvl w:val="0"/>
          <w:numId w:val="0"/>
        </w:numPr>
        <w:rPr>
          <w:rFonts w:hint="eastAsia"/>
          <w:color w:val="auto"/>
          <w:lang w:val="en-US" w:eastAsia="zh-CN"/>
        </w:rPr>
      </w:pPr>
      <w:r>
        <w:rPr>
          <w:rFonts w:hint="eastAsia"/>
          <w:color w:val="auto"/>
          <w:lang w:val="en-US" w:eastAsia="zh-CN"/>
        </w:rPr>
        <w:t>　　第十九条税务机关和受托代征人应严格按照《委托代征管理办法》的规定履行各自职责。违反规定的，应当追究相应的法律责任。</w:t>
      </w:r>
    </w:p>
    <w:p>
      <w:pPr>
        <w:numPr>
          <w:ilvl w:val="0"/>
          <w:numId w:val="0"/>
        </w:numPr>
        <w:rPr>
          <w:rFonts w:hint="eastAsia"/>
          <w:color w:val="auto"/>
          <w:lang w:val="en-US" w:eastAsia="zh-CN"/>
        </w:rPr>
      </w:pPr>
      <w:r>
        <w:rPr>
          <w:rFonts w:hint="eastAsia"/>
          <w:color w:val="auto"/>
          <w:lang w:val="en-US" w:eastAsia="zh-CN"/>
        </w:rPr>
        <w:t>　　第二十条税务机关在印花税征管中要加强部门协作，实现相关信息共享，构建综合治税机制。”</w:t>
      </w:r>
    </w:p>
    <w:p>
      <w:pPr>
        <w:numPr>
          <w:ilvl w:val="0"/>
          <w:numId w:val="0"/>
        </w:numPr>
        <w:rPr>
          <w:color w:val="auto"/>
        </w:rPr>
      </w:pPr>
      <w:r>
        <w:rPr>
          <w:rFonts w:hint="eastAsia" w:ascii="等线 Light" w:hAnsi="等线 Light" w:eastAsia="黑体" w:cs="Times New Roman"/>
          <w:bCs/>
          <w:color w:val="auto"/>
          <w:kern w:val="2"/>
          <w:sz w:val="28"/>
          <w:szCs w:val="32"/>
          <w:lang w:val="en-US" w:eastAsia="zh-CN" w:bidi="ar-SA"/>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pStyle w:val="63"/>
              <w:widowControl/>
              <w:spacing w:line="280" w:lineRule="exact"/>
              <w:ind w:firstLine="352" w:firstLineChars="0"/>
              <w:rPr>
                <w:rFonts w:cs="宋体"/>
                <w:color w:val="auto"/>
                <w:kern w:val="0"/>
                <w:sz w:val="18"/>
                <w:szCs w:val="18"/>
              </w:rPr>
            </w:pPr>
            <w:r>
              <w:rPr>
                <w:rFonts w:ascii="宋体" w:hAnsi="宋体" w:eastAsia="宋体" w:cs="微软雅黑"/>
                <w:color w:val="auto"/>
                <w:sz w:val="18"/>
                <w:szCs w:val="18"/>
              </w:rPr>
              <w:t>1</w:t>
            </w:r>
          </w:p>
        </w:tc>
        <w:tc>
          <w:tcPr>
            <w:tcW w:w="2551" w:type="dxa"/>
            <w:vAlign w:val="center"/>
          </w:tcPr>
          <w:p>
            <w:pPr>
              <w:pStyle w:val="63"/>
              <w:widowControl/>
              <w:spacing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《其他纳税核定申请表》（调整印花税核定申请）</w:t>
            </w:r>
          </w:p>
        </w:tc>
        <w:tc>
          <w:tcPr>
            <w:tcW w:w="709" w:type="dxa"/>
            <w:vAlign w:val="center"/>
          </w:tcPr>
          <w:p>
            <w:pPr>
              <w:pStyle w:val="63"/>
              <w:widowControl/>
              <w:spacing w:line="280" w:lineRule="exact"/>
              <w:ind w:firstLine="352" w:firstLineChars="0"/>
              <w:rPr>
                <w:rFonts w:cs="宋体"/>
                <w:color w:val="auto"/>
                <w:kern w:val="0"/>
                <w:sz w:val="18"/>
                <w:szCs w:val="18"/>
              </w:rPr>
            </w:pPr>
            <w:r>
              <w:rPr>
                <w:rStyle w:val="17"/>
                <w:rFonts w:ascii="宋体" w:hAnsi="宋体" w:eastAsia="宋体" w:cs="微软雅黑"/>
                <w:b w:val="0"/>
                <w:color w:val="auto"/>
                <w:sz w:val="18"/>
                <w:szCs w:val="18"/>
              </w:rPr>
              <w:t>2</w:t>
            </w:r>
          </w:p>
        </w:tc>
        <w:tc>
          <w:tcPr>
            <w:tcW w:w="992" w:type="dxa"/>
            <w:vAlign w:val="center"/>
          </w:tcPr>
          <w:p>
            <w:pPr>
              <w:pStyle w:val="63"/>
              <w:widowControl/>
              <w:spacing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vAlign w:val="center"/>
          </w:tcPr>
          <w:p>
            <w:pPr>
              <w:pStyle w:val="63"/>
              <w:widowControl/>
              <w:spacing w:line="280" w:lineRule="exact"/>
              <w:ind w:firstLine="352"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六、办理流程</w:t>
      </w:r>
    </w:p>
    <w:p>
      <w:pPr>
        <w:spacing w:line="240" w:lineRule="auto"/>
        <w:ind w:left="472" w:firstLine="0" w:firstLineChars="0"/>
        <w:rPr>
          <w:color w:val="auto"/>
        </w:rPr>
      </w:pPr>
    </w:p>
    <w:p>
      <w:pPr>
        <w:spacing w:line="240" w:lineRule="auto"/>
        <w:ind w:left="472" w:firstLine="0" w:firstLineChars="0"/>
        <w:rPr>
          <w:color w:val="auto"/>
        </w:rPr>
      </w:pPr>
      <w:r>
        <w:rPr>
          <w:color w:val="auto"/>
        </w:rPr>
        <w:object>
          <v:shape id="_x0000_i1160" o:spt="75" type="#_x0000_t75" style="height:168.7pt;width:356.95pt;" o:ole="t" filled="f" o:preferrelative="t" stroked="f" coordsize="21600,21600">
            <v:path/>
            <v:fill on="f" focussize="0,0"/>
            <v:stroke on="f"/>
            <v:imagedata r:id="rId11" o:title=""/>
            <o:lock v:ext="edit" aspectratio="t"/>
            <w10:wrap type="none"/>
            <w10:anchorlock/>
          </v:shape>
          <o:OLEObject Type="Embed" ProgID="" ShapeID="_x0000_i1160"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eastAsia="zh-CN"/>
        </w:rPr>
        <w:t>限</w:t>
      </w:r>
      <w:r>
        <w:rPr>
          <w:rFonts w:hint="eastAsia"/>
          <w:color w:val="auto"/>
        </w:rPr>
        <w:t>时办结。</w:t>
      </w:r>
    </w:p>
    <w:p>
      <w:pPr>
        <w:pStyle w:val="3"/>
        <w:ind w:firstLine="552"/>
        <w:rPr>
          <w:color w:val="auto"/>
        </w:rPr>
      </w:pPr>
      <w:r>
        <w:rPr>
          <w:rFonts w:hint="eastAsia"/>
          <w:color w:val="auto"/>
        </w:rPr>
        <w:t>八、表证单书</w:t>
      </w:r>
    </w:p>
    <w:p>
      <w:pPr>
        <w:ind w:firstLine="472"/>
        <w:rPr>
          <w:color w:val="auto"/>
        </w:rPr>
      </w:pPr>
      <w:r>
        <w:rPr>
          <w:color w:val="auto"/>
        </w:rPr>
        <w:t>1.</w:t>
      </w:r>
      <w:r>
        <w:rPr>
          <w:rFonts w:hint="eastAsia"/>
          <w:color w:val="auto"/>
        </w:rPr>
        <w:t>A07013《其他纳税核定申请表》（调整印花税核定申请）</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olor w:val="auto"/>
        </w:rPr>
        <w:t>实行印花税核定征收的纳税人，已按规定建立《印花税应税凭证登记簿》，且如实登记和完整保存应税凭证的；采用按期汇总缴纳办法的印花税核定征收纳税人，能按规定的期限报送汇总缴纳印花税情况报告的，向税务机关提出取消印花税核定。</w:t>
      </w:r>
    </w:p>
    <w:p>
      <w:pPr>
        <w:ind w:firstLine="472"/>
        <w:rPr>
          <w:color w:val="auto"/>
        </w:rPr>
      </w:pPr>
      <w:r>
        <w:rPr>
          <w:color w:val="auto"/>
        </w:rPr>
        <w:t>2.</w:t>
      </w:r>
      <w:r>
        <w:rPr>
          <w:rFonts w:hint="eastAsia"/>
          <w:color w:val="auto"/>
        </w:rPr>
        <w:t>纳税人对报送资料的真实性和合法性承担责任。</w:t>
      </w:r>
    </w:p>
    <w:p>
      <w:pPr>
        <w:ind w:firstLine="472"/>
        <w:jc w:val="left"/>
        <w:rPr>
          <w:rFonts w:hint="eastAsia"/>
          <w:color w:val="auto"/>
        </w:rPr>
      </w:pPr>
      <w:r>
        <w:rPr>
          <w:color w:val="auto"/>
        </w:rPr>
        <w:t>3.</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4</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B32F4AA"/>
    <w:multiLevelType w:val="singleLevel"/>
    <w:tmpl w:val="7B32F4AA"/>
    <w:lvl w:ilvl="0" w:tentative="0">
      <w:start w:val="3"/>
      <w:numFmt w:val="chineseCounting"/>
      <w:suff w:val="nothing"/>
      <w:lvlText w:val="%1、"/>
      <w:lvlJc w:val="left"/>
      <w:rPr>
        <w:rFonts w:hint="eastAsia"/>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637578"/>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2019-10-31T05:08:14Z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