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6369"/>
      <w:r>
        <w:rPr>
          <w:rFonts w:hint="eastAsia" w:ascii="黑体" w:hAnsi="黑体"/>
          <w:color w:val="auto"/>
        </w:rPr>
        <w:t>2.4.7.</w:t>
      </w:r>
      <w:r>
        <w:rPr>
          <w:rFonts w:hint="eastAsia" w:ascii="黑体" w:hAnsi="黑体"/>
          <w:color w:val="auto"/>
          <w:lang w:val="en-US" w:eastAsia="zh-CN"/>
        </w:rPr>
        <w:t>2</w:t>
      </w:r>
      <w:r>
        <w:rPr>
          <w:rFonts w:hint="eastAsia" w:ascii="黑体" w:hAnsi="黑体"/>
          <w:color w:val="auto"/>
        </w:rPr>
        <w:t>环境保护税核定征收方式变更</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环境保护税核定征收方式变更</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办结方式：限时</w:t>
      </w:r>
      <w:r>
        <w:rPr>
          <w:color w:val="auto"/>
        </w:rPr>
        <w:t>办结</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w:t>
      </w:r>
      <w:r>
        <w:rPr>
          <w:rFonts w:hint="eastAsia"/>
          <w:color w:val="auto"/>
          <w:lang w:eastAsia="zh-CN"/>
        </w:rPr>
        <w:t>否</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w:t>
      </w:r>
      <w:r>
        <w:rPr>
          <w:rFonts w:hint="eastAsia"/>
          <w:color w:val="auto"/>
          <w:lang w:eastAsia="zh-CN"/>
        </w:rPr>
        <w:t>是</w:t>
      </w:r>
    </w:p>
    <w:p>
      <w:pPr>
        <w:pStyle w:val="3"/>
        <w:ind w:firstLine="552"/>
        <w:rPr>
          <w:color w:val="auto"/>
        </w:rPr>
      </w:pPr>
      <w:r>
        <w:rPr>
          <w:color w:val="auto"/>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rPr>
      </w:pPr>
      <w:r>
        <w:rPr>
          <w:rFonts w:hint="eastAsia"/>
          <w:color w:val="auto"/>
        </w:rPr>
        <w:t>环境保护税核定征收方式变更是按照《河南省环境保护税核定征收暂行办法》（河南省地方税务局河南省环境保护厅公告2018年1号）规定，进行环境保护税核定征收方式认定的纳税人，因应税污染物排放量的计算方法发生变更的，不再适用核定征收的，应当向主管税务机关申请变更征收方式，纳税人自收到主管税务机关《税务事项通知书（环境保护税核定征收变更通知）》后的次月起不再核定计算污染物排放量的业务活动。</w:t>
      </w:r>
    </w:p>
    <w:p>
      <w:pPr>
        <w:pStyle w:val="3"/>
        <w:ind w:firstLine="552"/>
        <w:rPr>
          <w:color w:val="auto"/>
        </w:rPr>
      </w:pPr>
      <w:r>
        <w:rPr>
          <w:rFonts w:hint="eastAsia"/>
          <w:color w:val="auto"/>
        </w:rPr>
        <w:t>四、设定依据</w:t>
      </w:r>
    </w:p>
    <w:p>
      <w:pPr>
        <w:ind w:firstLine="472"/>
        <w:rPr>
          <w:color w:val="auto"/>
        </w:rPr>
      </w:pPr>
      <w:r>
        <w:rPr>
          <w:rFonts w:hint="eastAsia"/>
          <w:color w:val="auto"/>
          <w:lang w:val="en-US" w:eastAsia="zh-CN"/>
        </w:rPr>
        <w:t>1.</w:t>
      </w:r>
      <w:r>
        <w:rPr>
          <w:rFonts w:hint="eastAsia"/>
          <w:color w:val="auto"/>
        </w:rPr>
        <w:t>《河南省环境保护税核定征收暂行办法》（河南省地方税务局河南省环境保护厅2018年1号公告）全文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eastAsia="宋体" w:cs="宋体"/>
                <w:color w:val="auto"/>
                <w:kern w:val="0"/>
                <w:sz w:val="18"/>
                <w:szCs w:val="18"/>
              </w:rPr>
              <w:t>变更征收方式申请</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eastAsia="宋体"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eastAsia="宋体"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eastAsia="宋体" w:cs="宋体"/>
                <w:color w:val="auto"/>
                <w:kern w:val="0"/>
                <w:sz w:val="18"/>
                <w:szCs w:val="18"/>
              </w:rPr>
              <w:t>排放量计算方法变更的纳税人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2</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sz w:val="18"/>
                <w:szCs w:val="18"/>
              </w:rPr>
            </w:pPr>
            <w:r>
              <w:rPr>
                <w:rFonts w:hint="eastAsia" w:eastAsia="宋体" w:cs="宋体"/>
                <w:color w:val="auto"/>
                <w:kern w:val="0"/>
                <w:sz w:val="18"/>
                <w:szCs w:val="18"/>
              </w:rPr>
              <w:t>排放量计算方法变更的证明材料</w:t>
            </w:r>
          </w:p>
        </w:tc>
        <w:tc>
          <w:tcPr>
            <w:tcW w:w="709" w:type="dxa"/>
            <w:shd w:val="clear" w:color="auto" w:fill="auto"/>
            <w:vAlign w:val="center"/>
          </w:tcPr>
          <w:p>
            <w:pPr>
              <w:widowControl/>
              <w:spacing w:line="280" w:lineRule="exact"/>
              <w:ind w:firstLine="0" w:firstLineChars="0"/>
              <w:jc w:val="center"/>
              <w:rPr>
                <w:rFonts w:ascii="宋体" w:hAnsi="宋体" w:eastAsia="宋体" w:cs="宋体"/>
                <w:color w:val="auto"/>
                <w:sz w:val="18"/>
                <w:szCs w:val="18"/>
              </w:rPr>
            </w:pPr>
            <w:r>
              <w:rPr>
                <w:rFonts w:eastAsia="宋体"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sz w:val="18"/>
                <w:szCs w:val="18"/>
              </w:rPr>
            </w:pPr>
            <w:r>
              <w:rPr>
                <w:rFonts w:hint="eastAsia" w:eastAsia="宋体"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eastAsia="宋体" w:cs="宋体"/>
                <w:color w:val="auto"/>
                <w:kern w:val="0"/>
                <w:sz w:val="18"/>
                <w:szCs w:val="18"/>
              </w:rPr>
              <w:t>排放量计算方法变更的纳税人</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r>
        <w:rPr>
          <w:rFonts w:ascii="Calibri" w:hAnsi="Calibri" w:eastAsia="楷体"/>
          <w:color w:val="auto"/>
        </w:rPr>
        <w:drawing>
          <wp:inline distT="0" distB="0" distL="113665" distR="113665">
            <wp:extent cx="5536565" cy="1216025"/>
            <wp:effectExtent l="0" t="0" r="6985" b="3175"/>
            <wp:docPr id="24" name="图片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06"/>
                    <pic:cNvPicPr>
                      <a:picLocks noChangeAspect="1"/>
                    </pic:cNvPicPr>
                  </pic:nvPicPr>
                  <pic:blipFill>
                    <a:blip r:embed="rId10"/>
                    <a:stretch>
                      <a:fillRect/>
                    </a:stretch>
                  </pic:blipFill>
                  <pic:spPr>
                    <a:xfrm>
                      <a:off x="0" y="0"/>
                      <a:ext cx="5536565" cy="1216025"/>
                    </a:xfrm>
                    <a:prstGeom prst="rect">
                      <a:avLst/>
                    </a:prstGeom>
                    <a:noFill/>
                    <a:ln w="100000">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val="en-US" w:eastAsia="zh-CN"/>
        </w:rPr>
        <w:t>5</w:t>
      </w:r>
      <w:r>
        <w:rPr>
          <w:rFonts w:hint="eastAsia"/>
          <w:color w:val="auto"/>
        </w:rPr>
        <w:t>个工作日办结。</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rFonts w:hint="eastAsia"/>
          <w:color w:val="auto"/>
          <w:lang w:eastAsia="zh-CN"/>
        </w:rPr>
        <w:t>无</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纳税人应税污染物排放量的计算方法发生变更的，可以按照《环境保护税法》第十条第一项至第三项规定的方法计算的，应当自月度终了之日起15日内向主管税务机关申请变更征收方式，并提供相关资料，主管税务机关自接到纳税人变更申请后5个工作日内下达《税务事项通知书（环境保护税核定征收变更通知）》，纳税人自收到《税务事项通知书（环境保护税核定征收变更通知）》后的次月起不再核定计算污染物排放量。</w:t>
      </w:r>
    </w:p>
    <w:p>
      <w:pPr>
        <w:ind w:firstLine="472"/>
        <w:rPr>
          <w:color w:val="auto"/>
        </w:rPr>
      </w:pPr>
      <w:r>
        <w:rPr>
          <w:rFonts w:hint="eastAsia"/>
          <w:color w:val="auto"/>
          <w:lang w:val="en-US" w:eastAsia="zh-CN"/>
        </w:rPr>
        <w:t>2</w:t>
      </w:r>
      <w:r>
        <w:rPr>
          <w:rFonts w:hint="eastAsia"/>
          <w:color w:val="auto"/>
        </w:rPr>
        <w:t>.附报资料中通过电子税务局等渠道已提交电子资料的不再报送纸质资料</w:t>
      </w:r>
      <w:r>
        <w:rPr>
          <w:color w:val="auto"/>
        </w:rPr>
        <w:t>。</w:t>
      </w:r>
    </w:p>
    <w:p>
      <w:pPr>
        <w:ind w:firstLine="472"/>
        <w:rPr>
          <w:color w:val="auto"/>
        </w:rPr>
      </w:pPr>
      <w:r>
        <w:rPr>
          <w:rFonts w:hint="eastAsia"/>
          <w:color w:val="auto"/>
          <w:lang w:val="en-US" w:eastAsia="zh-CN"/>
        </w:rPr>
        <w:t>3</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5.</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D749F6"/>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2019-10-31T05:08:37Z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