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4004"/>
      <w:r>
        <w:rPr>
          <w:rFonts w:hint="eastAsia" w:ascii="黑体" w:hAnsi="黑体" w:cs="黑体"/>
          <w:color w:val="auto"/>
        </w:rPr>
        <w:t>1.3.17.2代扣代缴文化事业建设费申报</w:t>
      </w:r>
      <w:bookmarkEnd w:id="0"/>
    </w:p>
    <w:p>
      <w:pPr>
        <w:pStyle w:val="3"/>
        <w:ind w:firstLine="552"/>
        <w:rPr>
          <w:rFonts w:eastAsia="黑体"/>
          <w:color w:val="auto"/>
          <w:sz w:val="28"/>
        </w:rPr>
      </w:pPr>
      <w:r>
        <w:rPr>
          <w:rFonts w:eastAsia="黑体"/>
          <w:color w:val="auto"/>
          <w:sz w:val="28"/>
        </w:rPr>
        <w:t>一、事项名称</w:t>
      </w:r>
    </w:p>
    <w:p>
      <w:pPr>
        <w:ind w:firstLine="472"/>
        <w:rPr>
          <w:rFonts w:hint="eastAsia"/>
          <w:color w:val="auto"/>
        </w:rPr>
      </w:pPr>
      <w:r>
        <w:rPr>
          <w:rFonts w:hint="eastAsia"/>
          <w:color w:val="auto"/>
          <w:lang w:val="en-US" w:eastAsia="zh-CN"/>
        </w:rPr>
        <w:t>代扣代缴文化事业建设费</w:t>
      </w:r>
      <w:r>
        <w:rPr>
          <w:rFonts w:hint="eastAsia"/>
          <w:color w:val="auto"/>
        </w:rPr>
        <w:t>申报</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二、事项类别</w:t>
      </w:r>
    </w:p>
    <w:p>
      <w:pPr>
        <w:pStyle w:val="47"/>
        <w:numPr>
          <w:ilvl w:val="0"/>
          <w:numId w:val="3"/>
        </w:numPr>
        <w:ind w:firstLineChars="0"/>
        <w:rPr>
          <w:color w:val="auto"/>
        </w:rPr>
      </w:pPr>
      <w:r>
        <w:rPr>
          <w:rFonts w:hint="eastAsia"/>
          <w:color w:val="auto"/>
        </w:rPr>
        <w:t>发起方式：人工发起（扣缴</w:t>
      </w:r>
      <w:r>
        <w:rPr>
          <w:color w:val="auto"/>
        </w:rPr>
        <w:t>义务人</w:t>
      </w:r>
      <w:r>
        <w:rPr>
          <w:rFonts w:hint="eastAsia"/>
          <w:color w:val="auto"/>
        </w:rPr>
        <w:t>）</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w:t>
      </w:r>
      <w:r>
        <w:rPr>
          <w:rFonts w:hint="eastAsia"/>
          <w:color w:val="auto"/>
          <w:lang w:val="en-US" w:eastAsia="zh-CN"/>
        </w:rPr>
        <w:t>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bCs/>
          <w:color w:val="auto"/>
        </w:rPr>
      </w:pPr>
      <w:r>
        <w:rPr>
          <w:rFonts w:hint="eastAsia"/>
          <w:color w:val="auto"/>
        </w:rPr>
        <w:t>中华人民共和国境外的广告媒介单位和户外广告经营单位在境内未设有经营机构的，以广告服务接受方为扣缴义务人。文化事业建设费的扣缴义务人应当向其机构所在地或者居住地主管税务机关申报缴纳其扣缴的文化事业建设费，报送《文化事业建设费代扣代缴报告表》。文化事业建设费的扣缴义务发生时间为缴纳义务人的增值税纳税义务发生时间。按规定扣缴文化事业建设费的，应扣缴费额＝支付的广告服务含税价款×费率。</w:t>
      </w:r>
    </w:p>
    <w:p>
      <w:pPr>
        <w:ind w:firstLine="472"/>
        <w:rPr>
          <w:bCs/>
          <w:color w:val="auto"/>
        </w:rPr>
      </w:pPr>
      <w:r>
        <w:rPr>
          <w:rFonts w:hint="eastAsia"/>
          <w:color w:val="auto"/>
        </w:rPr>
        <w:t>广告业增值税小规模纳税人中月销售额不超过2万元（按季纳税6万元）的企业和非企业性单位提供的应税服务，免缴文化事业建设费。</w:t>
      </w:r>
    </w:p>
    <w:p>
      <w:pPr>
        <w:pStyle w:val="3"/>
        <w:ind w:firstLine="552"/>
        <w:rPr>
          <w:rFonts w:eastAsia="黑体"/>
          <w:color w:val="auto"/>
          <w:sz w:val="28"/>
        </w:rPr>
      </w:pPr>
      <w:r>
        <w:rPr>
          <w:rFonts w:hint="eastAsia" w:eastAsia="黑体"/>
          <w:color w:val="auto"/>
          <w:sz w:val="28"/>
          <w:lang w:val="en-US" w:eastAsia="zh-CN"/>
        </w:rPr>
        <w:t>四</w:t>
      </w:r>
      <w:r>
        <w:rPr>
          <w:rFonts w:hint="eastAsia" w:eastAsia="黑体"/>
          <w:color w:val="auto"/>
          <w:sz w:val="28"/>
        </w:rPr>
        <w:t>、</w:t>
      </w:r>
      <w:r>
        <w:rPr>
          <w:rFonts w:hint="eastAsia" w:eastAsia="黑体"/>
          <w:color w:val="auto"/>
          <w:sz w:val="28"/>
          <w:lang w:val="en-US" w:eastAsia="zh-CN"/>
        </w:rPr>
        <w:t>设定</w:t>
      </w:r>
      <w:r>
        <w:rPr>
          <w:rFonts w:hint="eastAsia" w:eastAsia="黑体"/>
          <w:color w:val="auto"/>
          <w:sz w:val="28"/>
        </w:rPr>
        <w:t>依据</w:t>
      </w:r>
    </w:p>
    <w:p>
      <w:pPr>
        <w:ind w:firstLine="472"/>
        <w:rPr>
          <w:color w:val="auto"/>
        </w:rPr>
      </w:pPr>
      <w:r>
        <w:rPr>
          <w:rFonts w:hint="eastAsia"/>
          <w:color w:val="auto"/>
        </w:rPr>
        <w:t>1.《中华人民共和国税收征收管理法》（中华人民共和国主席令第四十九号）</w:t>
      </w:r>
      <w:r>
        <w:rPr>
          <w:color w:val="auto"/>
        </w:rPr>
        <w:t>第四条，第六条，第三十二条、第六十九条</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“法律、行政法规规定负有纳税义务的单位和个人为纳税人。</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法律、行政法规规定负有代扣代缴、代收代缴税款义务的单位和个人为扣缴义务人。</w:t>
      </w:r>
    </w:p>
    <w:p>
      <w:pPr>
        <w:pStyle w:val="1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纳税人、扣缴义务人必须依照法律、行政法规的规定缴纳税款、代扣代缴、代收代缴税款。”</w:t>
      </w:r>
    </w:p>
    <w:p>
      <w:pPr>
        <w:rPr>
          <w:color w:val="auto"/>
        </w:rPr>
      </w:pPr>
      <w:r>
        <w:rPr>
          <w:rFonts w:hint="eastAsia" w:ascii="宋体" w:hAnsi="宋体" w:eastAsia="宋体" w:cs="Times New Roman"/>
          <w:color w:val="auto"/>
          <w:kern w:val="2"/>
          <w:sz w:val="24"/>
          <w:szCs w:val="22"/>
          <w:lang w:val="en-US" w:eastAsia="zh-CN" w:bidi="ar-SA"/>
        </w:rPr>
        <w:t>“国家有计划地用现代信息技术装备各级税务机关，加强税收征收管理信息系统的现代化建设，建立、健全税务机关与政府其他管理</w:t>
      </w:r>
      <w:r>
        <w:rPr>
          <w:rFonts w:hint="eastAsia"/>
          <w:color w:val="auto"/>
        </w:rPr>
        <w:t>机关的信息共享制度。纳税人、扣缴义务人和其他有关单位应当按照国家有关规定如实向税务机关提供与纳税和代扣代缴、代收代缴税款有关的信息。</w:t>
      </w:r>
      <w:r>
        <w:rPr>
          <w:rFonts w:hint="eastAsia"/>
          <w:color w:val="auto"/>
          <w:lang w:eastAsia="zh-CN"/>
        </w:rPr>
        <w:t>”</w:t>
      </w:r>
    </w:p>
    <w:p>
      <w:pPr>
        <w:ind w:firstLine="472"/>
        <w:rPr>
          <w:rFonts w:hint="eastAsia"/>
          <w:color w:val="auto"/>
        </w:rPr>
      </w:pPr>
      <w:r>
        <w:rPr>
          <w:rFonts w:hint="eastAsia"/>
          <w:color w:val="auto"/>
          <w:lang w:eastAsia="zh-CN"/>
        </w:rPr>
        <w:t>“</w:t>
      </w:r>
      <w:r>
        <w:rPr>
          <w:color w:val="auto"/>
        </w:rPr>
        <w:t>纳税人未按照规定期限缴纳税款的，扣缴义务人未按照规定期限解缴税款的，税务机关除责令限期缴纳外，从滞纳税款之日起，按日加收滞纳税款万分之五的滞纳金。</w:t>
      </w:r>
      <w:r>
        <w:rPr>
          <w:rFonts w:hint="eastAsia"/>
          <w:color w:val="auto"/>
          <w:lang w:eastAsia="zh-CN"/>
        </w:rPr>
        <w:t>”</w:t>
      </w:r>
    </w:p>
    <w:p>
      <w:pPr>
        <w:ind w:firstLine="472"/>
        <w:rPr>
          <w:color w:val="auto"/>
        </w:rPr>
      </w:pPr>
      <w:r>
        <w:rPr>
          <w:rFonts w:hint="eastAsia"/>
          <w:color w:val="auto"/>
          <w:lang w:eastAsia="zh-CN"/>
        </w:rPr>
        <w:t>“</w:t>
      </w:r>
      <w:r>
        <w:rPr>
          <w:color w:val="auto"/>
        </w:rPr>
        <w:t>扣缴义务人应扣未扣、应收而不收税款的，由税务机关向纳税人追缴税款，对扣缴义务人处应扣未扣、应收未收税款百分之五十以上三倍以下的罚款。</w:t>
      </w:r>
      <w:r>
        <w:rPr>
          <w:rFonts w:hint="eastAsia"/>
          <w:color w:val="auto"/>
          <w:lang w:eastAsia="zh-CN"/>
        </w:rPr>
        <w:t>”</w:t>
      </w:r>
    </w:p>
    <w:p>
      <w:pPr>
        <w:ind w:firstLine="472"/>
        <w:rPr>
          <w:color w:val="auto"/>
        </w:rPr>
      </w:pPr>
      <w:r>
        <w:rPr>
          <w:color w:val="auto"/>
        </w:rPr>
        <w:t>2</w:t>
      </w:r>
      <w:r>
        <w:rPr>
          <w:rFonts w:hint="eastAsia"/>
          <w:color w:val="auto"/>
        </w:rPr>
        <w:t>.《财政部</w:t>
      </w:r>
      <w:r>
        <w:rPr>
          <w:color w:val="auto"/>
        </w:rPr>
        <w:t>国家税务总局关于对外商投资企业外国企业和外籍个人征收文化事业建设费问题的通知》（财税字〔1998〕14号）</w:t>
      </w:r>
      <w:r>
        <w:rPr>
          <w:rFonts w:hint="eastAsia"/>
          <w:color w:val="auto"/>
        </w:rPr>
        <w:t>全文</w:t>
      </w:r>
    </w:p>
    <w:p>
      <w:pPr>
        <w:ind w:firstLine="472"/>
        <w:rPr>
          <w:color w:val="auto"/>
        </w:rPr>
      </w:pPr>
      <w:r>
        <w:rPr>
          <w:rFonts w:hint="eastAsia"/>
          <w:color w:val="auto"/>
        </w:rPr>
        <w:t>3.《国家税务总局关于广告代理业征收文化事业建设费问题的批复》（国税函〔</w:t>
      </w:r>
      <w:r>
        <w:rPr>
          <w:color w:val="auto"/>
        </w:rPr>
        <w:t>1999〕353号）</w:t>
      </w:r>
      <w:r>
        <w:rPr>
          <w:rFonts w:hint="eastAsia"/>
          <w:color w:val="auto"/>
        </w:rPr>
        <w:t>全文</w:t>
      </w:r>
    </w:p>
    <w:p>
      <w:pPr>
        <w:ind w:firstLine="472"/>
        <w:rPr>
          <w:color w:val="auto"/>
        </w:rPr>
      </w:pPr>
      <w:r>
        <w:rPr>
          <w:rFonts w:hint="eastAsia"/>
          <w:color w:val="auto"/>
        </w:rPr>
        <w:t>4.《国家税务总局关于代征代扣税款会计核算问题的通知》（国税发〔2002〕49号）全文</w:t>
      </w:r>
    </w:p>
    <w:p>
      <w:pPr>
        <w:ind w:firstLine="472"/>
        <w:rPr>
          <w:color w:val="auto"/>
        </w:rPr>
      </w:pPr>
      <w:r>
        <w:rPr>
          <w:rFonts w:hint="eastAsia"/>
          <w:color w:val="auto"/>
        </w:rPr>
        <w:t>5</w:t>
      </w:r>
      <w:r>
        <w:rPr>
          <w:color w:val="auto"/>
        </w:rPr>
        <w:t>.</w:t>
      </w:r>
      <w:r>
        <w:rPr>
          <w:rFonts w:hint="eastAsia"/>
          <w:color w:val="auto"/>
        </w:rPr>
        <w:t>《国家税务总局关于营业税改征增值税试点有关文化事业建设费登记与申报事项的公告》（国家税务总局公告2013年第64号）全文</w:t>
      </w:r>
    </w:p>
    <w:p>
      <w:pPr>
        <w:ind w:firstLine="472"/>
        <w:rPr>
          <w:color w:val="auto"/>
        </w:rPr>
      </w:pPr>
      <w:r>
        <w:rPr>
          <w:rFonts w:hint="eastAsia"/>
          <w:color w:val="auto"/>
        </w:rPr>
        <w:t>6.《财政部国家税务总局关于对小微企业免征有关政府性基金的通知》（财税〔2014〕122号）全文</w:t>
      </w:r>
    </w:p>
    <w:p>
      <w:pPr>
        <w:ind w:firstLine="472"/>
        <w:rPr>
          <w:color w:val="auto"/>
        </w:rPr>
      </w:pPr>
      <w:r>
        <w:rPr>
          <w:rFonts w:hint="eastAsia"/>
          <w:color w:val="auto"/>
        </w:rPr>
        <w:t>7.《财政部国家税务总局关于营业税改征增值税试点有关文化事业建设费政策及征收管理问题的通知》（财税〔2016〕25号）全文</w:t>
      </w:r>
    </w:p>
    <w:p>
      <w:pPr>
        <w:ind w:firstLine="472"/>
        <w:rPr>
          <w:color w:val="auto"/>
        </w:rPr>
      </w:pPr>
      <w:r>
        <w:rPr>
          <w:rFonts w:hint="eastAsia"/>
          <w:color w:val="auto"/>
        </w:rPr>
        <w:t>8.《财政部国家税务总局关于全面推开营业税改征增值税试点的通知》（财税〔</w:t>
      </w:r>
      <w:r>
        <w:rPr>
          <w:color w:val="auto"/>
        </w:rPr>
        <w:t>2016〕36号）</w:t>
      </w:r>
      <w:r>
        <w:rPr>
          <w:rFonts w:hint="eastAsia"/>
          <w:color w:val="auto"/>
        </w:rPr>
        <w:t>附件</w:t>
      </w:r>
      <w:r>
        <w:rPr>
          <w:color w:val="auto"/>
        </w:rPr>
        <w:t>1《营业税改征增值税试点实施办法》附《销售服务、无形资产、不动产注释》第一条第（六）项第3目、第（七）项第3目</w:t>
      </w:r>
    </w:p>
    <w:p>
      <w:pPr>
        <w:ind w:firstLine="472"/>
        <w:rPr>
          <w:rFonts w:hint="eastAsia"/>
          <w:color w:val="auto"/>
          <w:lang w:eastAsia="zh-CN"/>
        </w:rPr>
      </w:pPr>
      <w:r>
        <w:rPr>
          <w:rFonts w:hint="eastAsia"/>
          <w:color w:val="auto"/>
          <w:lang w:eastAsia="zh-CN"/>
        </w:rPr>
        <w:t>“</w:t>
      </w:r>
      <w:r>
        <w:rPr>
          <w:rFonts w:hint="eastAsia"/>
          <w:color w:val="auto"/>
        </w:rPr>
        <w:t>广告服务，是指利用图书、报纸、杂志、广播、电视、电影、幻灯、路牌、招贴、橱窗、霓虹灯、灯箱、互联网等各种形式为客户的商品、经营服务项目、文体节目或者通告、声明等委托事项进行宣传和提供相关服务的业务活动。包括广告代理和广告的发布、播映、宣传、展示等。</w:t>
      </w:r>
      <w:r>
        <w:rPr>
          <w:rFonts w:hint="eastAsia"/>
          <w:color w:val="auto"/>
          <w:lang w:eastAsia="zh-CN"/>
        </w:rPr>
        <w:t>”</w:t>
      </w:r>
    </w:p>
    <w:p>
      <w:pPr>
        <w:ind w:firstLine="472"/>
        <w:rPr>
          <w:rFonts w:hint="eastAsia"/>
          <w:color w:val="auto"/>
        </w:rPr>
      </w:pPr>
      <w:r>
        <w:rPr>
          <w:rFonts w:hint="eastAsia"/>
          <w:color w:val="auto"/>
          <w:lang w:eastAsia="zh-CN"/>
        </w:rPr>
        <w:t>“</w:t>
      </w:r>
      <w:r>
        <w:rPr>
          <w:rFonts w:hint="eastAsia"/>
          <w:color w:val="auto"/>
        </w:rPr>
        <w:t>旅游娱乐服务，包括旅游服务和娱乐服务。</w:t>
      </w:r>
    </w:p>
    <w:p>
      <w:pPr>
        <w:ind w:firstLine="472"/>
        <w:rPr>
          <w:rFonts w:hint="eastAsia"/>
          <w:color w:val="auto"/>
        </w:rPr>
      </w:pPr>
      <w:r>
        <w:rPr>
          <w:rFonts w:hint="eastAsia"/>
          <w:color w:val="auto"/>
        </w:rPr>
        <w:t>（1）旅游服务，是指根据旅游者的要求，组织安排</w:t>
      </w:r>
      <w:r>
        <w:rPr>
          <w:rFonts w:hint="eastAsia"/>
          <w:color w:val="auto"/>
        </w:rPr>
        <w:fldChar w:fldCharType="begin"/>
      </w:r>
      <w:r>
        <w:rPr>
          <w:rFonts w:hint="eastAsia"/>
          <w:color w:val="auto"/>
        </w:rPr>
        <w:instrText xml:space="preserve">HYPERLINK "http://baike.baidu.com/subview/9338/7712852.htm" \t "_blank"</w:instrText>
      </w:r>
      <w:r>
        <w:rPr>
          <w:rFonts w:hint="eastAsia"/>
          <w:color w:val="auto"/>
        </w:rPr>
        <w:fldChar w:fldCharType="separate"/>
      </w:r>
      <w:r>
        <w:rPr>
          <w:rFonts w:hint="eastAsia"/>
          <w:color w:val="auto"/>
        </w:rPr>
        <w:t>交通</w:t>
      </w:r>
      <w:r>
        <w:rPr>
          <w:rFonts w:hint="eastAsia"/>
          <w:color w:val="auto"/>
        </w:rPr>
        <w:fldChar w:fldCharType="end"/>
      </w:r>
      <w:r>
        <w:rPr>
          <w:rFonts w:hint="eastAsia"/>
          <w:color w:val="auto"/>
        </w:rPr>
        <w:t>、</w:t>
      </w:r>
      <w:r>
        <w:rPr>
          <w:rFonts w:hint="eastAsia"/>
          <w:color w:val="auto"/>
        </w:rPr>
        <w:fldChar w:fldCharType="begin"/>
      </w:r>
      <w:r>
        <w:rPr>
          <w:rFonts w:hint="eastAsia"/>
          <w:color w:val="auto"/>
        </w:rPr>
        <w:instrText xml:space="preserve">HYPERLINK "http://baike.baidu.com/view/1017669.htm" \t "_blank"</w:instrText>
      </w:r>
      <w:r>
        <w:rPr>
          <w:rFonts w:hint="eastAsia"/>
          <w:color w:val="auto"/>
        </w:rPr>
        <w:fldChar w:fldCharType="separate"/>
      </w:r>
      <w:r>
        <w:rPr>
          <w:rFonts w:hint="eastAsia"/>
          <w:color w:val="auto"/>
        </w:rPr>
        <w:t>游览</w:t>
      </w:r>
      <w:r>
        <w:rPr>
          <w:rFonts w:hint="eastAsia"/>
          <w:color w:val="auto"/>
        </w:rPr>
        <w:fldChar w:fldCharType="end"/>
      </w:r>
      <w:r>
        <w:rPr>
          <w:rFonts w:hint="eastAsia"/>
          <w:color w:val="auto"/>
        </w:rPr>
        <w:t>、住宿、</w:t>
      </w:r>
      <w:r>
        <w:rPr>
          <w:rFonts w:hint="eastAsia"/>
          <w:color w:val="auto"/>
        </w:rPr>
        <w:fldChar w:fldCharType="begin"/>
      </w:r>
      <w:r>
        <w:rPr>
          <w:rFonts w:hint="eastAsia"/>
          <w:color w:val="auto"/>
        </w:rPr>
        <w:instrText xml:space="preserve">HYPERLINK "http://baike.baidu.com/view/120220.htm" \t "_blank"</w:instrText>
      </w:r>
      <w:r>
        <w:rPr>
          <w:rFonts w:hint="eastAsia"/>
          <w:color w:val="auto"/>
        </w:rPr>
        <w:fldChar w:fldCharType="separate"/>
      </w:r>
      <w:r>
        <w:rPr>
          <w:rFonts w:hint="eastAsia"/>
          <w:color w:val="auto"/>
        </w:rPr>
        <w:t>餐饮</w:t>
      </w:r>
      <w:r>
        <w:rPr>
          <w:rFonts w:hint="eastAsia"/>
          <w:color w:val="auto"/>
        </w:rPr>
        <w:fldChar w:fldCharType="end"/>
      </w:r>
      <w:r>
        <w:rPr>
          <w:rFonts w:hint="eastAsia"/>
          <w:color w:val="auto"/>
        </w:rPr>
        <w:t>、</w:t>
      </w:r>
      <w:r>
        <w:rPr>
          <w:rFonts w:hint="eastAsia"/>
          <w:color w:val="auto"/>
        </w:rPr>
        <w:fldChar w:fldCharType="begin"/>
      </w:r>
      <w:r>
        <w:rPr>
          <w:rFonts w:hint="eastAsia"/>
          <w:color w:val="auto"/>
        </w:rPr>
        <w:instrText xml:space="preserve">HYPERLINK "http://baike.baidu.com/view/53948.htm" \t "_blank"</w:instrText>
      </w:r>
      <w:r>
        <w:rPr>
          <w:rFonts w:hint="eastAsia"/>
          <w:color w:val="auto"/>
        </w:rPr>
        <w:fldChar w:fldCharType="separate"/>
      </w:r>
      <w:r>
        <w:rPr>
          <w:rFonts w:hint="eastAsia"/>
          <w:color w:val="auto"/>
        </w:rPr>
        <w:t>购物</w:t>
      </w:r>
      <w:r>
        <w:rPr>
          <w:rFonts w:hint="eastAsia"/>
          <w:color w:val="auto"/>
        </w:rPr>
        <w:fldChar w:fldCharType="end"/>
      </w:r>
      <w:r>
        <w:rPr>
          <w:rFonts w:hint="eastAsia"/>
          <w:color w:val="auto"/>
        </w:rPr>
        <w:t>、文娱、商务等服务的业务活动。</w:t>
      </w:r>
    </w:p>
    <w:p>
      <w:pPr>
        <w:ind w:firstLine="472"/>
        <w:rPr>
          <w:rFonts w:hint="eastAsia"/>
          <w:color w:val="auto"/>
        </w:rPr>
      </w:pPr>
      <w:r>
        <w:rPr>
          <w:rFonts w:hint="eastAsia"/>
          <w:color w:val="auto"/>
        </w:rPr>
        <w:t>（2）娱乐服务，是指为娱乐活动同时提供场所和服务的业务。</w:t>
      </w:r>
    </w:p>
    <w:p>
      <w:pPr>
        <w:ind w:firstLine="472"/>
        <w:rPr>
          <w:color w:val="auto"/>
        </w:rPr>
      </w:pPr>
      <w:r>
        <w:rPr>
          <w:rFonts w:hint="eastAsia"/>
          <w:color w:val="auto"/>
        </w:rPr>
        <w:t>具体包括：歌厅、舞厅、</w:t>
      </w:r>
      <w:r>
        <w:rPr>
          <w:rFonts w:hint="eastAsia"/>
          <w:color w:val="auto"/>
        </w:rPr>
        <w:fldChar w:fldCharType="begin"/>
      </w:r>
      <w:r>
        <w:rPr>
          <w:rFonts w:hint="eastAsia"/>
          <w:color w:val="auto"/>
        </w:rPr>
        <w:instrText xml:space="preserve">HYPERLINK "http://cpro.baidu.com/cpro/ui/uijs.php?adclass=0&amp;app_id=0&amp;c=news&amp;cf=1001&amp;ch=0&amp;di=128&amp;fv=19&amp;is_app=0&amp;jk=3a094a97920c10b2&amp;k=%D2%B9%D7%DC%BB%E1&amp;k0=%D2%B9%D7%DC%BB%E1&amp;kdi0=0&amp;luki=1&amp;mcpm=0&amp;n=10&amp;p=baidu&amp;q=shui5_cpr&amp;rb=0&amp;rs=1&amp;seller_id=1&amp;sid=b2100c92974a093a&amp;ssp2=1&amp;stid=9&amp;t=tpclicked3_hc&amp;td=1954196&amp;tu=u1954196&amp;u=http%3A%2F%2Fwww%2Eshui5%2Ecn%2Farticle%2F81%2F35562%2Ehtml&amp;urlid=0" \t "_blank"</w:instrText>
      </w:r>
      <w:r>
        <w:rPr>
          <w:rFonts w:hint="eastAsia"/>
          <w:color w:val="auto"/>
        </w:rPr>
        <w:fldChar w:fldCharType="separate"/>
      </w:r>
      <w:r>
        <w:rPr>
          <w:rFonts w:hint="eastAsia"/>
          <w:color w:val="auto"/>
        </w:rPr>
        <w:t>夜总会</w:t>
      </w:r>
      <w:r>
        <w:rPr>
          <w:rFonts w:hint="eastAsia"/>
          <w:color w:val="auto"/>
        </w:rPr>
        <w:fldChar w:fldCharType="end"/>
      </w:r>
      <w:r>
        <w:rPr>
          <w:rFonts w:hint="eastAsia"/>
          <w:color w:val="auto"/>
        </w:rPr>
        <w:t>、酒吧、台球、高尔夫球、保龄球、游艺（包括射击、狩猎、跑马、游戏机、蹦极、卡丁车、热气球、动力伞、射箭、飞镖）。</w:t>
      </w:r>
      <w:r>
        <w:rPr>
          <w:rFonts w:hint="eastAsia"/>
          <w:color w:val="auto"/>
          <w:lang w:eastAsia="zh-CN"/>
        </w:rPr>
        <w:t>”</w:t>
      </w:r>
    </w:p>
    <w:p>
      <w:pPr>
        <w:ind w:firstLine="472"/>
        <w:rPr>
          <w:color w:val="auto"/>
        </w:rPr>
      </w:pPr>
      <w:r>
        <w:rPr>
          <w:rFonts w:hint="eastAsia"/>
          <w:color w:val="auto"/>
        </w:rPr>
        <w:t>9.《财政部国家税务总局关于营业税改征增值税试点有关文化事业建设费政策及征收管理问题的补充通知》（财税〔</w:t>
      </w:r>
      <w:r>
        <w:rPr>
          <w:color w:val="auto"/>
        </w:rPr>
        <w:t>2016〕60号）</w:t>
      </w:r>
      <w:r>
        <w:rPr>
          <w:rFonts w:hint="eastAsia"/>
          <w:color w:val="auto"/>
        </w:rPr>
        <w:t>全文</w:t>
      </w:r>
    </w:p>
    <w:p>
      <w:pPr>
        <w:ind w:firstLine="472"/>
        <w:rPr>
          <w:rFonts w:hint="eastAsia"/>
          <w:color w:val="auto"/>
        </w:rPr>
      </w:pPr>
      <w:r>
        <w:rPr>
          <w:rFonts w:hint="eastAsia"/>
          <w:color w:val="auto"/>
        </w:rPr>
        <w:t>10．《财政部关于调整部分政府性基金有关政策的通知》（财税〔2019〕46号）第一条</w:t>
      </w:r>
    </w:p>
    <w:p>
      <w:pPr>
        <w:ind w:firstLine="472"/>
        <w:rPr>
          <w:rFonts w:hint="eastAsia" w:eastAsia="宋体"/>
          <w:color w:val="auto"/>
          <w:lang w:eastAsia="zh-CN"/>
        </w:rPr>
      </w:pPr>
      <w:r>
        <w:rPr>
          <w:rFonts w:hint="eastAsia"/>
          <w:color w:val="auto"/>
          <w:lang w:eastAsia="zh-CN"/>
        </w:rPr>
        <w:t>“</w:t>
      </w:r>
      <w:r>
        <w:rPr>
          <w:rFonts w:hint="eastAsia"/>
          <w:color w:val="auto"/>
        </w:rPr>
        <w:t>自2019年7月1日至2024年12月31日，对归属中央收入的文化事业建设费，按照缴纳义务人应缴费额的50%减征;对归属地方收入的文化事业建设费，各省(区、市)财政、党委宣传部门可以结合当地经济发展水平、宣传思想文化事业发展等因素，在应缴费额50%的幅度内减征。各省(区、市)财政、党委宣传部门应当将本地区制定的减征政策文件抄送财政部、中共中央宣传部。</w:t>
      </w:r>
      <w:r>
        <w:rPr>
          <w:rFonts w:hint="eastAsia"/>
          <w:color w:val="auto"/>
        </w:rPr>
        <w:br w:type="textWrapping"/>
      </w:r>
      <w:r>
        <w:rPr>
          <w:rFonts w:hint="eastAsia"/>
          <w:color w:val="auto"/>
        </w:rPr>
        <w:t>　　各级财政部门要统筹安排资金，根据宣传思想文化事业需要积极予以支持，确保相关工作顺利开展。中央财政加大对财力薄弱地方的转移支付力度，支持地方做好相关工作。各级财政用于宣传思想文化事业方面的经费继续按照现有资金管理方式使用。</w:t>
      </w:r>
      <w:r>
        <w:rPr>
          <w:rFonts w:hint="eastAsia"/>
          <w:color w:val="auto"/>
          <w:lang w:eastAsia="zh-CN"/>
        </w:rPr>
        <w:t>”</w:t>
      </w:r>
    </w:p>
    <w:p>
      <w:pPr>
        <w:numPr>
          <w:ilvl w:val="0"/>
          <w:numId w:val="4"/>
        </w:numPr>
        <w:ind w:firstLine="472"/>
        <w:rPr>
          <w:rFonts w:hint="eastAsia"/>
          <w:color w:val="auto"/>
        </w:rPr>
      </w:pPr>
      <w:r>
        <w:rPr>
          <w:rFonts w:hint="eastAsia"/>
          <w:color w:val="auto"/>
        </w:rPr>
        <w:t>《国家税务总局关于调整部分政府性基金有关征管事项的公告》（国家税务总局公告2019年第24号）第一条第二款</w:t>
      </w:r>
    </w:p>
    <w:p>
      <w:pPr>
        <w:numPr>
          <w:ilvl w:val="0"/>
          <w:numId w:val="0"/>
        </w:numPr>
        <w:rPr>
          <w:rFonts w:hint="eastAsia"/>
          <w:color w:val="auto"/>
        </w:rPr>
      </w:pPr>
      <w:r>
        <w:rPr>
          <w:rFonts w:hint="eastAsia"/>
          <w:color w:val="auto"/>
          <w:lang w:val="en-US" w:eastAsia="zh-CN"/>
        </w:rPr>
        <w:t>“</w:t>
      </w:r>
      <w:r>
        <w:rPr>
          <w:rFonts w:hint="eastAsia"/>
          <w:color w:val="auto"/>
        </w:rPr>
        <w:t>修订了《国家税务总局关于营业税改征增值税试点有关文化事业建设费登记与申报事项的公告》（国家税务总局公告2013年第64号）附件2《文化事业建设费申报表》的计算公式及填表说明。将《文化事业建设费申报表》第18栏次中“18=10-13”修改为“18=10×（1-减征比例）-13”，将《文化事业建设费申报表》填表说明中“二、有关栏目填写说明”下“（十八）第18栏‘本期应补（退）费额’”的内容，修改为“反映本期应缴费额中应补缴或退回的数额。计算公式：18=10×归属中央收入比例×（1-50%）+10×归属地方收入比例×（1-归属地方收入减征比例）-13。”</w:t>
      </w:r>
      <w:r>
        <w:rPr>
          <w:rFonts w:hint="eastAsia"/>
          <w:color w:val="auto"/>
          <w:lang w:val="en-US" w:eastAsia="zh-CN"/>
        </w:rPr>
        <w:t>”</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sz w:val="18"/>
                <w:szCs w:val="18"/>
              </w:rPr>
              <w:t>《文化事业建设费代扣代缴报告表》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《中华人民共和国税收缴款书（代扣代收专用）》第二联</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sz w:val="18"/>
                <w:szCs w:val="18"/>
              </w:rPr>
              <w:t>扣缴义务人在扣缴税款时已向被扣缴义务人开具税票的情形</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sz w:val="18"/>
                <w:szCs w:val="18"/>
              </w:rPr>
              <w:t>《中华人民共和国税收缴款书（银行经收专用）》第一联</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eastAsia="宋体" w:cs="宋体"/>
                <w:color w:val="auto"/>
                <w:sz w:val="18"/>
                <w:szCs w:val="18"/>
              </w:rPr>
              <w:t>扣缴义务人汇总缴库开具税票的情形</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bl>
    <w:p>
      <w:pPr>
        <w:keepNext/>
        <w:keepLines/>
        <w:widowControl w:val="0"/>
        <w:spacing w:line="578" w:lineRule="exact"/>
        <w:ind w:firstLine="552" w:firstLineChars="200"/>
        <w:jc w:val="both"/>
        <w:outlineLvl w:val="1"/>
        <w:rPr>
          <w:rFonts w:ascii="宋体" w:hAnsi="宋体" w:eastAsia="楷体" w:cs="Times New Roman"/>
          <w:b w:val="0"/>
          <w:bCs w:val="0"/>
          <w:color w:val="auto"/>
          <w:sz w:val="28"/>
        </w:rPr>
      </w:pPr>
      <w:r>
        <w:rPr>
          <w:rFonts w:hint="eastAsia" w:eastAsia="黑体" w:asciiTheme="majorHAnsi" w:hAnsiTheme="majorHAnsi" w:cstheme="majorBidi"/>
          <w:bCs/>
          <w:color w:val="auto"/>
          <w:kern w:val="2"/>
          <w:sz w:val="28"/>
          <w:szCs w:val="32"/>
          <w:lang w:val="en-US" w:eastAsia="zh-CN" w:bidi="ar-SA"/>
        </w:rPr>
        <w:t>六</w:t>
      </w:r>
      <w:r>
        <w:rPr>
          <w:rFonts w:eastAsia="黑体" w:asciiTheme="majorHAnsi" w:hAnsiTheme="majorHAnsi" w:cstheme="majorBidi"/>
          <w:bCs/>
          <w:color w:val="auto"/>
          <w:kern w:val="2"/>
          <w:sz w:val="28"/>
          <w:szCs w:val="32"/>
          <w:lang w:val="en-US" w:eastAsia="zh-CN" w:bidi="ar-SA"/>
        </w:rPr>
        <w:t>、办理流程</w:t>
      </w:r>
      <w:r>
        <w:rPr>
          <w:rFonts w:ascii="宋体" w:hAnsi="宋体" w:eastAsia="楷体" w:cs="Times New Roman"/>
          <w:b w:val="0"/>
          <w:bCs w:val="0"/>
          <w:color w:val="auto"/>
          <w:sz w:val="28"/>
        </w:rPr>
        <w:pict>
          <v:shape id="_x0000_s1062" o:spid="_x0000_s1062" o:spt="75" type="#_x0000_t75" style="position:absolute;left:0pt;margin-left:-9.75pt;margin-top:43.35pt;height:142.25pt;width:465.9pt;mso-wrap-distance-bottom:0pt;mso-wrap-distance-left:9pt;mso-wrap-distance-right:9pt;mso-wrap-distance-top:0pt;z-index:251772928;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62" DrawAspect="Content" ObjectID="_1468075725" r:id="rId10">
            <o:LockedField>false</o:LockedField>
          </o:OLEObject>
        </w:pic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七、办理时限</w:t>
      </w:r>
    </w:p>
    <w:p>
      <w:pPr>
        <w:ind w:firstLine="471" w:firstLineChars="0"/>
        <w:rPr>
          <w:color w:val="auto"/>
        </w:rPr>
      </w:pPr>
      <w:r>
        <w:rPr>
          <w:rFonts w:hint="eastAsia"/>
          <w:color w:val="auto"/>
        </w:rPr>
        <w:t>资料齐全、符合法定形式的，税务机关受理后即时办结。</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八、表证单书</w:t>
      </w:r>
    </w:p>
    <w:p>
      <w:pPr>
        <w:ind w:firstLine="472"/>
        <w:rPr>
          <w:rFonts w:hint="eastAsia"/>
          <w:color w:val="auto"/>
        </w:rPr>
      </w:pPr>
      <w:r>
        <w:rPr>
          <w:rFonts w:hint="eastAsia"/>
          <w:color w:val="auto"/>
        </w:rPr>
        <w:t>1.A06353《文化事业建设费代扣代缴报告表》(A06353《文化事业建设费代扣代缴报告表》（填写样例）)</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九、注意事项</w:t>
      </w:r>
    </w:p>
    <w:p>
      <w:pPr>
        <w:ind w:firstLine="472"/>
        <w:rPr>
          <w:bCs/>
          <w:color w:val="auto"/>
        </w:rPr>
      </w:pPr>
      <w:r>
        <w:rPr>
          <w:rFonts w:hint="eastAsia"/>
          <w:color w:val="auto"/>
        </w:rPr>
        <w:t>1.税务</w:t>
      </w:r>
      <w:r>
        <w:rPr>
          <w:color w:val="auto"/>
        </w:rPr>
        <w:t>机关</w:t>
      </w:r>
      <w:r>
        <w:rPr>
          <w:rFonts w:hint="eastAsia"/>
          <w:color w:val="auto"/>
        </w:rPr>
        <w:t>根据应补费额判断是否需要缴款开票；对于应补费额大于零的，办理“缴款开票”业务。</w:t>
      </w:r>
    </w:p>
    <w:p>
      <w:pPr>
        <w:ind w:firstLine="472"/>
        <w:rPr>
          <w:bCs/>
          <w:color w:val="auto"/>
        </w:rPr>
      </w:pPr>
      <w:r>
        <w:rPr>
          <w:rFonts w:hint="eastAsia"/>
          <w:color w:val="auto"/>
        </w:rPr>
        <w:t>2.缴费人既有应退费款又有欠缴费款的，可以办理抵缴欠费业务。</w:t>
      </w:r>
    </w:p>
    <w:p>
      <w:pPr>
        <w:ind w:firstLine="472"/>
        <w:rPr>
          <w:color w:val="auto"/>
        </w:rPr>
      </w:pPr>
      <w:r>
        <w:rPr>
          <w:rFonts w:hint="eastAsia"/>
          <w:color w:val="auto"/>
          <w:lang w:val="en-US" w:eastAsia="zh-CN"/>
        </w:rPr>
        <w:t>3</w:t>
      </w:r>
      <w:r>
        <w:rPr>
          <w:rFonts w:hint="eastAsia"/>
          <w:color w:val="auto"/>
        </w:rPr>
        <w:t>.缴费人对报送资料的真实性和合法性承担责任。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5.缴费</w:t>
      </w:r>
      <w:r>
        <w:rPr>
          <w:rFonts w:hint="eastAsia"/>
          <w:color w:val="auto"/>
        </w:rPr>
        <w:t>人上门办理涉</w:t>
      </w:r>
      <w:r>
        <w:rPr>
          <w:rFonts w:hint="eastAsia"/>
          <w:color w:val="auto"/>
          <w:lang w:val="en-US" w:eastAsia="zh-CN"/>
        </w:rPr>
        <w:t>费</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十二、办理机构</w:t>
      </w:r>
    </w:p>
    <w:p>
      <w:pPr>
        <w:ind w:firstLine="472"/>
        <w:rPr>
          <w:color w:val="auto"/>
        </w:rPr>
      </w:pPr>
      <w:r>
        <w:rPr>
          <w:rFonts w:hint="eastAsia"/>
          <w:color w:val="auto"/>
        </w:rPr>
        <w:t>主管税务机关</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4FE88C"/>
    <w:multiLevelType w:val="singleLevel"/>
    <w:tmpl w:val="C34FE88C"/>
    <w:lvl w:ilvl="0" w:tentative="0">
      <w:start w:val="11"/>
      <w:numFmt w:val="decimal"/>
      <w:lvlText w:val="%1."/>
      <w:lvlJc w:val="left"/>
      <w:pPr>
        <w:tabs>
          <w:tab w:val="left" w:pos="312"/>
        </w:tabs>
      </w:p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028060A"/>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2019-10-31T06:27:10Z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