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7761"/>
      <w:r>
        <w:rPr>
          <w:rFonts w:hint="eastAsia" w:ascii="黑体" w:hAnsi="黑体" w:cs="黑体"/>
          <w:color w:val="auto"/>
        </w:rPr>
        <w:t>1.1.7.5</w:t>
      </w:r>
      <w:r>
        <w:rPr>
          <w:rFonts w:hint="eastAsia"/>
          <w:color w:val="auto"/>
        </w:rPr>
        <w:t>文化事业建设费缴费信息报告</w:t>
      </w:r>
      <w:bookmarkEnd w:id="0"/>
    </w:p>
    <w:p>
      <w:pPr>
        <w:pStyle w:val="3"/>
        <w:ind w:firstLine="552"/>
        <w:rPr>
          <w:color w:val="auto"/>
        </w:rPr>
      </w:pPr>
      <w:r>
        <w:rPr>
          <w:color w:val="auto"/>
        </w:rPr>
        <w:t>一、事项名称</w:t>
      </w:r>
    </w:p>
    <w:p>
      <w:pPr>
        <w:ind w:firstLine="472"/>
        <w:rPr>
          <w:color w:val="auto"/>
        </w:rPr>
      </w:pPr>
      <w:r>
        <w:rPr>
          <w:rFonts w:hint="eastAsia"/>
          <w:color w:val="auto"/>
        </w:rPr>
        <w:t>文化事业建设费缴费信息报告</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发起方式：人工发起（缴</w:t>
      </w:r>
      <w:r>
        <w:rPr>
          <w:color w:val="auto"/>
        </w:rPr>
        <w:t>费人</w:t>
      </w:r>
      <w:r>
        <w:rPr>
          <w:rFonts w:hint="eastAsia"/>
          <w:color w:val="auto"/>
        </w:rPr>
        <w:t>）</w:t>
      </w:r>
    </w:p>
    <w:p>
      <w:pPr>
        <w:numPr>
          <w:ilvl w:val="0"/>
          <w:numId w:val="3"/>
        </w:numPr>
        <w:ind w:left="0" w:firstLine="420" w:firstLineChars="0"/>
        <w:rPr>
          <w:color w:val="auto"/>
        </w:rPr>
      </w:pPr>
      <w:r>
        <w:rPr>
          <w:rFonts w:hint="eastAsia"/>
          <w:color w:val="auto"/>
        </w:rPr>
        <w:t>办结方式：即办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在中华人民共和国境内提供广告服务的广告媒介单位和户外广告经营单位以及提供娱乐服务的单位和个人，应按照有关规定，缴纳文化事业建设费。缴纳人、扣缴人在办理税务登记或扣缴税款登记的同时，办理缴费信息报告。</w:t>
      </w:r>
    </w:p>
    <w:p>
      <w:pPr>
        <w:ind w:firstLine="472"/>
        <w:rPr>
          <w:color w:val="auto"/>
        </w:rPr>
      </w:pPr>
      <w:r>
        <w:rPr>
          <w:rFonts w:hint="eastAsia"/>
          <w:color w:val="auto"/>
        </w:rPr>
        <w:t>已经办理税务登记或扣缴税款登记，但未办理缴费登记的缴纳人、扣缴人，应在首次申报缴纳文化事业建设费前，补办缴费信息报告。</w:t>
      </w:r>
    </w:p>
    <w:p>
      <w:pPr>
        <w:ind w:firstLine="472"/>
        <w:rPr>
          <w:color w:val="auto"/>
        </w:rPr>
      </w:pPr>
      <w:r>
        <w:rPr>
          <w:rFonts w:hint="eastAsia"/>
          <w:color w:val="auto"/>
        </w:rPr>
        <w:t>不经常发生文化事业建设费应费行为或按规定不需要办理税务登记、扣缴税款登记的缴纳人、扣缴人，可以在首次应费行为发生后，办理缴费信息报告。</w:t>
      </w:r>
    </w:p>
    <w:p>
      <w:pPr>
        <w:ind w:firstLine="472"/>
        <w:rPr>
          <w:color w:val="auto"/>
        </w:rPr>
      </w:pPr>
      <w:r>
        <w:rPr>
          <w:rFonts w:hint="eastAsia"/>
          <w:color w:val="auto"/>
        </w:rPr>
        <w:t>文化事业建设费缴费信息报告的变更也适用本业务。</w:t>
      </w:r>
    </w:p>
    <w:p>
      <w:pPr>
        <w:pStyle w:val="3"/>
        <w:ind w:firstLine="552"/>
        <w:rPr>
          <w:color w:val="auto"/>
        </w:rPr>
      </w:pPr>
      <w:r>
        <w:rPr>
          <w:rFonts w:hint="eastAsia"/>
          <w:color w:val="auto"/>
        </w:rPr>
        <w:t>四、设定依据</w:t>
      </w:r>
    </w:p>
    <w:p>
      <w:pPr>
        <w:ind w:firstLine="472"/>
        <w:rPr>
          <w:color w:val="auto"/>
        </w:rPr>
      </w:pPr>
      <w:r>
        <w:rPr>
          <w:rFonts w:hint="eastAsia"/>
          <w:color w:val="auto"/>
        </w:rPr>
        <w:t>1.《财政部国家税务总局关于对外商投资企业外国企业和外籍个人征收文化事业建设费问题的通知》（财税字〔1998〕14号）全文</w:t>
      </w:r>
    </w:p>
    <w:p>
      <w:pPr>
        <w:ind w:firstLine="472"/>
        <w:rPr>
          <w:color w:val="auto"/>
        </w:rPr>
      </w:pPr>
      <w:r>
        <w:rPr>
          <w:rFonts w:hint="eastAsia"/>
          <w:color w:val="auto"/>
        </w:rPr>
        <w:t>2.《国家税务总局关于营业税改征增值税试点有关文化事业建设费登记与申报事项的公告》（国家税务总局公告2013年第64号）全文</w:t>
      </w:r>
    </w:p>
    <w:p>
      <w:pPr>
        <w:ind w:firstLine="472"/>
        <w:rPr>
          <w:color w:val="auto"/>
        </w:rPr>
      </w:pPr>
      <w:r>
        <w:rPr>
          <w:rFonts w:hint="eastAsia"/>
          <w:color w:val="auto"/>
        </w:rPr>
        <w:t>3.《财政部国家税务总局关于全面推开营业税改征增值税试点的通知》（财税〔2016〕36号）附件1《营业税改征增值税试点实施办法》附《销售服务、无形资产、不动产注释》第一条第六款第三项、第七款第三项</w:t>
      </w:r>
    </w:p>
    <w:p>
      <w:pPr>
        <w:ind w:firstLine="472"/>
        <w:rPr>
          <w:color w:val="auto"/>
        </w:rPr>
      </w:pPr>
      <w:r>
        <w:rPr>
          <w:color w:val="auto"/>
        </w:rPr>
        <w:t>“广告服务，是指利用图书、报纸、杂志、广播、电视、电影、幻灯、路牌、招贴、橱窗、霓虹灯、灯箱、互联网等各种形式为客户的商品、经营服务项目、文体节目或者通告、声明等委托事项进行宣传和提供相关服务的业务活动。包括广告代理和广告的发布、播映、宣传、展示等。”</w:t>
      </w:r>
    </w:p>
    <w:p>
      <w:pPr>
        <w:ind w:firstLine="472"/>
        <w:rPr>
          <w:color w:val="auto"/>
        </w:rPr>
      </w:pPr>
      <w:r>
        <w:rPr>
          <w:color w:val="auto"/>
        </w:rPr>
        <w:t>“</w:t>
      </w:r>
      <w:r>
        <w:rPr>
          <w:rFonts w:hint="eastAsia"/>
          <w:color w:val="auto"/>
        </w:rPr>
        <w:t>娱乐服务，是指为娱乐活动同时提供场所和服务的业务。</w:t>
      </w:r>
    </w:p>
    <w:p>
      <w:pPr>
        <w:ind w:firstLine="472"/>
        <w:rPr>
          <w:color w:val="auto"/>
        </w:rPr>
      </w:pPr>
      <w:r>
        <w:rPr>
          <w:rFonts w:hint="eastAsia"/>
          <w:color w:val="auto"/>
        </w:rPr>
        <w:t>具体包括：歌厅、舞厅、夜总会、酒吧、台球、高尔夫球、保龄球、游艺（包括射击、狩猎、跑马、游戏机、蹦极、卡丁车、热气球、动力伞、射箭、飞镖）。</w:t>
      </w:r>
      <w:r>
        <w:rPr>
          <w:color w:val="auto"/>
        </w:rPr>
        <w:t>”</w:t>
      </w:r>
    </w:p>
    <w:p>
      <w:pPr>
        <w:ind w:firstLine="472"/>
        <w:rPr>
          <w:color w:val="auto"/>
        </w:rPr>
      </w:pPr>
      <w:r>
        <w:rPr>
          <w:rFonts w:hint="eastAsia"/>
          <w:color w:val="auto"/>
        </w:rPr>
        <w:t>4.《财政部国家税务总局关于营业税改征增值税试点有关文化事业建设费政策及征收管理问题的通知》（财税〔2016〕25号）全文</w:t>
      </w:r>
    </w:p>
    <w:p>
      <w:pPr>
        <w:ind w:firstLine="472"/>
        <w:rPr>
          <w:color w:val="auto"/>
        </w:rPr>
      </w:pPr>
      <w:r>
        <w:rPr>
          <w:rFonts w:hint="eastAsia"/>
          <w:color w:val="auto"/>
        </w:rPr>
        <w:t>5.《财政部国家税务总局关于营业税改征增值税试点有关文化事业建设费政策及征收管理问题的补充通知》（财税〔2016〕60号）全文</w:t>
      </w:r>
    </w:p>
    <w:p>
      <w:pPr>
        <w:ind w:firstLine="472"/>
        <w:rPr>
          <w:rFonts w:hint="eastAsia" w:eastAsia="宋体"/>
          <w:color w:val="auto"/>
          <w:lang w:eastAsia="zh-CN"/>
        </w:rPr>
      </w:pPr>
      <w:r>
        <w:rPr>
          <w:rFonts w:hint="eastAsia"/>
          <w:color w:val="auto"/>
        </w:rPr>
        <w:t>6.《财政部国家税务总局关于印发&lt;文化事业建设费征收管理暂行办法&gt;的通知》（财税字〔1997〕95号）全文</w:t>
      </w:r>
    </w:p>
    <w:p>
      <w:pPr>
        <w:ind w:firstLine="472"/>
        <w:rPr>
          <w:color w:val="auto"/>
        </w:rPr>
      </w:pPr>
      <w:r>
        <w:rPr>
          <w:rFonts w:hint="eastAsia"/>
          <w:color w:val="auto"/>
        </w:rPr>
        <w:t>7.《国家税务总局关于广告代理业征收文化事业建设费问题的批复》（国税函〔1999〕353号）全文</w:t>
      </w:r>
    </w:p>
    <w:p>
      <w:pPr>
        <w:ind w:firstLine="472"/>
        <w:rPr>
          <w:rFonts w:hint="eastAsia" w:eastAsia="宋体"/>
          <w:color w:val="auto"/>
          <w:lang w:eastAsia="zh-CN"/>
        </w:rPr>
      </w:pPr>
      <w:r>
        <w:rPr>
          <w:rFonts w:hint="eastAsia"/>
          <w:color w:val="auto"/>
        </w:rPr>
        <w:t>8.《国家税务总局关于营业税改征增值税试点有关文化事业建设费登记与申报事项的公告》（国家税务总局公告2013年第64号）全文</w:t>
      </w:r>
    </w:p>
    <w:p>
      <w:pPr>
        <w:ind w:firstLine="472"/>
        <w:rPr>
          <w:color w:val="auto"/>
        </w:rPr>
      </w:pPr>
      <w:r>
        <w:rPr>
          <w:rFonts w:hint="eastAsia"/>
          <w:color w:val="auto"/>
        </w:rPr>
        <w:t>9.《国家税务总局办公厅关于修正部分名称带“登记”业务事项的通知》（税总办发〔2017〕89号）全文</w:t>
      </w:r>
    </w:p>
    <w:p>
      <w:pPr>
        <w:ind w:firstLine="472"/>
        <w:rPr>
          <w:color w:val="auto"/>
        </w:rPr>
      </w:pPr>
      <w:r>
        <w:rPr>
          <w:rFonts w:hint="eastAsia"/>
          <w:color w:val="auto"/>
        </w:rPr>
        <w:t>10.《财政部关于调整部分政府性基金有关政策的通知》（财税〔2019〕46号）第一项</w:t>
      </w:r>
    </w:p>
    <w:p>
      <w:pPr>
        <w:ind w:firstLine="472"/>
        <w:rPr>
          <w:color w:val="auto"/>
        </w:rPr>
      </w:pPr>
      <w:r>
        <w:rPr>
          <w:color w:val="auto"/>
        </w:rPr>
        <w:t>“一、自2019年7月1日至2024年12月31日，对归属中央收入的文化事业建设费，按照缴纳义务人应缴费额的50％减征；对归属地方收入的文化事业建设费，各省(区、市)财政、党委宣传部门可以结合当地经济发展水平、宣传思想文化事业发展等因素，在应缴费额50％的幅度内减征。各省(区、市)财政、党委宣传部门应当将本地区制定的减征政策文件抄送财政部、中共中央宣传部。</w:t>
      </w:r>
    </w:p>
    <w:p>
      <w:pPr>
        <w:ind w:firstLine="472"/>
        <w:rPr>
          <w:color w:val="auto"/>
        </w:rPr>
      </w:pPr>
      <w:r>
        <w:rPr>
          <w:color w:val="auto"/>
        </w:rPr>
        <w:t>各级财政部门要统筹安排资金，根据宣传思想文化事业需要积极予以支持，确保相关工作顺利开展。中央财政加大对财力薄弱地方的转移支付力度，支持地方做好相关工作。各级财政用于宣传思想文化事业方面的经费继续按照现有资金管理方式使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《文化事业建设费报告表》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52" o:spt="75" type="#_x0000_t75" style="height:75.35pt;width:333.2pt;" o:ole="t" filled="f" o:preferrelative="t" stroked="f" coordsize="21600,21600">
            <v:path/>
            <v:fill on="f" focussize="0,0"/>
            <v:stroke on="f" joinstyle="miter"/>
            <v:imagedata r:id="rId11" o:title=""/>
            <o:lock v:ext="edit" aspectratio="f"/>
            <w10:wrap type="none"/>
            <w10:anchorlock/>
          </v:shape>
          <o:OLEObject Type="Embed" ProgID="Visio.Drawing.11" ShapeID="_x0000_i1052" DrawAspect="Content" ObjectID="_1468075725" r:id="rId10">
            <o:LockedField>false</o:LockedField>
          </o:OLEObject>
        </w:object>
      </w:r>
    </w:p>
    <w:p>
      <w:pPr>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1.A01050《文化事业建设费报告表》(A01050《文化事业建设费报告表》（填写样例）)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rPr>
          <w:color w:val="auto"/>
        </w:rPr>
      </w:pPr>
      <w:r>
        <w:rPr>
          <w:rFonts w:hint="eastAsia"/>
          <w:color w:val="auto"/>
        </w:rPr>
        <w:t>2.最多跑一次是在资料完整且符合法定受理条件的前提下，最多只需要到税务机关跑一次。</w:t>
      </w:r>
    </w:p>
    <w:p>
      <w:pPr>
        <w:ind w:firstLine="472"/>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D374E2E"/>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2019-10-31T03:37:49Z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