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olor w:val="auto"/>
        </w:rPr>
      </w:pPr>
      <w:bookmarkStart w:id="1" w:name="_GoBack"/>
      <w:bookmarkEnd w:id="1"/>
      <w:bookmarkStart w:id="0" w:name="_Toc4352"/>
      <w:r>
        <w:rPr>
          <w:rFonts w:hint="eastAsia" w:ascii="黑体" w:hAnsi="黑体"/>
          <w:color w:val="auto"/>
        </w:rPr>
        <w:t>2.6.3.2未按期申报抵扣增值税扣税凭证抵扣申请</w:t>
      </w:r>
      <w:bookmarkEnd w:id="0"/>
    </w:p>
    <w:p>
      <w:pPr>
        <w:pStyle w:val="3"/>
        <w:ind w:firstLine="552"/>
        <w:rPr>
          <w:color w:val="auto"/>
        </w:rPr>
      </w:pPr>
      <w:r>
        <w:rPr>
          <w:rFonts w:hint="eastAsia"/>
          <w:color w:val="auto"/>
        </w:rPr>
        <w:t>一、事项名称</w:t>
      </w:r>
    </w:p>
    <w:p>
      <w:pPr>
        <w:ind w:firstLine="472"/>
        <w:rPr>
          <w:color w:val="auto"/>
        </w:rPr>
      </w:pPr>
      <w:r>
        <w:rPr>
          <w:rFonts w:hint="eastAsia"/>
          <w:color w:val="auto"/>
        </w:rPr>
        <w:t>未按期申报抵扣增值税扣税凭证抵扣申请</w:t>
      </w:r>
    </w:p>
    <w:p>
      <w:pPr>
        <w:pStyle w:val="3"/>
        <w:ind w:firstLine="552"/>
        <w:rPr>
          <w:color w:val="auto"/>
        </w:rPr>
      </w:pPr>
      <w:r>
        <w:rPr>
          <w:rFonts w:hint="eastAsia"/>
          <w:color w:val="auto"/>
        </w:rPr>
        <w:t>二、事项类别</w:t>
      </w:r>
    </w:p>
    <w:p>
      <w:pPr>
        <w:numPr>
          <w:ilvl w:val="0"/>
          <w:numId w:val="3"/>
        </w:numPr>
        <w:ind w:left="0" w:firstLine="480"/>
        <w:rPr>
          <w:color w:val="auto"/>
        </w:rPr>
      </w:pPr>
      <w:r>
        <w:rPr>
          <w:rFonts w:hint="eastAsia"/>
          <w:color w:val="auto"/>
        </w:rPr>
        <w:t>发起方式：人工</w:t>
      </w:r>
      <w:r>
        <w:rPr>
          <w:color w:val="auto"/>
        </w:rPr>
        <w:t>发起（</w:t>
      </w:r>
      <w:r>
        <w:rPr>
          <w:rFonts w:hint="eastAsia"/>
          <w:color w:val="auto"/>
        </w:rPr>
        <w:t>纳税人）</w:t>
      </w:r>
    </w:p>
    <w:p>
      <w:pPr>
        <w:numPr>
          <w:ilvl w:val="0"/>
          <w:numId w:val="3"/>
        </w:numPr>
        <w:ind w:left="0" w:firstLine="480"/>
        <w:rPr>
          <w:color w:val="auto"/>
        </w:rPr>
      </w:pPr>
      <w:r>
        <w:rPr>
          <w:rFonts w:hint="eastAsia"/>
          <w:color w:val="auto"/>
        </w:rPr>
        <w:t>办结方式：限时办结</w:t>
      </w:r>
    </w:p>
    <w:p>
      <w:pPr>
        <w:numPr>
          <w:ilvl w:val="0"/>
          <w:numId w:val="3"/>
        </w:numPr>
        <w:ind w:left="0" w:firstLine="480"/>
        <w:rPr>
          <w:color w:val="auto"/>
        </w:rPr>
      </w:pPr>
      <w:r>
        <w:rPr>
          <w:rFonts w:hint="eastAsia"/>
          <w:color w:val="auto"/>
        </w:rPr>
        <w:t>全省通办：否</w:t>
      </w:r>
    </w:p>
    <w:p>
      <w:pPr>
        <w:numPr>
          <w:ilvl w:val="0"/>
          <w:numId w:val="3"/>
        </w:numPr>
        <w:ind w:left="0" w:firstLine="480"/>
        <w:rPr>
          <w:color w:val="auto"/>
        </w:rPr>
      </w:pPr>
      <w:r>
        <w:rPr>
          <w:rFonts w:hint="eastAsia"/>
          <w:color w:val="auto"/>
        </w:rPr>
        <w:t>网上办理：是</w:t>
      </w:r>
    </w:p>
    <w:p>
      <w:pPr>
        <w:numPr>
          <w:ilvl w:val="0"/>
          <w:numId w:val="3"/>
        </w:numPr>
        <w:ind w:left="0" w:firstLine="480"/>
        <w:rPr>
          <w:color w:val="auto"/>
        </w:rPr>
      </w:pPr>
      <w:r>
        <w:rPr>
          <w:rFonts w:hint="eastAsia"/>
          <w:color w:val="auto"/>
        </w:rPr>
        <w:t>适用层级：县(市、区)级</w:t>
      </w:r>
    </w:p>
    <w:p>
      <w:pPr>
        <w:pStyle w:val="47"/>
        <w:numPr>
          <w:ilvl w:val="0"/>
          <w:numId w:val="4"/>
        </w:numPr>
        <w:ind w:firstLineChars="0"/>
        <w:rPr>
          <w:color w:val="auto"/>
        </w:rPr>
      </w:pPr>
      <w:r>
        <w:rPr>
          <w:rFonts w:hint="eastAsia"/>
          <w:color w:val="auto"/>
        </w:rPr>
        <w:t>最多跑一次：是</w:t>
      </w:r>
    </w:p>
    <w:p>
      <w:pPr>
        <w:pStyle w:val="3"/>
        <w:ind w:firstLine="552"/>
        <w:rPr>
          <w:rFonts w:hint="eastAsia" w:eastAsia="黑体"/>
          <w:color w:val="auto"/>
          <w:lang w:eastAsia="zh-CN"/>
        </w:rPr>
      </w:pPr>
      <w:r>
        <w:rPr>
          <w:rFonts w:hint="eastAsia"/>
          <w:color w:val="auto"/>
        </w:rPr>
        <w:t>三、</w:t>
      </w:r>
      <w:r>
        <w:rPr>
          <w:rFonts w:hint="eastAsia"/>
          <w:color w:val="auto"/>
          <w:lang w:eastAsia="zh-CN"/>
        </w:rPr>
        <w:t>办理条件</w:t>
      </w:r>
    </w:p>
    <w:p>
      <w:pPr>
        <w:ind w:left="0" w:leftChars="0" w:firstLine="472" w:firstLineChars="200"/>
        <w:rPr>
          <w:rFonts w:hint="eastAsia"/>
          <w:color w:val="auto"/>
        </w:rPr>
      </w:pPr>
      <w:r>
        <w:rPr>
          <w:rFonts w:hint="eastAsia"/>
          <w:color w:val="auto"/>
        </w:rPr>
        <w:t>增值税一般纳税人取得的增值税扣税凭证已认证或已采集上报信息但未按照规定期限申报抵扣；实行纳税辅导期管理的增值税一般纳税人以及实行海关进口增值税专用缴款书“先比对后抵扣”管理办法的增值税一般纳税人，取得的增值税扣税凭证稽核比对结果相符但未按规定期限申报抵扣，属于发生真实交易且由于客观原因造成的，经主管税务机关审核，允许纳税人继续申报抵扣其进项税额。所称增值税扣税凭证，包括增值税专用发票和海关进口增值税专用缴款书。所称客观原因，包括如下类型：</w:t>
      </w:r>
    </w:p>
    <w:p>
      <w:pPr>
        <w:ind w:firstLine="472"/>
        <w:rPr>
          <w:rFonts w:hint="eastAsia"/>
          <w:color w:val="auto"/>
        </w:rPr>
      </w:pPr>
      <w:r>
        <w:rPr>
          <w:rFonts w:hint="eastAsia"/>
          <w:color w:val="auto"/>
        </w:rPr>
        <w:t>1．因自然灾害、社会突发事件等不可抗力原因造成增值税扣税凭证未按期申报抵扣；</w:t>
      </w:r>
    </w:p>
    <w:p>
      <w:pPr>
        <w:ind w:firstLine="472"/>
        <w:rPr>
          <w:rFonts w:hint="eastAsia"/>
          <w:color w:val="auto"/>
        </w:rPr>
      </w:pPr>
      <w:r>
        <w:rPr>
          <w:rFonts w:hint="eastAsia"/>
          <w:color w:val="auto"/>
        </w:rPr>
        <w:t>2．有关司法、行政机关在办理业务或者检查中，扣押、封存纳税人账簿资料，导致纳税人未能按期办理申报手续；</w:t>
      </w:r>
    </w:p>
    <w:p>
      <w:pPr>
        <w:ind w:firstLine="472"/>
        <w:rPr>
          <w:rFonts w:hint="eastAsia"/>
          <w:color w:val="auto"/>
        </w:rPr>
      </w:pPr>
      <w:r>
        <w:rPr>
          <w:rFonts w:hint="eastAsia"/>
          <w:color w:val="auto"/>
        </w:rPr>
        <w:t>3．税务机关信息系统、网络故障，导致纳税人未能及时取得认证结果通知书或稽核结果通知书，未能及时办理申报抵扣；</w:t>
      </w:r>
    </w:p>
    <w:p>
      <w:pPr>
        <w:ind w:firstLine="472"/>
        <w:rPr>
          <w:rFonts w:hint="eastAsia"/>
          <w:color w:val="auto"/>
        </w:rPr>
      </w:pPr>
      <w:r>
        <w:rPr>
          <w:rFonts w:hint="eastAsia"/>
          <w:color w:val="auto"/>
        </w:rPr>
        <w:t>4．由于企业办税人员伤亡、突发危重疾病或者擅自离职，未能办理交接手续，导致未能按期申报抵扣；</w:t>
      </w:r>
    </w:p>
    <w:p>
      <w:pPr>
        <w:ind w:firstLine="472"/>
        <w:rPr>
          <w:color w:val="auto"/>
        </w:rPr>
      </w:pPr>
      <w:r>
        <w:rPr>
          <w:rFonts w:hint="eastAsia"/>
          <w:color w:val="auto"/>
        </w:rPr>
        <w:t>5．国家税务总局规定的其他情形。</w:t>
      </w:r>
    </w:p>
    <w:p>
      <w:pPr>
        <w:pStyle w:val="3"/>
        <w:ind w:firstLine="552"/>
        <w:rPr>
          <w:color w:val="auto"/>
        </w:rPr>
      </w:pPr>
      <w:r>
        <w:rPr>
          <w:rFonts w:hint="eastAsia"/>
          <w:color w:val="auto"/>
        </w:rPr>
        <w:t>四、设定依据</w:t>
      </w:r>
    </w:p>
    <w:p>
      <w:pPr>
        <w:ind w:firstLine="472"/>
        <w:rPr>
          <w:rFonts w:hint="eastAsia"/>
          <w:color w:val="auto"/>
        </w:rPr>
      </w:pPr>
      <w:r>
        <w:rPr>
          <w:rFonts w:hint="eastAsia"/>
          <w:color w:val="auto"/>
        </w:rPr>
        <w:t>1.《国家税务总局关于未按期申报抵扣增值税扣税凭证有关问题的公告》（国家税务总局公告2011年第78号）全文</w:t>
      </w:r>
    </w:p>
    <w:p>
      <w:pPr>
        <w:ind w:firstLine="472"/>
        <w:rPr>
          <w:rFonts w:hint="eastAsia" w:eastAsia="宋体"/>
          <w:color w:val="auto"/>
          <w:lang w:val="en-US" w:eastAsia="zh-CN"/>
        </w:rPr>
      </w:pPr>
      <w:r>
        <w:rPr>
          <w:rFonts w:hint="eastAsia"/>
          <w:color w:val="auto"/>
        </w:rPr>
        <w:t>2.《国家税务总局关于贯彻落实&lt;国务院关于取消非行政许可审批事项的决定&gt;的通知》（税总发〔2015〕74号）附件2</w:t>
      </w:r>
      <w:r>
        <w:rPr>
          <w:rFonts w:hint="eastAsia"/>
          <w:color w:val="auto"/>
          <w:lang w:val="en-US" w:eastAsia="zh-CN"/>
        </w:rPr>
        <w:t>全文</w:t>
      </w:r>
    </w:p>
    <w:p>
      <w:pPr>
        <w:ind w:firstLine="472"/>
        <w:rPr>
          <w:rFonts w:hint="eastAsia"/>
          <w:color w:val="auto"/>
        </w:rPr>
      </w:pPr>
      <w:r>
        <w:rPr>
          <w:rFonts w:hint="eastAsia"/>
          <w:color w:val="auto"/>
        </w:rPr>
        <w:t>3.《国家税务总局关于停止使用货物运输业增值税专用发票有关问题的公告》（国家税务总局公告2015年第99号）全文</w:t>
      </w:r>
    </w:p>
    <w:p>
      <w:pPr>
        <w:ind w:firstLine="472"/>
        <w:rPr>
          <w:rFonts w:hint="eastAsia" w:eastAsia="宋体"/>
          <w:color w:val="auto"/>
          <w:lang w:eastAsia="zh-CN"/>
        </w:rPr>
      </w:pPr>
      <w:r>
        <w:rPr>
          <w:rFonts w:hint="eastAsia"/>
          <w:color w:val="auto"/>
        </w:rPr>
        <w:t>4.《国家税务总局关于修改部分税收规范性文件的公告》（国家税务总局公告2018年第31号）附件</w:t>
      </w:r>
      <w:r>
        <w:rPr>
          <w:rFonts w:hint="eastAsia"/>
          <w:color w:val="auto"/>
          <w:lang w:eastAsia="zh-CN"/>
        </w:rPr>
        <w:t>全文</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tcBorders>
              <w:top w:val="single" w:color="auto" w:sz="12" w:space="0"/>
            </w:tcBorders>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tcBorders>
              <w:top w:val="single" w:color="auto" w:sz="12" w:space="0"/>
            </w:tcBorders>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1</w:t>
            </w:r>
          </w:p>
        </w:tc>
        <w:tc>
          <w:tcPr>
            <w:tcW w:w="2551" w:type="dxa"/>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《未按期申报抵扣增值税扣税凭证抵扣申请单》</w:t>
            </w:r>
          </w:p>
        </w:tc>
        <w:tc>
          <w:tcPr>
            <w:tcW w:w="709" w:type="dxa"/>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1</w:t>
            </w:r>
          </w:p>
        </w:tc>
        <w:tc>
          <w:tcPr>
            <w:tcW w:w="992" w:type="dxa"/>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必报</w:t>
            </w:r>
          </w:p>
        </w:tc>
        <w:tc>
          <w:tcPr>
            <w:tcW w:w="1134" w:type="dxa"/>
            <w:vAlign w:val="center"/>
          </w:tcPr>
          <w:p>
            <w:pPr>
              <w:pStyle w:val="13"/>
              <w:widowControl/>
              <w:spacing w:beforeAutospacing="0" w:afterAutospacing="0"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2</w:t>
            </w:r>
          </w:p>
        </w:tc>
        <w:tc>
          <w:tcPr>
            <w:tcW w:w="2551" w:type="dxa"/>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《已认证增值税扣税凭证清单》</w:t>
            </w:r>
          </w:p>
        </w:tc>
        <w:tc>
          <w:tcPr>
            <w:tcW w:w="709" w:type="dxa"/>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1</w:t>
            </w:r>
          </w:p>
        </w:tc>
        <w:tc>
          <w:tcPr>
            <w:tcW w:w="992" w:type="dxa"/>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必报</w:t>
            </w:r>
          </w:p>
        </w:tc>
        <w:tc>
          <w:tcPr>
            <w:tcW w:w="1134" w:type="dxa"/>
            <w:vAlign w:val="center"/>
          </w:tcPr>
          <w:p>
            <w:pPr>
              <w:pStyle w:val="13"/>
              <w:widowControl/>
              <w:spacing w:beforeAutospacing="0" w:afterAutospacing="0"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3</w:t>
            </w:r>
          </w:p>
        </w:tc>
        <w:tc>
          <w:tcPr>
            <w:tcW w:w="2551" w:type="dxa"/>
            <w:vAlign w:val="center"/>
          </w:tcPr>
          <w:p>
            <w:pPr>
              <w:widowControl/>
              <w:spacing w:line="280" w:lineRule="exact"/>
              <w:ind w:firstLine="0" w:firstLineChars="0"/>
              <w:jc w:val="left"/>
              <w:rPr>
                <w:rFonts w:hint="eastAsia" w:cs="宋体"/>
                <w:color w:val="auto"/>
                <w:kern w:val="0"/>
                <w:sz w:val="18"/>
                <w:szCs w:val="18"/>
              </w:rPr>
            </w:pPr>
            <w:r>
              <w:rPr>
                <w:rFonts w:hint="eastAsia" w:cs="宋体"/>
                <w:color w:val="auto"/>
                <w:kern w:val="0"/>
                <w:sz w:val="18"/>
                <w:szCs w:val="18"/>
              </w:rPr>
              <w:t>增值税扣税凭证未按期申报抵扣情况说明及证明</w:t>
            </w:r>
          </w:p>
        </w:tc>
        <w:tc>
          <w:tcPr>
            <w:tcW w:w="709" w:type="dxa"/>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1</w:t>
            </w:r>
          </w:p>
        </w:tc>
        <w:tc>
          <w:tcPr>
            <w:tcW w:w="992" w:type="dxa"/>
            <w:vAlign w:val="center"/>
          </w:tcPr>
          <w:p>
            <w:pPr>
              <w:pStyle w:val="13"/>
              <w:widowControl/>
              <w:spacing w:beforeAutospacing="0" w:afterAutospacing="0" w:line="280" w:lineRule="exact"/>
              <w:ind w:firstLine="0" w:firstLineChars="0"/>
              <w:jc w:val="center"/>
              <w:rPr>
                <w:rFonts w:hint="eastAsia" w:cs="宋体"/>
                <w:color w:val="auto"/>
                <w:kern w:val="0"/>
                <w:sz w:val="18"/>
                <w:szCs w:val="18"/>
              </w:rPr>
            </w:pPr>
            <w:r>
              <w:rPr>
                <w:rFonts w:hint="eastAsia" w:ascii="宋体" w:hAnsi="宋体" w:eastAsia="宋体" w:cs="微软雅黑"/>
                <w:color w:val="auto"/>
                <w:sz w:val="18"/>
                <w:szCs w:val="18"/>
              </w:rPr>
              <w:t>必报</w:t>
            </w:r>
          </w:p>
        </w:tc>
        <w:tc>
          <w:tcPr>
            <w:tcW w:w="1134" w:type="dxa"/>
            <w:vAlign w:val="center"/>
          </w:tcPr>
          <w:p>
            <w:pPr>
              <w:pStyle w:val="13"/>
              <w:widowControl/>
              <w:spacing w:beforeAutospacing="0" w:afterAutospacing="0"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tcBorders>
              <w:bottom w:val="single" w:color="auto" w:sz="12" w:space="0"/>
            </w:tcBorders>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4</w:t>
            </w:r>
          </w:p>
        </w:tc>
        <w:tc>
          <w:tcPr>
            <w:tcW w:w="2551" w:type="dxa"/>
            <w:tcBorders>
              <w:bottom w:val="single" w:color="auto" w:sz="12" w:space="0"/>
            </w:tcBorders>
            <w:vAlign w:val="center"/>
          </w:tcPr>
          <w:p>
            <w:pPr>
              <w:widowControl/>
              <w:spacing w:line="280" w:lineRule="exact"/>
              <w:ind w:firstLine="0" w:firstLineChars="0"/>
              <w:jc w:val="left"/>
              <w:rPr>
                <w:rFonts w:hint="eastAsia" w:cs="宋体"/>
                <w:color w:val="auto"/>
                <w:kern w:val="0"/>
                <w:sz w:val="18"/>
                <w:szCs w:val="18"/>
              </w:rPr>
            </w:pPr>
            <w:r>
              <w:rPr>
                <w:rFonts w:hint="eastAsia" w:cs="宋体"/>
                <w:color w:val="auto"/>
                <w:kern w:val="0"/>
                <w:sz w:val="18"/>
                <w:szCs w:val="18"/>
              </w:rPr>
              <w:t>未按期申报抵扣增值税扣税凭证复印件</w:t>
            </w:r>
          </w:p>
        </w:tc>
        <w:tc>
          <w:tcPr>
            <w:tcW w:w="709" w:type="dxa"/>
            <w:tcBorders>
              <w:bottom w:val="single" w:color="auto" w:sz="12" w:space="0"/>
            </w:tcBorders>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1</w:t>
            </w:r>
          </w:p>
        </w:tc>
        <w:tc>
          <w:tcPr>
            <w:tcW w:w="992" w:type="dxa"/>
            <w:tcBorders>
              <w:bottom w:val="single" w:color="auto" w:sz="12" w:space="0"/>
            </w:tcBorders>
            <w:vAlign w:val="center"/>
          </w:tcPr>
          <w:p>
            <w:pPr>
              <w:pStyle w:val="13"/>
              <w:widowControl/>
              <w:spacing w:beforeAutospacing="0" w:afterAutospacing="0" w:line="280" w:lineRule="exact"/>
              <w:ind w:firstLine="0" w:firstLineChars="0"/>
              <w:jc w:val="center"/>
              <w:rPr>
                <w:rFonts w:hint="eastAsia" w:cs="宋体"/>
                <w:color w:val="auto"/>
                <w:kern w:val="0"/>
                <w:sz w:val="18"/>
                <w:szCs w:val="18"/>
              </w:rPr>
            </w:pPr>
            <w:r>
              <w:rPr>
                <w:rFonts w:hint="eastAsia" w:ascii="宋体" w:hAnsi="宋体" w:eastAsia="宋体" w:cs="微软雅黑"/>
                <w:color w:val="auto"/>
                <w:sz w:val="18"/>
                <w:szCs w:val="18"/>
              </w:rPr>
              <w:t>必报</w:t>
            </w:r>
          </w:p>
        </w:tc>
        <w:tc>
          <w:tcPr>
            <w:tcW w:w="1134" w:type="dxa"/>
            <w:tcBorders>
              <w:bottom w:val="single" w:color="auto" w:sz="12" w:space="0"/>
            </w:tcBorders>
            <w:vAlign w:val="center"/>
          </w:tcPr>
          <w:p>
            <w:pPr>
              <w:pStyle w:val="13"/>
              <w:widowControl/>
              <w:spacing w:beforeAutospacing="0" w:afterAutospacing="0" w:line="280" w:lineRule="exact"/>
              <w:ind w:firstLine="0" w:firstLineChars="0"/>
              <w:jc w:val="center"/>
              <w:rPr>
                <w:rFonts w:cs="宋体"/>
                <w:color w:val="auto"/>
                <w:kern w:val="0"/>
                <w:sz w:val="18"/>
                <w:szCs w:val="18"/>
              </w:rPr>
            </w:pPr>
          </w:p>
        </w:tc>
        <w:tc>
          <w:tcPr>
            <w:tcW w:w="1134" w:type="dxa"/>
            <w:tcBorders>
              <w:bottom w:val="single" w:color="auto" w:sz="12" w:space="0"/>
            </w:tcBorders>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tcBorders>
              <w:bottom w:val="single" w:color="auto" w:sz="12" w:space="0"/>
            </w:tcBorders>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bl>
    <w:p>
      <w:pPr>
        <w:pStyle w:val="3"/>
        <w:numPr>
          <w:ilvl w:val="0"/>
          <w:numId w:val="5"/>
        </w:numPr>
        <w:ind w:firstLine="552"/>
        <w:rPr>
          <w:color w:val="auto"/>
        </w:rPr>
      </w:pPr>
      <w:r>
        <w:rPr>
          <w:rFonts w:hint="eastAsia"/>
          <w:color w:val="auto"/>
        </w:rPr>
        <w:t>办理流程</w:t>
      </w:r>
    </w:p>
    <w:p>
      <w:pPr>
        <w:rPr>
          <w:color w:val="auto"/>
        </w:rPr>
      </w:pPr>
    </w:p>
    <w:p>
      <w:pPr>
        <w:spacing w:line="240" w:lineRule="auto"/>
        <w:ind w:left="472" w:firstLine="0" w:firstLineChars="0"/>
        <w:rPr>
          <w:color w:val="auto"/>
        </w:rPr>
      </w:pPr>
      <w:r>
        <w:rPr>
          <w:color w:val="auto"/>
        </w:rPr>
        <w:object>
          <v:shape id="_x0000_i1183" o:spt="75" type="#_x0000_t75" style="height:159.1pt;width:410.45pt;" o:ole="t" filled="f" o:preferrelative="t" stroked="f" coordsize="21600,21600">
            <v:path/>
            <v:fill on="f" focussize="0,0"/>
            <v:stroke on="f"/>
            <v:imagedata r:id="rId11" o:title=""/>
            <o:lock v:ext="edit" aspectratio="t"/>
            <w10:wrap type="none"/>
            <w10:anchorlock/>
          </v:shape>
          <o:OLEObject Type="Embed" ProgID="Visio.Drawing.11" ShapeID="_x0000_i1183" DrawAspect="Content" ObjectID="_1468075725" r:id="rId10">
            <o:LockedField>false</o:LockedField>
          </o:OLEObject>
        </w:object>
      </w:r>
    </w:p>
    <w:p>
      <w:pPr>
        <w:pStyle w:val="3"/>
        <w:spacing w:line="240" w:lineRule="auto"/>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w:t>
      </w:r>
      <w:r>
        <w:rPr>
          <w:rFonts w:hint="eastAsia"/>
          <w:color w:val="auto"/>
          <w:lang w:val="en-US" w:eastAsia="zh-CN"/>
        </w:rPr>
        <w:t>5个工作日</w:t>
      </w:r>
      <w:r>
        <w:rPr>
          <w:rFonts w:hint="eastAsia"/>
          <w:color w:val="auto"/>
        </w:rPr>
        <w:t>办结。</w:t>
      </w:r>
    </w:p>
    <w:p>
      <w:pPr>
        <w:pStyle w:val="3"/>
        <w:ind w:firstLine="552"/>
        <w:rPr>
          <w:color w:val="auto"/>
        </w:rPr>
      </w:pPr>
      <w:r>
        <w:rPr>
          <w:rFonts w:hint="eastAsia"/>
          <w:color w:val="auto"/>
        </w:rPr>
        <w:t>八、表证单书</w:t>
      </w:r>
    </w:p>
    <w:p>
      <w:pPr>
        <w:ind w:firstLine="472"/>
        <w:rPr>
          <w:rFonts w:hint="eastAsia" w:eastAsia="宋体"/>
          <w:color w:val="auto"/>
          <w:lang w:val="en-US" w:eastAsia="zh-CN"/>
        </w:rPr>
      </w:pPr>
      <w:r>
        <w:rPr>
          <w:color w:val="auto"/>
        </w:rPr>
        <w:t>1.</w:t>
      </w:r>
      <w:r>
        <w:rPr>
          <w:rFonts w:hint="eastAsia"/>
          <w:color w:val="auto"/>
        </w:rPr>
        <w:t>A02078《未按期申报抵扣增值税扣税凭证抵扣申请单》(A02078《未按期申报抵扣增值税扣税凭证抵扣申请单》（填写样例）)</w:t>
      </w:r>
    </w:p>
    <w:p>
      <w:pPr>
        <w:pStyle w:val="3"/>
        <w:ind w:firstLine="552"/>
        <w:rPr>
          <w:color w:val="auto"/>
        </w:rPr>
      </w:pPr>
      <w:r>
        <w:rPr>
          <w:rFonts w:hint="eastAsia"/>
          <w:color w:val="auto"/>
        </w:rPr>
        <w:t>九、注意事项</w:t>
      </w:r>
    </w:p>
    <w:p>
      <w:pPr>
        <w:ind w:firstLine="472"/>
        <w:rPr>
          <w:rFonts w:hint="eastAsia"/>
          <w:color w:val="auto"/>
        </w:rPr>
      </w:pPr>
      <w:r>
        <w:rPr>
          <w:rFonts w:hint="eastAsia"/>
          <w:color w:val="auto"/>
        </w:rPr>
        <w:t>1.对于增值税扣税凭证未按期申报抵扣情况说明，纳税人应详细说明未能按期申报抵扣的原因，并加盖企业公章。</w:t>
      </w:r>
    </w:p>
    <w:p>
      <w:pPr>
        <w:ind w:firstLine="472"/>
        <w:rPr>
          <w:rFonts w:hint="eastAsia"/>
          <w:color w:val="auto"/>
        </w:rPr>
      </w:pPr>
      <w:r>
        <w:rPr>
          <w:rFonts w:hint="eastAsia"/>
          <w:color w:val="auto"/>
        </w:rPr>
        <w:t>2.对客观原因不涉及第三方的，纳税人应说明的情况具体为：发生自然灾害、社会突发事件等不可抗力原因的，纳税人应详细说明自然灾害或者社会突发事件发生的时间、影响地区、对纳税人生产经营的实际影响等；企业办税人员擅自离职，未办理交接手续的，纳税人应详细说明事情经过、办税人员姓名、离职时间等，并提供解除劳动关系合同及企业内部相关处理决定。</w:t>
      </w:r>
    </w:p>
    <w:p>
      <w:pPr>
        <w:ind w:firstLine="472"/>
        <w:rPr>
          <w:rFonts w:hint="eastAsia"/>
          <w:color w:val="auto"/>
        </w:rPr>
      </w:pPr>
      <w:r>
        <w:rPr>
          <w:rFonts w:hint="eastAsia"/>
          <w:color w:val="auto"/>
        </w:rPr>
        <w:t>3.对客观原因涉及第三方的，应提供第三方证明或说明。具体为：企业办税人员伤亡或者突发危重疾病的，应提供公安机关、交通管理部门或者医院证明；有关司法、行政机关在办理业务或者检查中，扣押、封存纳税人账簿资料，导致纳税人未能按期办理申报手续的，应提供相关司法、行政机关证明。</w:t>
      </w:r>
    </w:p>
    <w:p>
      <w:pPr>
        <w:ind w:firstLine="472"/>
        <w:rPr>
          <w:rFonts w:hint="eastAsia"/>
          <w:color w:val="auto"/>
        </w:rPr>
      </w:pPr>
      <w:r>
        <w:rPr>
          <w:rFonts w:hint="eastAsia"/>
          <w:color w:val="auto"/>
        </w:rPr>
        <w:t>4.对于因税务机关信息系统或者网络故障原因造成纳税人增值税扣税凭证未能按期申报抵扣的，主管税务机关应予以核实。</w:t>
      </w:r>
    </w:p>
    <w:p>
      <w:pPr>
        <w:ind w:firstLine="472"/>
        <w:rPr>
          <w:color w:val="auto"/>
        </w:rPr>
      </w:pPr>
      <w:r>
        <w:rPr>
          <w:rFonts w:hint="eastAsia"/>
          <w:color w:val="auto"/>
          <w:lang w:val="en-US" w:eastAsia="zh-CN"/>
        </w:rPr>
        <w:t>5</w:t>
      </w:r>
      <w:r>
        <w:rPr>
          <w:color w:val="auto"/>
        </w:rPr>
        <w:t>.</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6</w:t>
      </w:r>
      <w:r>
        <w:rPr>
          <w:color w:val="auto"/>
        </w:rPr>
        <w:t>.</w:t>
      </w:r>
      <w:r>
        <w:rPr>
          <w:rFonts w:hint="eastAsia"/>
          <w:color w:val="auto"/>
        </w:rPr>
        <w:t>最多跑一次是在资料完整且符合法定受理条件的前提下，最多只需要到税务机关跑一次。</w:t>
      </w:r>
    </w:p>
    <w:p>
      <w:pPr>
        <w:ind w:firstLine="472"/>
        <w:jc w:val="left"/>
        <w:rPr>
          <w:rFonts w:hint="eastAsia"/>
          <w:color w:val="auto"/>
        </w:rPr>
      </w:pPr>
      <w:r>
        <w:rPr>
          <w:rFonts w:hint="eastAsia"/>
          <w:color w:val="auto"/>
          <w:lang w:val="en-US" w:eastAsia="zh-CN"/>
        </w:rPr>
        <w:t>7</w:t>
      </w:r>
      <w:r>
        <w:rPr>
          <w:rFonts w:hint="eastAsia"/>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2F6D3A"/>
    <w:multiLevelType w:val="singleLevel"/>
    <w:tmpl w:val="BF2F6D3A"/>
    <w:lvl w:ilvl="0" w:tentative="0">
      <w:start w:val="6"/>
      <w:numFmt w:val="chineseCounting"/>
      <w:suff w:val="nothing"/>
      <w:lvlText w:val="%1、"/>
      <w:lvlJc w:val="left"/>
      <w:rPr>
        <w:rFonts w:hint="eastAsia"/>
      </w:rPr>
    </w:lvl>
  </w:abstractNum>
  <w:abstractNum w:abstractNumId="1">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41BCD015"/>
    <w:multiLevelType w:val="singleLevel"/>
    <w:tmpl w:val="41BCD015"/>
    <w:lvl w:ilvl="0" w:tentative="0">
      <w:start w:val="1"/>
      <w:numFmt w:val="bullet"/>
      <w:lvlText w:val=""/>
      <w:lvlJc w:val="left"/>
      <w:pPr>
        <w:ind w:left="420" w:hanging="420"/>
      </w:pPr>
      <w:rPr>
        <w:rFonts w:hint="default" w:ascii="Wingdings" w:hAnsi="Wingdings"/>
      </w:rPr>
    </w:lvl>
  </w:abstractNum>
  <w:abstractNum w:abstractNumId="3">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2CA5EF1"/>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2019-10-31T05:13:29Z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