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黑体"/>
          <w:color w:val="auto"/>
        </w:rPr>
      </w:pPr>
      <w:bookmarkStart w:id="1" w:name="_GoBack"/>
      <w:bookmarkEnd w:id="1"/>
      <w:bookmarkStart w:id="0" w:name="_Toc6573"/>
      <w:r>
        <w:rPr>
          <w:rFonts w:hint="eastAsia" w:ascii="黑体" w:hAnsi="黑体" w:cs="黑体"/>
          <w:color w:val="auto"/>
        </w:rPr>
        <w:t>1.3.17.3废弃电器电子产品处理基金申报</w:t>
      </w:r>
      <w:bookmarkEnd w:id="0"/>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eastAsia="黑体" w:asciiTheme="majorHAnsi" w:hAnsiTheme="majorHAnsi" w:cstheme="majorBidi"/>
          <w:bCs/>
          <w:color w:val="auto"/>
          <w:kern w:val="2"/>
          <w:sz w:val="28"/>
          <w:szCs w:val="32"/>
          <w:lang w:val="en-US" w:eastAsia="zh-CN" w:bidi="ar-SA"/>
        </w:rPr>
        <w:t>一、事项名称</w:t>
      </w:r>
    </w:p>
    <w:p>
      <w:pPr>
        <w:ind w:firstLine="472"/>
        <w:rPr>
          <w:rFonts w:hint="eastAsia"/>
          <w:color w:val="auto"/>
        </w:rPr>
      </w:pPr>
      <w:r>
        <w:rPr>
          <w:rFonts w:hint="eastAsia" w:ascii="黑体" w:hAnsi="黑体" w:cs="黑体"/>
          <w:color w:val="auto"/>
        </w:rPr>
        <w:t>废弃电器电子产品处理基金</w:t>
      </w:r>
      <w:r>
        <w:rPr>
          <w:rFonts w:hint="eastAsia"/>
          <w:color w:val="auto"/>
        </w:rPr>
        <w:t>申报</w:t>
      </w:r>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eastAsia="黑体" w:asciiTheme="majorHAnsi" w:hAnsiTheme="majorHAnsi" w:cstheme="majorBidi"/>
          <w:bCs/>
          <w:color w:val="auto"/>
          <w:kern w:val="2"/>
          <w:sz w:val="28"/>
          <w:szCs w:val="32"/>
          <w:lang w:val="en-US" w:eastAsia="zh-CN" w:bidi="ar-SA"/>
        </w:rPr>
        <w:t>二、事项类别</w:t>
      </w:r>
    </w:p>
    <w:p>
      <w:pPr>
        <w:pStyle w:val="47"/>
        <w:numPr>
          <w:ilvl w:val="0"/>
          <w:numId w:val="3"/>
        </w:numPr>
        <w:ind w:firstLineChars="0"/>
        <w:rPr>
          <w:color w:val="auto"/>
        </w:rPr>
      </w:pPr>
      <w:r>
        <w:rPr>
          <w:rFonts w:hint="eastAsia"/>
          <w:color w:val="auto"/>
        </w:rPr>
        <w:t>发起方式：人工发起（缴费人）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全省通办：是</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eastAsia="黑体" w:asciiTheme="majorHAnsi" w:hAnsiTheme="majorHAnsi" w:cstheme="majorBidi"/>
          <w:bCs/>
          <w:color w:val="auto"/>
          <w:kern w:val="2"/>
          <w:sz w:val="28"/>
          <w:szCs w:val="32"/>
          <w:lang w:val="en-US" w:eastAsia="zh-CN" w:bidi="ar-SA"/>
        </w:rPr>
        <w:t>三、</w:t>
      </w:r>
      <w:r>
        <w:rPr>
          <w:rFonts w:hint="eastAsia" w:eastAsia="黑体" w:asciiTheme="majorHAnsi" w:hAnsiTheme="majorHAnsi" w:cstheme="majorBidi"/>
          <w:bCs/>
          <w:color w:val="auto"/>
          <w:kern w:val="2"/>
          <w:sz w:val="28"/>
          <w:szCs w:val="32"/>
          <w:lang w:val="en-US" w:eastAsia="zh-CN" w:bidi="ar-SA"/>
        </w:rPr>
        <w:t>办理条件</w:t>
      </w:r>
    </w:p>
    <w:p>
      <w:pPr>
        <w:ind w:firstLine="472"/>
        <w:rPr>
          <w:color w:val="auto"/>
        </w:rPr>
      </w:pPr>
      <w:r>
        <w:rPr>
          <w:rFonts w:hint="eastAsia"/>
          <w:color w:val="auto"/>
        </w:rPr>
        <w:t>中华人民共和国境内电器电子产品的生产者为基金缴纳义务人，应依照有关规定向其主管税务机关进行缴费申报。基金缴纳义务人销售应征基金产品时缴纳基金。基金缴纳义务人应当自季度终了之日起15日内申报缴纳基金，向主管税务机关报送《废弃电器电子产品处理基金申报表》。基金缴纳义务人销售或受托加工生产相关电器电子产品，按照从量定额的办法计算应缴纳基金。应缴纳基金的计算公式为：应缴纳基金=销售数量（受托加工数量）×征收标准。自2014年6月1日起，基金缴纳义务人（以下称受托方）受外贸公司（以下称委托方）委托加工电器电子产品，其海关贸易方式为“进料加工”或“来料加工”且由委托方收回后复出口的，免征基金。</w:t>
      </w:r>
    </w:p>
    <w:p>
      <w:pPr>
        <w:pStyle w:val="3"/>
        <w:ind w:firstLine="552"/>
        <w:rPr>
          <w:rFonts w:eastAsia="黑体"/>
          <w:color w:val="auto"/>
          <w:sz w:val="28"/>
        </w:rPr>
      </w:pPr>
      <w:r>
        <w:rPr>
          <w:rFonts w:hint="eastAsia" w:eastAsia="黑体"/>
          <w:color w:val="auto"/>
          <w:sz w:val="28"/>
          <w:lang w:val="en-US" w:eastAsia="zh-CN"/>
        </w:rPr>
        <w:t>四</w:t>
      </w:r>
      <w:r>
        <w:rPr>
          <w:rFonts w:hint="eastAsia" w:eastAsia="黑体"/>
          <w:color w:val="auto"/>
          <w:sz w:val="28"/>
        </w:rPr>
        <w:t>、</w:t>
      </w:r>
      <w:r>
        <w:rPr>
          <w:rFonts w:hint="eastAsia" w:eastAsia="黑体"/>
          <w:color w:val="auto"/>
          <w:sz w:val="28"/>
          <w:lang w:val="en-US" w:eastAsia="zh-CN"/>
        </w:rPr>
        <w:t>设定</w:t>
      </w:r>
      <w:r>
        <w:rPr>
          <w:rFonts w:hint="eastAsia" w:eastAsia="黑体"/>
          <w:color w:val="auto"/>
          <w:sz w:val="28"/>
        </w:rPr>
        <w:t>依据</w:t>
      </w:r>
    </w:p>
    <w:p>
      <w:pPr>
        <w:ind w:firstLine="472"/>
        <w:rPr>
          <w:rFonts w:hint="eastAsia"/>
          <w:color w:val="auto"/>
        </w:rPr>
      </w:pPr>
      <w:r>
        <w:rPr>
          <w:rFonts w:hint="eastAsia"/>
          <w:color w:val="auto"/>
        </w:rPr>
        <w:t>1.《废弃电器电子产品回收处理管理条例》第七条</w:t>
      </w:r>
    </w:p>
    <w:p>
      <w:pPr>
        <w:ind w:firstLine="472"/>
        <w:rPr>
          <w:rFonts w:hint="eastAsia"/>
          <w:color w:val="auto"/>
          <w:lang w:eastAsia="zh-CN"/>
        </w:rPr>
      </w:pPr>
      <w:r>
        <w:rPr>
          <w:rFonts w:hint="eastAsia"/>
          <w:color w:val="auto"/>
          <w:lang w:eastAsia="zh-CN"/>
        </w:rPr>
        <w:t>“</w:t>
      </w:r>
      <w:r>
        <w:rPr>
          <w:rFonts w:hint="eastAsia"/>
          <w:color w:val="auto"/>
        </w:rPr>
        <w:t>国家建立废弃电器电子产品处理基金，用于废弃电器电子产品回收处理费用的补贴。电器电子产品生产者、进口电器电子产品的收货人或者其代理人应当按照规定履行废弃电器电子产品处理基金的缴纳义务。</w:t>
      </w:r>
      <w:r>
        <w:rPr>
          <w:rFonts w:hint="eastAsia"/>
          <w:color w:val="auto"/>
        </w:rPr>
        <w:br w:type="textWrapping"/>
      </w:r>
      <w:r>
        <w:rPr>
          <w:rFonts w:hint="eastAsia"/>
          <w:color w:val="auto"/>
        </w:rPr>
        <w:t>　　废弃电器电子产品处理基金应当纳入预算管理，其征收、使用、管理的具体办法由国务院财政部门会同国务院生态环境、资源综合利用、工业信息产业主管部门制订，报国务院批准后施行。</w:t>
      </w:r>
      <w:r>
        <w:rPr>
          <w:rFonts w:hint="eastAsia"/>
          <w:color w:val="auto"/>
        </w:rPr>
        <w:br w:type="textWrapping"/>
      </w:r>
      <w:r>
        <w:rPr>
          <w:rFonts w:hint="eastAsia"/>
          <w:color w:val="auto"/>
        </w:rPr>
        <w:t>　　制订废弃电器电子产品处理基金的征收标准和补贴标准，应当充分听取电器电子产品生产企业、处理企业、有关行业协会及专家的意见。</w:t>
      </w:r>
      <w:r>
        <w:rPr>
          <w:rFonts w:hint="eastAsia"/>
          <w:color w:val="auto"/>
          <w:lang w:eastAsia="zh-CN"/>
        </w:rPr>
        <w:t>”</w:t>
      </w:r>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《废弃电器电子产品处理基金申报表（2015年版）》</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keepNext/>
        <w:keepLines/>
        <w:widowControl w:val="0"/>
        <w:numPr>
          <w:ilvl w:val="0"/>
          <w:numId w:val="4"/>
        </w:numPr>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eastAsia="黑体" w:asciiTheme="majorHAnsi" w:hAnsiTheme="majorHAnsi" w:cstheme="majorBidi"/>
          <w:bCs/>
          <w:color w:val="auto"/>
          <w:kern w:val="2"/>
          <w:sz w:val="28"/>
          <w:szCs w:val="32"/>
          <w:lang w:val="en-US" w:eastAsia="zh-CN" w:bidi="ar-SA"/>
        </w:rPr>
        <w:t>办理流程</w:t>
      </w:r>
    </w:p>
    <w:p>
      <w:pPr>
        <w:keepNext w:val="0"/>
        <w:keepLines w:val="0"/>
        <w:pageBreakBefore w:val="0"/>
        <w:widowControl w:val="0"/>
        <w:kinsoku/>
        <w:wordWrap/>
        <w:overflowPunct/>
        <w:topLinePunct w:val="0"/>
        <w:autoSpaceDE/>
        <w:autoSpaceDN/>
        <w:bidi w:val="0"/>
        <w:adjustRightInd/>
        <w:snapToGrid/>
        <w:spacing w:line="240" w:lineRule="auto"/>
        <w:ind w:firstLine="471" w:firstLineChars="0"/>
        <w:textAlignment w:val="auto"/>
        <w:rPr>
          <w:rFonts w:hint="eastAsia"/>
          <w:color w:val="auto"/>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471" w:firstLineChars="0"/>
        <w:textAlignment w:val="auto"/>
        <w:rPr>
          <w:rFonts w:hint="eastAsia"/>
          <w:color w:val="auto"/>
        </w:rPr>
      </w:pPr>
      <w:r>
        <w:rPr>
          <w:rFonts w:hint="eastAsia"/>
          <w:color w:val="auto"/>
        </w:rPr>
        <w:object>
          <v:shape id="_x0000_i1102" o:spt="75" type="#_x0000_t75" style="height:118.1pt;width:440.6pt;" o:ole="t" filled="f" o:preferrelative="t" stroked="f" coordsize="21600,21600">
            <v:path/>
            <v:fill on="f" focussize="0,0"/>
            <v:stroke on="f"/>
            <v:imagedata r:id="rId11" o:title=""/>
            <o:lock v:ext="edit" aspectratio="t"/>
            <w10:wrap type="none"/>
            <w10:anchorlock/>
          </v:shape>
          <o:OLEObject Type="Embed" ProgID="Visio.Drawing.11" ShapeID="_x0000_i1102" DrawAspect="Content" ObjectID="_1468075725" r:id="rId10">
            <o:LockedField>false</o:LockedField>
          </o:OLEObject>
        </w:object>
      </w:r>
    </w:p>
    <w:p>
      <w:pPr>
        <w:keepNext/>
        <w:keepLines/>
        <w:widowControl w:val="0"/>
        <w:spacing w:line="578" w:lineRule="exact"/>
        <w:ind w:left="0" w:leftChars="0" w:firstLine="552" w:firstLineChars="200"/>
        <w:jc w:val="both"/>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七、办理时限</w:t>
      </w:r>
    </w:p>
    <w:p>
      <w:pPr>
        <w:ind w:firstLine="471" w:firstLineChars="0"/>
        <w:rPr>
          <w:color w:val="auto"/>
        </w:rPr>
      </w:pPr>
      <w:r>
        <w:rPr>
          <w:rFonts w:hint="eastAsia"/>
          <w:color w:val="auto"/>
        </w:rPr>
        <w:t>资料齐全、符合法定形式的，税务机关受理后即时办结。</w:t>
      </w:r>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八、表证单书</w:t>
      </w:r>
    </w:p>
    <w:p>
      <w:pPr>
        <w:ind w:firstLine="472"/>
        <w:rPr>
          <w:color w:val="auto"/>
        </w:rPr>
      </w:pPr>
      <w:r>
        <w:rPr>
          <w:rFonts w:hint="eastAsia"/>
          <w:color w:val="auto"/>
        </w:rPr>
        <w:t>1.A06679《废弃电器电子产品处理基金申报表（2015年版）》(A06679《废弃电器电子产品处理基金申报表（2015年版）》（填写样例）)</w:t>
      </w:r>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九、注意事项</w:t>
      </w:r>
    </w:p>
    <w:p>
      <w:pPr>
        <w:ind w:firstLine="472"/>
        <w:rPr>
          <w:color w:val="auto"/>
        </w:rPr>
      </w:pPr>
      <w:r>
        <w:rPr>
          <w:rFonts w:hint="eastAsia"/>
          <w:color w:val="auto"/>
        </w:rPr>
        <w:t>1.税务</w:t>
      </w:r>
      <w:r>
        <w:rPr>
          <w:color w:val="auto"/>
        </w:rPr>
        <w:t>机关</w:t>
      </w:r>
      <w:r>
        <w:rPr>
          <w:rFonts w:hint="eastAsia"/>
          <w:color w:val="auto"/>
        </w:rPr>
        <w:t>根据应补费额判断是否需要缴款开票；对于应补费额大于零的，办理“缴款开票”业务。</w:t>
      </w:r>
    </w:p>
    <w:p>
      <w:pPr>
        <w:ind w:firstLine="472"/>
        <w:rPr>
          <w:color w:val="auto"/>
        </w:rPr>
      </w:pPr>
      <w:r>
        <w:rPr>
          <w:rFonts w:hint="eastAsia"/>
          <w:color w:val="auto"/>
        </w:rPr>
        <w:t>2.缴费人既有应退费款又有欠缴费款的，可以办理抵缴欠费业务。</w:t>
      </w:r>
    </w:p>
    <w:p>
      <w:pPr>
        <w:ind w:firstLine="472"/>
        <w:rPr>
          <w:color w:val="auto"/>
        </w:rPr>
      </w:pPr>
      <w:r>
        <w:rPr>
          <w:rFonts w:hint="eastAsia"/>
          <w:color w:val="auto"/>
          <w:lang w:val="en-US" w:eastAsia="zh-CN"/>
        </w:rPr>
        <w:t>3</w:t>
      </w:r>
      <w:r>
        <w:rPr>
          <w:rFonts w:hint="eastAsia"/>
          <w:color w:val="auto"/>
        </w:rPr>
        <w:t>.</w:t>
      </w:r>
      <w:r>
        <w:rPr>
          <w:rFonts w:hint="eastAsia"/>
          <w:color w:val="auto"/>
          <w:lang w:val="en-US" w:eastAsia="zh-CN"/>
        </w:rPr>
        <w:t>缴费</w:t>
      </w:r>
      <w:r>
        <w:rPr>
          <w:rFonts w:hint="eastAsia"/>
          <w:color w:val="auto"/>
        </w:rPr>
        <w:t>人对报送资料的真实性和合法性承担责任。</w:t>
      </w:r>
    </w:p>
    <w:p>
      <w:pPr>
        <w:ind w:firstLine="472"/>
        <w:jc w:val="left"/>
        <w:rPr>
          <w:rFonts w:hint="eastAsia"/>
          <w:color w:val="auto"/>
        </w:rPr>
      </w:pPr>
      <w:r>
        <w:rPr>
          <w:rFonts w:hint="eastAsia"/>
          <w:color w:val="auto"/>
          <w:lang w:val="en-US" w:eastAsia="zh-CN"/>
        </w:rPr>
        <w:t>4</w:t>
      </w:r>
      <w:r>
        <w:rPr>
          <w:rFonts w:hint="eastAsia"/>
          <w:color w:val="auto"/>
        </w:rPr>
        <w:t>.最多跑一次是在资料完整且符合法定受理条件的前提下，最多只需要到税务机关跑一次。</w:t>
      </w:r>
    </w:p>
    <w:p>
      <w:pPr>
        <w:ind w:firstLine="472"/>
        <w:jc w:val="left"/>
        <w:rPr>
          <w:rFonts w:hint="eastAsia"/>
          <w:color w:val="auto"/>
        </w:rPr>
      </w:pPr>
      <w:r>
        <w:rPr>
          <w:rFonts w:hint="eastAsia"/>
          <w:color w:val="auto"/>
          <w:lang w:val="en-US" w:eastAsia="zh-CN"/>
        </w:rPr>
        <w:t>5.缴费</w:t>
      </w:r>
      <w:r>
        <w:rPr>
          <w:rFonts w:hint="eastAsia"/>
          <w:color w:val="auto"/>
        </w:rPr>
        <w:t>人上门办理涉</w:t>
      </w:r>
      <w:r>
        <w:rPr>
          <w:rFonts w:hint="eastAsia"/>
          <w:color w:val="auto"/>
          <w:lang w:val="en-US" w:eastAsia="zh-CN"/>
        </w:rPr>
        <w:t>费</w:t>
      </w:r>
      <w:r>
        <w:rPr>
          <w:rFonts w:hint="eastAsia"/>
          <w:color w:val="auto"/>
        </w:rPr>
        <w:t>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r>
        <w:rPr>
          <w:rFonts w:hint="eastAsia"/>
          <w:color w:val="auto"/>
          <w:lang w:eastAsia="zh-CN"/>
        </w:rPr>
        <w:t>。</w:t>
      </w:r>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keepNext/>
        <w:keepLines/>
        <w:widowControl w:val="0"/>
        <w:spacing w:line="578" w:lineRule="exact"/>
        <w:ind w:firstLine="552" w:firstLineChars="200"/>
        <w:jc w:val="both"/>
        <w:outlineLvl w:val="1"/>
        <w:rPr>
          <w:rFonts w:hint="eastAsia"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十二、办理机构</w:t>
      </w:r>
    </w:p>
    <w:p>
      <w:pPr>
        <w:ind w:firstLine="472"/>
        <w:rPr>
          <w:color w:val="auto"/>
        </w:rPr>
      </w:pPr>
      <w:r>
        <w:rPr>
          <w:rFonts w:hint="eastAsia"/>
          <w:color w:val="auto"/>
        </w:rPr>
        <w:t>主管税务机关</w:t>
      </w:r>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十三、收费标准</w:t>
      </w:r>
    </w:p>
    <w:p>
      <w:pPr>
        <w:ind w:firstLine="472"/>
        <w:rPr>
          <w:color w:val="auto"/>
        </w:rPr>
      </w:pPr>
      <w:r>
        <w:rPr>
          <w:rFonts w:hint="eastAsia"/>
          <w:color w:val="auto"/>
        </w:rPr>
        <w:t>不收费</w:t>
      </w:r>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eastAsia="黑体"/>
          <w:color w:val="auto"/>
          <w:sz w:val="28"/>
        </w:rPr>
      </w:pPr>
      <w:r>
        <w:rPr>
          <w:rFonts w:hint="eastAsia" w:eastAsia="黑体"/>
          <w:color w:val="auto"/>
          <w:sz w:val="28"/>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4E6424A2"/>
    <w:multiLevelType w:val="singleLevel"/>
    <w:tmpl w:val="4E6424A2"/>
    <w:lvl w:ilvl="0" w:tentative="0">
      <w:start w:val="6"/>
      <w:numFmt w:val="chineseCounting"/>
      <w:suff w:val="nothing"/>
      <w:lvlText w:val="%1、"/>
      <w:lvlJc w:val="left"/>
      <w:rPr>
        <w:rFonts w:hint="eastAsia"/>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87B6092"/>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2019-10-31T06:27:21Z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