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4207"/>
      <w:r>
        <w:rPr>
          <w:rFonts w:hint="eastAsia" w:ascii="黑体" w:hAnsi="黑体"/>
          <w:color w:val="auto"/>
        </w:rPr>
        <w:t>1.3.3.1居民企业所得税月（季）度预缴纳税申报（适用查账征收）</w:t>
      </w:r>
      <w:bookmarkEnd w:id="0"/>
    </w:p>
    <w:p>
      <w:pPr>
        <w:pStyle w:val="3"/>
        <w:ind w:firstLine="552"/>
        <w:rPr>
          <w:color w:val="auto"/>
        </w:rPr>
      </w:pPr>
      <w:r>
        <w:rPr>
          <w:color w:val="auto"/>
        </w:rPr>
        <w:t>一、事项名称</w:t>
      </w:r>
    </w:p>
    <w:p>
      <w:pPr>
        <w:ind w:firstLine="472"/>
        <w:rPr>
          <w:color w:val="auto"/>
        </w:rPr>
      </w:pPr>
      <w:r>
        <w:rPr>
          <w:rFonts w:hint="eastAsia" w:ascii="黑体" w:hAnsi="黑体"/>
          <w:color w:val="auto"/>
        </w:rPr>
        <w:t>居民企业所得税月（季）度预缴纳税申报（适用查账征收）</w:t>
      </w:r>
    </w:p>
    <w:p>
      <w:pPr>
        <w:pStyle w:val="3"/>
        <w:ind w:firstLine="552"/>
        <w:rPr>
          <w:color w:val="auto"/>
        </w:rPr>
      </w:pPr>
      <w:r>
        <w:rPr>
          <w:color w:val="auto"/>
        </w:rPr>
        <w:t>二、事项类别</w:t>
      </w:r>
    </w:p>
    <w:p>
      <w:pPr>
        <w:numPr>
          <w:ilvl w:val="0"/>
          <w:numId w:val="3"/>
        </w:numPr>
        <w:ind w:left="0" w:firstLine="472"/>
        <w:rPr>
          <w:color w:val="auto"/>
        </w:rPr>
      </w:pPr>
      <w:r>
        <w:rPr>
          <w:rFonts w:hint="eastAsia"/>
          <w:color w:val="auto"/>
        </w:rPr>
        <w:t>发起方式：人工发起（纳税人）</w:t>
      </w:r>
    </w:p>
    <w:p>
      <w:pPr>
        <w:numPr>
          <w:ilvl w:val="0"/>
          <w:numId w:val="3"/>
        </w:numPr>
        <w:ind w:left="0" w:firstLine="472"/>
        <w:rPr>
          <w:color w:val="auto"/>
        </w:rPr>
      </w:pPr>
      <w:r>
        <w:rPr>
          <w:rFonts w:hint="eastAsia"/>
          <w:color w:val="auto"/>
        </w:rPr>
        <w:t>办结方式：即办</w:t>
      </w:r>
    </w:p>
    <w:p>
      <w:pPr>
        <w:numPr>
          <w:ilvl w:val="0"/>
          <w:numId w:val="3"/>
        </w:numPr>
        <w:ind w:left="0" w:firstLine="472"/>
        <w:rPr>
          <w:color w:val="auto"/>
        </w:rPr>
      </w:pPr>
      <w:r>
        <w:rPr>
          <w:rFonts w:hint="eastAsia"/>
          <w:color w:val="auto"/>
        </w:rPr>
        <w:t>全省通办：是</w:t>
      </w:r>
    </w:p>
    <w:p>
      <w:pPr>
        <w:numPr>
          <w:ilvl w:val="0"/>
          <w:numId w:val="3"/>
        </w:numPr>
        <w:ind w:left="0" w:firstLine="472"/>
        <w:rPr>
          <w:color w:val="auto"/>
        </w:rPr>
      </w:pPr>
      <w:r>
        <w:rPr>
          <w:rFonts w:hint="eastAsia"/>
          <w:color w:val="auto"/>
        </w:rPr>
        <w:t>网上办理：是</w:t>
      </w:r>
    </w:p>
    <w:p>
      <w:pPr>
        <w:pStyle w:val="47"/>
        <w:numPr>
          <w:ilvl w:val="0"/>
          <w:numId w:val="4"/>
        </w:numPr>
        <w:ind w:firstLineChars="0"/>
        <w:rPr>
          <w:color w:val="auto"/>
        </w:rPr>
      </w:pPr>
      <w:r>
        <w:rPr>
          <w:rFonts w:hint="eastAsia"/>
          <w:color w:val="auto"/>
        </w:rPr>
        <w:t>适用层级：县(市、区)级</w:t>
      </w:r>
    </w:p>
    <w:p>
      <w:pPr>
        <w:pStyle w:val="47"/>
        <w:numPr>
          <w:ilvl w:val="0"/>
          <w:numId w:val="4"/>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rFonts w:hint="eastAsia"/>
          <w:color w:val="auto"/>
        </w:rPr>
        <w:t>实行查账征收方式申报企业所得税的居民企业（包括境外注册中资控股居民企业）应依照税收法律、法规、规章及其他有关规定，在规定的纳税期限内向税务机关提交《中华人民共和国企业所得税月（季）度预缴纳税申报表</w:t>
      </w:r>
      <w:r>
        <w:rPr>
          <w:color w:val="auto"/>
        </w:rPr>
        <w:t>》及其他相关资料，进行月（季）度预缴纳税申报。</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1.《中华人民共和国税收征收管理法》第二十五条第一款</w:t>
      </w:r>
    </w:p>
    <w:p>
      <w:pPr>
        <w:ind w:firstLine="472"/>
        <w:rPr>
          <w:color w:val="auto"/>
        </w:rPr>
      </w:pP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ind w:firstLine="472"/>
        <w:rPr>
          <w:color w:val="auto"/>
        </w:rPr>
      </w:pPr>
      <w:r>
        <w:rPr>
          <w:rFonts w:hint="eastAsia"/>
          <w:color w:val="auto"/>
        </w:rPr>
        <w:t>2.《中华人民共和国企业所得税法》</w:t>
      </w:r>
      <w:r>
        <w:rPr>
          <w:color w:val="auto"/>
        </w:rPr>
        <w:t>第一条、第五十四条</w:t>
      </w:r>
    </w:p>
    <w:p>
      <w:pPr>
        <w:ind w:firstLine="472"/>
        <w:rPr>
          <w:color w:val="auto"/>
        </w:rPr>
      </w:pPr>
      <w:r>
        <w:rPr>
          <w:rFonts w:hint="eastAsia"/>
          <w:color w:val="auto"/>
        </w:rPr>
        <w:t>“</w:t>
      </w:r>
      <w:r>
        <w:rPr>
          <w:color w:val="auto"/>
        </w:rPr>
        <w:t>第一条</w:t>
      </w:r>
      <w:r>
        <w:rPr>
          <w:rFonts w:hint="eastAsia"/>
          <w:color w:val="auto"/>
        </w:rPr>
        <w:t>在中华人民共和国境内，企业和其他取得收入的组织（以下统称企业）为企业所得税的纳税人，依照本法的规定缴纳企业所得税。个人独资企业、合伙企业不适用本法。</w:t>
      </w:r>
    </w:p>
    <w:p>
      <w:pPr>
        <w:ind w:firstLine="472"/>
        <w:rPr>
          <w:rFonts w:hint="eastAsia" w:eastAsia="宋体"/>
          <w:color w:val="auto"/>
          <w:lang w:eastAsia="zh-CN"/>
        </w:rPr>
      </w:pPr>
      <w:r>
        <w:rPr>
          <w:rFonts w:hint="eastAsia"/>
          <w:color w:val="auto"/>
        </w:rPr>
        <w:t>第五十四条企业所得税分月或者分季预缴。企业应当自月份或者季度终了之日起十五日内，向税务机关报送预缴企业所得税纳税申报表，预缴税款。企业应当自年度终了之日起五个月内，向税务机关报送年度企业所得税纳税申报表，并汇算清缴，结清应缴应退税款。企业在报送企业所得税纳税申报表时，应当按照规定附送财务会计报告和其他有关资料。”</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100" w:beforeAutospacing="0" w:after="100" w:afterAutospacing="0" w:line="280" w:lineRule="exact"/>
              <w:rPr>
                <w:rFonts w:cs="宋体"/>
                <w:color w:val="auto"/>
                <w:sz w:val="18"/>
                <w:szCs w:val="18"/>
              </w:rPr>
            </w:pPr>
            <w:r>
              <w:rPr>
                <w:rFonts w:hint="eastAsia" w:ascii="宋体" w:hAnsi="宋体" w:eastAsia="宋体"/>
                <w:color w:val="auto"/>
                <w:sz w:val="18"/>
                <w:szCs w:val="18"/>
              </w:rPr>
              <w:t>《中华人民共和国企业所得税月（季）度预缴纳税申报表及附表（</w:t>
            </w:r>
            <w:r>
              <w:rPr>
                <w:rFonts w:ascii="宋体" w:hAnsi="宋体" w:eastAsia="宋体"/>
                <w:color w:val="auto"/>
                <w:sz w:val="18"/>
                <w:szCs w:val="18"/>
              </w:rPr>
              <w:t>A类，2018年版）》</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Style w:val="17"/>
                <w:rFonts w:ascii="宋体" w:hAnsi="宋体" w:eastAsia="宋体" w:cs="微软雅黑"/>
                <w:b w:val="0"/>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Autospacing="0" w:afterAutospacing="0" w:line="280" w:lineRule="exact"/>
              <w:ind w:firstLine="352"/>
              <w:jc w:val="center"/>
              <w:rPr>
                <w:rFonts w:cs="宋体"/>
                <w:color w:val="auto"/>
                <w:sz w:val="18"/>
                <w:szCs w:val="18"/>
              </w:rPr>
            </w:pP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olor w:val="auto"/>
                <w:sz w:val="18"/>
                <w:szCs w:val="18"/>
              </w:rPr>
              <w:t>2</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kern w:val="0"/>
                <w:sz w:val="18"/>
                <w:szCs w:val="18"/>
              </w:rPr>
              <w:t>《中华人民共和国企业所得税汇总纳税分支机构所得税分配表（</w:t>
            </w:r>
            <w:r>
              <w:rPr>
                <w:color w:val="auto"/>
                <w:kern w:val="0"/>
                <w:sz w:val="18"/>
                <w:szCs w:val="18"/>
              </w:rPr>
              <w:t>A类，2018年版）》</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olor w:val="auto"/>
                <w:sz w:val="18"/>
                <w:szCs w:val="18"/>
              </w:rPr>
              <w:t>2</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olor w:val="auto"/>
                <w:sz w:val="18"/>
                <w:szCs w:val="18"/>
              </w:rPr>
              <w:t>条件</w:t>
            </w:r>
            <w:r>
              <w:rPr>
                <w:rFonts w:hint="eastAsia" w:ascii="宋体" w:hAnsi="宋体" w:eastAsia="宋体" w:cs="微软雅黑"/>
                <w:color w:val="auto"/>
                <w:sz w:val="18"/>
                <w:szCs w:val="18"/>
              </w:rPr>
              <w:t>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olor w:val="auto"/>
                <w:sz w:val="18"/>
                <w:szCs w:val="18"/>
              </w:rPr>
              <w:t>跨省、自治区、直辖市和计划单列市设立的，实行汇总纳税办法的居民企业报送，总机构在月（季）度终了之日起</w:t>
            </w:r>
            <w:r>
              <w:rPr>
                <w:rFonts w:ascii="宋体" w:hAnsi="宋体" w:eastAsia="宋体"/>
                <w:color w:val="auto"/>
                <w:sz w:val="18"/>
                <w:szCs w:val="18"/>
              </w:rPr>
              <w:t>10日内报送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olor w:val="auto"/>
                <w:sz w:val="18"/>
                <w:szCs w:val="18"/>
              </w:rPr>
              <w:t>3</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kern w:val="0"/>
                <w:sz w:val="18"/>
                <w:szCs w:val="18"/>
              </w:rPr>
              <w:t>《中华人民共和国企业所得税汇总纳税分支机构所得税分配表（A</w:t>
            </w:r>
            <w:r>
              <w:rPr>
                <w:color w:val="auto"/>
                <w:kern w:val="0"/>
                <w:sz w:val="18"/>
                <w:szCs w:val="18"/>
              </w:rPr>
              <w:t>类，2018年版）》复印件</w:t>
            </w:r>
          </w:p>
        </w:tc>
        <w:tc>
          <w:tcPr>
            <w:tcW w:w="709"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olor w:val="auto"/>
                <w:sz w:val="18"/>
                <w:szCs w:val="18"/>
              </w:rPr>
              <w:t>条件</w:t>
            </w:r>
            <w:r>
              <w:rPr>
                <w:rFonts w:ascii="宋体" w:hAnsi="宋体" w:eastAsia="宋体"/>
                <w:color w:val="auto"/>
                <w:sz w:val="18"/>
                <w:szCs w:val="18"/>
              </w:rPr>
              <w:t>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olor w:val="auto"/>
                <w:sz w:val="18"/>
                <w:szCs w:val="18"/>
              </w:rPr>
              <w:t>分支机构在月（季）度终了之日起</w:t>
            </w:r>
            <w:r>
              <w:rPr>
                <w:rFonts w:ascii="宋体" w:hAnsi="宋体" w:eastAsia="宋体"/>
                <w:color w:val="auto"/>
                <w:sz w:val="18"/>
                <w:szCs w:val="18"/>
              </w:rPr>
              <w:t>15日内，应报送总机构加盖有税务机关业务专用章</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ind w:firstLine="88" w:firstLineChars="50"/>
              <w:jc w:val="center"/>
              <w:rPr>
                <w:rFonts w:cs="宋体"/>
                <w:color w:val="auto"/>
                <w:sz w:val="18"/>
                <w:szCs w:val="18"/>
              </w:rPr>
            </w:pPr>
            <w:r>
              <w:rPr>
                <w:rFonts w:ascii="宋体" w:hAnsi="宋体" w:eastAsia="宋体" w:cs="微软雅黑"/>
                <w:color w:val="auto"/>
                <w:sz w:val="18"/>
                <w:szCs w:val="18"/>
              </w:rPr>
              <w:t>4</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kern w:val="0"/>
                <w:sz w:val="18"/>
                <w:szCs w:val="18"/>
              </w:rPr>
              <w:t>各分支机构上一年度的年度财务报表（或年度财务状况和营业收支情况）</w:t>
            </w:r>
          </w:p>
        </w:tc>
        <w:tc>
          <w:tcPr>
            <w:tcW w:w="709" w:type="dxa"/>
            <w:shd w:val="clear" w:color="auto" w:fill="auto"/>
            <w:vAlign w:val="center"/>
          </w:tcPr>
          <w:p>
            <w:pPr>
              <w:pStyle w:val="13"/>
              <w:widowControl/>
              <w:spacing w:before="100" w:beforeAutospacing="0" w:after="100" w:afterAutospacing="0" w:line="280" w:lineRule="exact"/>
              <w:ind w:firstLine="352"/>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olor w:val="auto"/>
                <w:sz w:val="18"/>
                <w:szCs w:val="18"/>
              </w:rPr>
              <w:t>在一个纳税年度内，各分支机构上一年度的年度财务报表（或年度财务状况和营业收支情况）原则上只需要报送一次</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w:t>
            </w:r>
            <w:r>
              <w:rPr>
                <w:rFonts w:hint="eastAsia" w:ascii="宋体" w:hAnsi="宋体" w:eastAsia="宋体"/>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5</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kern w:val="0"/>
                <w:sz w:val="18"/>
                <w:szCs w:val="18"/>
              </w:rPr>
              <w:t>《居民企业参股外国企业信息报告表》</w:t>
            </w:r>
          </w:p>
        </w:tc>
        <w:tc>
          <w:tcPr>
            <w:tcW w:w="709" w:type="dxa"/>
            <w:shd w:val="clear" w:color="auto" w:fill="auto"/>
            <w:vAlign w:val="center"/>
          </w:tcPr>
          <w:p>
            <w:pPr>
              <w:pStyle w:val="13"/>
              <w:widowControl/>
              <w:spacing w:before="100" w:beforeAutospacing="0" w:after="100" w:afterAutospacing="0" w:line="280" w:lineRule="exact"/>
              <w:ind w:firstLine="352"/>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olor w:val="auto"/>
                <w:sz w:val="18"/>
                <w:szCs w:val="18"/>
              </w:rPr>
              <w:t>符合条件的境外投资居民企业在办理企业所得税预缴申报时报送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w:t>
            </w:r>
            <w:r>
              <w:rPr>
                <w:rFonts w:hint="eastAsia" w:ascii="宋体" w:hAnsi="宋体" w:eastAsia="宋体"/>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6</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kern w:val="0"/>
                <w:sz w:val="18"/>
                <w:szCs w:val="18"/>
              </w:rPr>
              <w:t>在同一省、自治区、直辖市和计划单列市内跨地、市（区、县）设立的，实行汇总纳税办法的居民企业的总分机构应报送省税务机关规定的相关资料</w:t>
            </w:r>
          </w:p>
        </w:tc>
        <w:tc>
          <w:tcPr>
            <w:tcW w:w="709" w:type="dxa"/>
            <w:shd w:val="clear" w:color="auto" w:fill="auto"/>
            <w:vAlign w:val="center"/>
          </w:tcPr>
          <w:p>
            <w:pPr>
              <w:pStyle w:val="13"/>
              <w:widowControl/>
              <w:spacing w:before="100" w:beforeAutospacing="0" w:after="100" w:afterAutospacing="0" w:line="280" w:lineRule="exact"/>
              <w:ind w:firstLine="352"/>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olor w:val="auto"/>
                <w:sz w:val="18"/>
                <w:szCs w:val="18"/>
              </w:rPr>
              <w:t>在同一省、自治区、直辖市和计划单列市内跨地、市（区、县）设立的，实行汇总纳税办法的居民企业的总分机构报送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w:t>
            </w:r>
            <w:r>
              <w:rPr>
                <w:rFonts w:hint="eastAsia" w:ascii="宋体" w:hAnsi="宋体" w:eastAsia="宋体"/>
                <w:color w:val="auto"/>
                <w:sz w:val="18"/>
                <w:szCs w:val="18"/>
              </w:rPr>
              <w:t>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ascii="宋体" w:hAnsi="宋体" w:eastAsia="宋体" w:cs="微软雅黑"/>
                <w:color w:val="auto"/>
                <w:sz w:val="18"/>
                <w:szCs w:val="18"/>
              </w:rPr>
              <w:t>7</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kern w:val="0"/>
                <w:sz w:val="18"/>
                <w:szCs w:val="18"/>
              </w:rPr>
              <w:t>建筑</w:t>
            </w:r>
            <w:r>
              <w:rPr>
                <w:color w:val="auto"/>
                <w:kern w:val="0"/>
                <w:sz w:val="18"/>
                <w:szCs w:val="18"/>
              </w:rPr>
              <w:t>企业总机构</w:t>
            </w:r>
            <w:r>
              <w:rPr>
                <w:rFonts w:hint="eastAsia"/>
                <w:color w:val="auto"/>
                <w:kern w:val="0"/>
                <w:sz w:val="18"/>
                <w:szCs w:val="18"/>
              </w:rPr>
              <w:t>直接管理的跨地区经营项目部就地预缴税款的完税证明</w:t>
            </w:r>
          </w:p>
        </w:tc>
        <w:tc>
          <w:tcPr>
            <w:tcW w:w="709" w:type="dxa"/>
            <w:shd w:val="clear" w:color="auto" w:fill="auto"/>
            <w:vAlign w:val="center"/>
          </w:tcPr>
          <w:p>
            <w:pPr>
              <w:pStyle w:val="13"/>
              <w:widowControl/>
              <w:spacing w:before="100" w:beforeAutospacing="0" w:after="100" w:afterAutospacing="0" w:line="280" w:lineRule="exact"/>
              <w:ind w:firstLine="352"/>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olor w:val="auto"/>
                <w:sz w:val="18"/>
                <w:szCs w:val="18"/>
              </w:rPr>
              <w:t>跨省、自治区、直辖市和计划单列市经营的建筑企业总机构在办理企业所得税预缴时报送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olor w:val="auto"/>
                <w:sz w:val="18"/>
                <w:szCs w:val="18"/>
              </w:rPr>
              <w:t>查验</w:t>
            </w:r>
            <w:r>
              <w:rPr>
                <w:rFonts w:ascii="宋体" w:hAnsi="宋体" w:eastAsia="宋体"/>
                <w:color w:val="auto"/>
                <w:sz w:val="18"/>
                <w:szCs w:val="18"/>
              </w:rPr>
              <w:t>后返还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8</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kern w:val="0"/>
                <w:sz w:val="18"/>
                <w:szCs w:val="18"/>
              </w:rPr>
              <w:t>《技术成果投资入股企业所得税递延纳税备案表》</w:t>
            </w:r>
          </w:p>
        </w:tc>
        <w:tc>
          <w:tcPr>
            <w:tcW w:w="709" w:type="dxa"/>
            <w:shd w:val="clear" w:color="auto" w:fill="auto"/>
            <w:vAlign w:val="center"/>
          </w:tcPr>
          <w:p>
            <w:pPr>
              <w:pStyle w:val="13"/>
              <w:widowControl/>
              <w:spacing w:before="100" w:beforeAutospacing="0" w:after="100" w:afterAutospacing="0" w:line="280" w:lineRule="exact"/>
              <w:ind w:firstLine="352"/>
              <w:rPr>
                <w:rFonts w:cs="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olor w:val="auto"/>
                <w:sz w:val="18"/>
                <w:szCs w:val="18"/>
              </w:rPr>
              <w:t>条件报送</w:t>
            </w:r>
          </w:p>
        </w:tc>
        <w:tc>
          <w:tcPr>
            <w:tcW w:w="1134" w:type="dxa"/>
            <w:shd w:val="clear" w:color="auto" w:fill="auto"/>
            <w:vAlign w:val="center"/>
          </w:tcPr>
          <w:p>
            <w:pPr>
              <w:pStyle w:val="13"/>
              <w:widowControl/>
              <w:spacing w:beforeAutospacing="0" w:afterAutospacing="0" w:line="280" w:lineRule="exact"/>
              <w:jc w:val="center"/>
              <w:rPr>
                <w:rFonts w:cs="宋体"/>
                <w:color w:val="auto"/>
                <w:sz w:val="18"/>
                <w:szCs w:val="18"/>
              </w:rPr>
            </w:pPr>
            <w:r>
              <w:rPr>
                <w:rFonts w:hint="eastAsia" w:ascii="宋体" w:hAnsi="宋体" w:eastAsia="宋体"/>
                <w:color w:val="auto"/>
                <w:sz w:val="18"/>
                <w:szCs w:val="18"/>
              </w:rPr>
              <w:t>发生技术入股选择递延纳税的纳税人应在投资完成后首次预缴申报时向主管税务机关报送</w:t>
            </w:r>
          </w:p>
        </w:tc>
        <w:tc>
          <w:tcPr>
            <w:tcW w:w="1134" w:type="dxa"/>
            <w:vAlign w:val="center"/>
          </w:tcPr>
          <w:p>
            <w:pPr>
              <w:pStyle w:val="13"/>
              <w:widowControl/>
              <w:spacing w:before="100" w:beforeAutospacing="0" w:after="100" w:afterAutospacing="0" w:line="280" w:lineRule="exact"/>
              <w:jc w:val="center"/>
              <w:rPr>
                <w:rFonts w:cs="宋体"/>
                <w:color w:val="auto"/>
                <w:sz w:val="18"/>
                <w:szCs w:val="18"/>
              </w:rPr>
            </w:pPr>
            <w:r>
              <w:rPr>
                <w:rFonts w:hint="eastAsia" w:ascii="宋体" w:hAnsi="宋体" w:eastAsia="宋体" w:cs="微软雅黑"/>
                <w:color w:val="auto"/>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rFonts w:hint="eastAsia"/>
          <w:color w:val="auto"/>
        </w:rPr>
      </w:pPr>
      <w:r>
        <w:rPr>
          <w:color w:val="auto"/>
        </w:rPr>
        <w:object>
          <v:shape id="_x0000_i1088" o:spt="75" type="#_x0000_t75" style="height:117.75pt;width:440.25pt;" o:ole="t" filled="f" o:preferrelative="t" stroked="f" coordsize="21600,21600">
            <v:path/>
            <v:fill on="f" focussize="0,0"/>
            <v:stroke on="f" joinstyle="miter"/>
            <v:imagedata r:id="rId11" o:title=""/>
            <o:lock v:ext="edit" aspectratio="t"/>
            <w10:wrap type="none"/>
            <w10:anchorlock/>
          </v:shape>
          <o:OLEObject Type="Embed" ProgID="" ShapeID="_x0000_i1088"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1.A06635《中华人民共和国企业所得税月（季）度预缴纳税申报表及附表（A类，2018年版）》</w:t>
      </w:r>
    </w:p>
    <w:p>
      <w:pPr>
        <w:ind w:firstLine="472"/>
        <w:rPr>
          <w:color w:val="auto"/>
        </w:rPr>
      </w:pPr>
      <w:r>
        <w:rPr>
          <w:rFonts w:hint="eastAsia"/>
          <w:color w:val="auto"/>
        </w:rPr>
        <w:t>2.A06598《企业所得税汇总纳税分支机构所得税分配表》</w:t>
      </w:r>
    </w:p>
    <w:p>
      <w:pPr>
        <w:ind w:firstLine="472"/>
        <w:rPr>
          <w:color w:val="auto"/>
        </w:rPr>
      </w:pPr>
      <w:r>
        <w:rPr>
          <w:rFonts w:hint="eastAsia"/>
          <w:color w:val="auto"/>
        </w:rPr>
        <w:t>3.A06547《居民企业参股外国企业信息报告表》</w:t>
      </w:r>
    </w:p>
    <w:p>
      <w:pPr>
        <w:ind w:firstLine="472"/>
        <w:rPr>
          <w:color w:val="auto"/>
        </w:rPr>
      </w:pPr>
      <w:r>
        <w:rPr>
          <w:rFonts w:hint="eastAsia"/>
          <w:color w:val="auto"/>
        </w:rPr>
        <w:t>4.</w:t>
      </w:r>
      <w:r>
        <w:rPr>
          <w:rFonts w:hint="eastAsia" w:ascii="宋体" w:hAnsi="宋体" w:eastAsia="宋体"/>
          <w:color w:val="auto"/>
        </w:rPr>
        <w:t>A06779</w:t>
      </w:r>
      <w:r>
        <w:rPr>
          <w:rFonts w:hint="eastAsia"/>
          <w:color w:val="auto"/>
        </w:rPr>
        <w:t>《技术成果投资入股企业所得税递延纳税备案表》</w:t>
      </w:r>
    </w:p>
    <w:p>
      <w:pPr>
        <w:pStyle w:val="3"/>
        <w:ind w:firstLine="552"/>
        <w:rPr>
          <w:color w:val="auto"/>
        </w:rPr>
      </w:pPr>
      <w:r>
        <w:rPr>
          <w:rFonts w:hint="eastAsia"/>
          <w:color w:val="auto"/>
        </w:rPr>
        <w:t>九、注意事项</w:t>
      </w:r>
    </w:p>
    <w:p>
      <w:pPr>
        <w:ind w:firstLine="472"/>
        <w:rPr>
          <w:color w:val="auto"/>
        </w:rPr>
      </w:pPr>
      <w:r>
        <w:rPr>
          <w:color w:val="auto"/>
        </w:rPr>
        <w:t>1.如需调整前期的申报或对前期申报进行补充申报，则通过申报错误更正业务进行处理</w:t>
      </w:r>
      <w:r>
        <w:rPr>
          <w:rFonts w:hint="eastAsia"/>
          <w:color w:val="auto"/>
        </w:rPr>
        <w:t>；</w:t>
      </w:r>
      <w:r>
        <w:rPr>
          <w:color w:val="auto"/>
        </w:rPr>
        <w:t>如</w:t>
      </w:r>
      <w:r>
        <w:rPr>
          <w:rFonts w:hint="eastAsia"/>
          <w:color w:val="auto"/>
        </w:rPr>
        <w:t>属于纳税评估自查补报，则通过纳税评估通知书进行处理。</w:t>
      </w:r>
    </w:p>
    <w:p>
      <w:pPr>
        <w:ind w:firstLine="472"/>
        <w:rPr>
          <w:color w:val="auto"/>
        </w:rPr>
      </w:pPr>
      <w:r>
        <w:rPr>
          <w:rFonts w:hint="eastAsia"/>
          <w:color w:val="auto"/>
        </w:rPr>
        <w:t>2.</w:t>
      </w:r>
      <w:r>
        <w:rPr>
          <w:color w:val="auto"/>
        </w:rPr>
        <w:t>企业所得税预缴申报必须连续进行,中间缺漏的属期要先补充完整,才能继续申报。纳税人进行年度申报前,应先完成全年的月(季)度预缴申报。享受小型微利企业所得税优惠政策除外。</w:t>
      </w:r>
    </w:p>
    <w:p>
      <w:pPr>
        <w:ind w:firstLine="472"/>
        <w:rPr>
          <w:color w:val="auto"/>
        </w:rPr>
      </w:pPr>
      <w:r>
        <w:rPr>
          <w:color w:val="auto"/>
        </w:rPr>
        <w:t>3.汇总纳税的分支机构,需要先进行企业所得税汇总纳税总分机构信息备案，然后再进行分配比例的维护，才可以按汇总纳税分支机构申报企业所得税。</w:t>
      </w:r>
    </w:p>
    <w:p>
      <w:pPr>
        <w:ind w:firstLine="472"/>
        <w:rPr>
          <w:color w:val="auto"/>
        </w:rPr>
      </w:pPr>
      <w:r>
        <w:rPr>
          <w:rFonts w:hint="eastAsia"/>
          <w:color w:val="auto"/>
        </w:rPr>
        <w:t>4</w:t>
      </w:r>
      <w:r>
        <w:rPr>
          <w:color w:val="auto"/>
        </w:rPr>
        <w:t>.</w:t>
      </w:r>
      <w:r>
        <w:rPr>
          <w:rFonts w:hint="eastAsia"/>
          <w:color w:val="auto"/>
        </w:rPr>
        <w:t>小型微利</w:t>
      </w:r>
      <w:r>
        <w:rPr>
          <w:color w:val="auto"/>
        </w:rPr>
        <w:t>企业的相关规定</w:t>
      </w:r>
    </w:p>
    <w:p>
      <w:pPr>
        <w:ind w:firstLine="472"/>
        <w:rPr>
          <w:color w:val="auto"/>
        </w:rPr>
      </w:pPr>
      <w:r>
        <w:rPr>
          <w:rFonts w:hint="eastAsia"/>
          <w:color w:val="auto"/>
        </w:rPr>
        <w:t>自2019年1月1日</w:t>
      </w:r>
      <w:r>
        <w:rPr>
          <w:color w:val="auto"/>
        </w:rPr>
        <w:t>至</w:t>
      </w:r>
      <w:r>
        <w:rPr>
          <w:rFonts w:hint="eastAsia"/>
          <w:color w:val="auto"/>
        </w:rPr>
        <w:t>2021年12月31日</w:t>
      </w:r>
      <w:r>
        <w:rPr>
          <w:color w:val="auto"/>
        </w:rPr>
        <w:t>，</w:t>
      </w:r>
      <w:r>
        <w:rPr>
          <w:rFonts w:hint="eastAsia"/>
          <w:color w:val="auto"/>
        </w:rPr>
        <w:t>对</w:t>
      </w:r>
      <w:r>
        <w:rPr>
          <w:color w:val="auto"/>
        </w:rPr>
        <w:t>小型微利企业年应纳税所得额不超过</w:t>
      </w:r>
      <w:r>
        <w:rPr>
          <w:rFonts w:hint="eastAsia"/>
          <w:color w:val="auto"/>
        </w:rPr>
        <w:t>100万元</w:t>
      </w:r>
      <w:r>
        <w:rPr>
          <w:color w:val="auto"/>
        </w:rPr>
        <w:t>的部分，减按</w:t>
      </w:r>
      <w:r>
        <w:rPr>
          <w:rFonts w:hint="eastAsia"/>
          <w:color w:val="auto"/>
        </w:rPr>
        <w:t>25</w:t>
      </w:r>
      <w:r>
        <w:rPr>
          <w:color w:val="auto"/>
        </w:rPr>
        <w:t>%计入应纳税所得额，按</w:t>
      </w:r>
      <w:r>
        <w:rPr>
          <w:rFonts w:hint="eastAsia"/>
          <w:color w:val="auto"/>
        </w:rPr>
        <w:t>20</w:t>
      </w:r>
      <w:r>
        <w:rPr>
          <w:color w:val="auto"/>
        </w:rPr>
        <w:t>%的税率缴纳企业所得税；对年应纳税所得额超过</w:t>
      </w:r>
      <w:r>
        <w:rPr>
          <w:rFonts w:hint="eastAsia"/>
          <w:color w:val="auto"/>
        </w:rPr>
        <w:t>100万元</w:t>
      </w:r>
      <w:r>
        <w:rPr>
          <w:color w:val="auto"/>
        </w:rPr>
        <w:t>但不超过</w:t>
      </w:r>
      <w:r>
        <w:rPr>
          <w:rFonts w:hint="eastAsia"/>
          <w:color w:val="auto"/>
        </w:rPr>
        <w:t>300万元</w:t>
      </w:r>
      <w:r>
        <w:rPr>
          <w:color w:val="auto"/>
        </w:rPr>
        <w:t>的部分，减按</w:t>
      </w:r>
      <w:r>
        <w:rPr>
          <w:rFonts w:hint="eastAsia"/>
          <w:color w:val="auto"/>
        </w:rPr>
        <w:t>50</w:t>
      </w:r>
      <w:r>
        <w:rPr>
          <w:color w:val="auto"/>
        </w:rPr>
        <w:t>%计入应纳税所得额，按</w:t>
      </w:r>
      <w:r>
        <w:rPr>
          <w:rFonts w:hint="eastAsia"/>
          <w:color w:val="auto"/>
        </w:rPr>
        <w:t>20</w:t>
      </w:r>
      <w:r>
        <w:rPr>
          <w:color w:val="auto"/>
        </w:rPr>
        <w:t>%的税率缴纳企业所得税。</w:t>
      </w:r>
    </w:p>
    <w:p>
      <w:pPr>
        <w:ind w:firstLine="472"/>
        <w:rPr>
          <w:color w:val="auto"/>
        </w:rPr>
      </w:pPr>
      <w:r>
        <w:rPr>
          <w:rFonts w:hint="eastAsia"/>
          <w:color w:val="auto"/>
        </w:rPr>
        <w:t>上述小型微利企业</w:t>
      </w:r>
      <w:r>
        <w:rPr>
          <w:color w:val="auto"/>
        </w:rPr>
        <w:t>是指从事国家非限制和禁止行业，且同时符合年度应纳税所得额不超过</w:t>
      </w:r>
      <w:r>
        <w:rPr>
          <w:rFonts w:hint="eastAsia"/>
          <w:color w:val="auto"/>
        </w:rPr>
        <w:t>300万</w:t>
      </w:r>
      <w:r>
        <w:rPr>
          <w:color w:val="auto"/>
        </w:rPr>
        <w:t>元、从业人数不超过</w:t>
      </w:r>
      <w:r>
        <w:rPr>
          <w:rFonts w:hint="eastAsia"/>
          <w:color w:val="auto"/>
        </w:rPr>
        <w:t>300人</w:t>
      </w:r>
      <w:r>
        <w:rPr>
          <w:color w:val="auto"/>
        </w:rPr>
        <w:t>、资产总额不超过</w:t>
      </w:r>
      <w:r>
        <w:rPr>
          <w:rFonts w:hint="eastAsia"/>
          <w:color w:val="auto"/>
        </w:rPr>
        <w:t>5000万元</w:t>
      </w:r>
      <w:r>
        <w:rPr>
          <w:color w:val="auto"/>
        </w:rPr>
        <w:t>等三个条件的企业。</w:t>
      </w:r>
    </w:p>
    <w:p>
      <w:pPr>
        <w:ind w:firstLine="472"/>
        <w:rPr>
          <w:color w:val="auto"/>
        </w:rPr>
      </w:pPr>
      <w:r>
        <w:rPr>
          <w:rFonts w:hint="eastAsia"/>
          <w:color w:val="auto"/>
        </w:rPr>
        <w:t>上述所称从业人数，包括与企业建立劳动关系的职工人数和企业接受的劳务派遣用工人数。</w:t>
      </w:r>
    </w:p>
    <w:p>
      <w:pPr>
        <w:ind w:firstLine="472"/>
        <w:rPr>
          <w:color w:val="auto"/>
        </w:rPr>
      </w:pPr>
      <w:r>
        <w:rPr>
          <w:rFonts w:hint="eastAsia"/>
          <w:color w:val="auto"/>
        </w:rPr>
        <w:t>上述所称从业人数和资产总额指标，应按企业全年的季度平均值确定。具体计算公式如下：</w:t>
      </w:r>
    </w:p>
    <w:p>
      <w:pPr>
        <w:ind w:firstLine="472"/>
        <w:rPr>
          <w:color w:val="auto"/>
        </w:rPr>
      </w:pPr>
      <w:r>
        <w:rPr>
          <w:rFonts w:hint="eastAsia"/>
          <w:color w:val="auto"/>
        </w:rPr>
        <w:t>季度平均值＝（季初值＋季末值）÷</w:t>
      </w:r>
      <w:r>
        <w:rPr>
          <w:color w:val="auto"/>
        </w:rPr>
        <w:t>2</w:t>
      </w:r>
    </w:p>
    <w:p>
      <w:pPr>
        <w:ind w:firstLine="472"/>
        <w:rPr>
          <w:color w:val="auto"/>
        </w:rPr>
      </w:pPr>
      <w:r>
        <w:rPr>
          <w:rFonts w:hint="eastAsia"/>
          <w:color w:val="auto"/>
        </w:rPr>
        <w:t>全年季度平均值＝全年各季度平均值之和÷</w:t>
      </w:r>
      <w:r>
        <w:rPr>
          <w:color w:val="auto"/>
        </w:rPr>
        <w:t>4</w:t>
      </w:r>
    </w:p>
    <w:p>
      <w:pPr>
        <w:ind w:firstLine="472"/>
        <w:rPr>
          <w:color w:val="auto"/>
        </w:rPr>
      </w:pPr>
      <w:r>
        <w:rPr>
          <w:rFonts w:hint="eastAsia"/>
          <w:color w:val="auto"/>
        </w:rPr>
        <w:t>年度中间开业或者终止经营活动的，以其实际经营期作为一个纳税年度确定上述相关指标。</w:t>
      </w:r>
    </w:p>
    <w:p>
      <w:pPr>
        <w:ind w:firstLine="472"/>
        <w:rPr>
          <w:color w:val="auto"/>
        </w:rPr>
      </w:pPr>
      <w:r>
        <w:rPr>
          <w:rFonts w:hint="eastAsia"/>
          <w:color w:val="auto"/>
        </w:rPr>
        <w:t>5</w:t>
      </w:r>
      <w:r>
        <w:rPr>
          <w:color w:val="auto"/>
        </w:rPr>
        <w:t>.中石油、中石化下属不具有法人资格的二级分支机构，按照年度应纳所得税额50%的比例，使用《中华人民共和国企业所得税月（季）度预缴纳税申报表（A类）》进行纳税申报，就地预缴企业所得税。</w:t>
      </w:r>
    </w:p>
    <w:p>
      <w:pPr>
        <w:ind w:firstLine="472"/>
        <w:rPr>
          <w:color w:val="auto"/>
        </w:rPr>
      </w:pPr>
      <w:r>
        <w:rPr>
          <w:color w:val="auto"/>
        </w:rPr>
        <w:t>6.国有邮政企业（包括中国邮政集团公司及其控股公司和直属单位）、中国工商银行股份有限公司、中国农业银行股份有限公司、中国银行股份有限公司、国家开发银行股份有限公司、中国农业发展银行、中国进出口银行、中国投资有限责任公司、中国建设银行股份有限公司、中国建银投资有限责任公司、中国信达资产管理股份有限公司、海洋石油</w:t>
      </w:r>
      <w:r>
        <w:rPr>
          <w:rFonts w:hint="eastAsia"/>
          <w:color w:val="auto"/>
        </w:rPr>
        <w:t>天然气企业（包括中国海洋石油总公司、中海石油（中国）有限公司、中海油田服务股份有限公司、海洋石油工程股份有限公司）、中国长江电力股份有限公司等企业、中国华融资产管理股份有限公司、中国东方资产管理公司应缴纳的企业所得税，由企业总机构统一汇总计算后，向总机构所在地主管税务机关申报预缴，年终进行汇算清缴。上述企业所属二级分支机构应按照企业所得税的有关规定，使用《中华人民共和国企业所得税月（季）度预缴纳税申报表（</w:t>
      </w:r>
      <w:r>
        <w:rPr>
          <w:color w:val="auto"/>
        </w:rPr>
        <w:t>A类，2018年版）》进行纳税申报向其当地主管税务机关申报，不就地预缴企业所得税。</w:t>
      </w:r>
    </w:p>
    <w:p>
      <w:pPr>
        <w:ind w:firstLine="472"/>
        <w:rPr>
          <w:color w:val="auto"/>
        </w:rPr>
      </w:pPr>
      <w:r>
        <w:rPr>
          <w:color w:val="auto"/>
        </w:rPr>
        <w:t>7.跨地区经营的汇总纳税纳税人，总机构应分摊的预缴比例填报25%，中央财政集中分配的预缴比例填报25%，分支机构应分摊的预缴比例填报50%；省内经营的汇总纳税纳税人，其分摊的预缴比例按各省规定执行填报。</w:t>
      </w:r>
    </w:p>
    <w:p>
      <w:pPr>
        <w:ind w:firstLine="472"/>
        <w:rPr>
          <w:color w:val="auto"/>
        </w:rPr>
      </w:pPr>
      <w:r>
        <w:rPr>
          <w:color w:val="auto"/>
        </w:rPr>
        <w:t>8.建筑企业总机构直接管理的跨地区设立的项目部，应按项目实际经营收入的0.2%按月或按季由总机构向项目所在地预分企业所得税，并由项目部向所在地主管税务机关预缴。</w:t>
      </w:r>
    </w:p>
    <w:p>
      <w:pPr>
        <w:ind w:firstLine="472"/>
        <w:rPr>
          <w:rFonts w:hint="eastAsia" w:eastAsia="宋体"/>
          <w:color w:val="auto"/>
          <w:lang w:eastAsia="zh-CN"/>
        </w:rPr>
      </w:pPr>
      <w:r>
        <w:rPr>
          <w:rFonts w:hint="eastAsia"/>
          <w:color w:val="auto"/>
        </w:rPr>
        <w:t>9</w:t>
      </w:r>
      <w:r>
        <w:rPr>
          <w:color w:val="auto"/>
        </w:rPr>
        <w:t>.对月（季）度预缴企业所得税征前减免，税务机关应统一按纳税人申报的本期期末累计与上期期末累计的减免税差额，在减免税登记簿中登记本期减免税发生额。</w:t>
      </w:r>
    </w:p>
    <w:p>
      <w:pPr>
        <w:ind w:firstLine="472"/>
        <w:rPr>
          <w:color w:val="auto"/>
        </w:rPr>
      </w:pPr>
      <w:r>
        <w:rPr>
          <w:rFonts w:hint="eastAsia"/>
          <w:color w:val="auto"/>
        </w:rPr>
        <w:t>减免税登记簿中“减免所得税额”“免税收入”“减征、免征应纳税所得额”“小型微利企业减免所得税额”等“减免项目”内容不再登记。</w:t>
      </w:r>
    </w:p>
    <w:p>
      <w:pPr>
        <w:ind w:firstLine="472"/>
        <w:jc w:val="left"/>
        <w:rPr>
          <w:color w:val="auto"/>
        </w:rPr>
      </w:pPr>
      <w:r>
        <w:rPr>
          <w:rFonts w:hint="eastAsia"/>
          <w:color w:val="auto"/>
        </w:rPr>
        <w:t>10</w:t>
      </w:r>
      <w:r>
        <w:rPr>
          <w:color w:val="auto"/>
        </w:rPr>
        <w:t>.</w:t>
      </w:r>
      <w:r>
        <w:rPr>
          <w:rFonts w:hint="eastAsia"/>
          <w:color w:val="auto"/>
        </w:rPr>
        <w:t>月（季）度预缴纳税申报期限为月份或者季度终了之日起的</w:t>
      </w:r>
      <w:r>
        <w:rPr>
          <w:color w:val="auto"/>
        </w:rPr>
        <w:t>15日内，遇最后一日是法定休假日的，以休假日期满的次日为期限的最后一日；在期限内有连续3日以上法定休假日的，按休假日天数顺延</w:t>
      </w:r>
      <w:r>
        <w:rPr>
          <w:rFonts w:hint="eastAsia"/>
          <w:color w:val="auto"/>
        </w:rPr>
        <w:t>。</w:t>
      </w:r>
    </w:p>
    <w:p>
      <w:pPr>
        <w:ind w:firstLine="472"/>
        <w:rPr>
          <w:color w:val="auto"/>
        </w:rPr>
      </w:pPr>
      <w:r>
        <w:rPr>
          <w:rFonts w:hint="eastAsia"/>
          <w:color w:val="auto"/>
        </w:rPr>
        <w:t>11.纳税人对报送资料的真实性和合法性承担责任。</w:t>
      </w:r>
    </w:p>
    <w:p>
      <w:pPr>
        <w:ind w:firstLine="472"/>
        <w:jc w:val="left"/>
        <w:rPr>
          <w:rFonts w:hint="eastAsia"/>
          <w:color w:val="auto"/>
        </w:rPr>
      </w:pPr>
      <w:r>
        <w:rPr>
          <w:rFonts w:hint="eastAsia"/>
          <w:color w:val="auto"/>
        </w:rPr>
        <w:t>12.最多跑一次是在资料完整且符合法定受理条件的前提下，最多只需要到税务机关跑一次。</w:t>
      </w:r>
    </w:p>
    <w:p>
      <w:pPr>
        <w:ind w:firstLine="472"/>
        <w:jc w:val="left"/>
        <w:rPr>
          <w:rFonts w:hint="eastAsia"/>
          <w:color w:val="auto"/>
          <w:lang w:val="en-US" w:eastAsia="zh-CN"/>
        </w:rPr>
      </w:pPr>
      <w:r>
        <w:rPr>
          <w:rFonts w:hint="eastAsia"/>
          <w:color w:val="auto"/>
          <w:lang w:val="en-US" w:eastAsia="zh-CN"/>
        </w:rPr>
        <w:t>13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A052B07"/>
    <w:multiLevelType w:val="singleLevel"/>
    <w:tmpl w:val="2A052B07"/>
    <w:lvl w:ilvl="0" w:tentative="0">
      <w:start w:val="1"/>
      <w:numFmt w:val="bullet"/>
      <w:lvlText w:val=""/>
      <w:lvlJc w:val="left"/>
      <w:pPr>
        <w:ind w:left="420" w:hanging="420"/>
      </w:pPr>
      <w:rPr>
        <w:rFonts w:hint="default" w:ascii="Wingdings" w:hAnsi="Wingdings"/>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506760"/>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2019-10-31T03:44:55Z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