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s="黑体"/>
          <w:color w:val="auto"/>
        </w:rPr>
      </w:pPr>
      <w:bookmarkStart w:id="1" w:name="_GoBack"/>
      <w:bookmarkEnd w:id="1"/>
      <w:bookmarkStart w:id="0" w:name="_Toc13032"/>
      <w:r>
        <w:rPr>
          <w:rFonts w:hint="eastAsia" w:ascii="黑体" w:hAnsi="黑体" w:cs="黑体"/>
          <w:color w:val="auto"/>
        </w:rPr>
        <w:t>1.1.4.5水资源税税源信息采集</w:t>
      </w:r>
      <w:bookmarkEnd w:id="0"/>
    </w:p>
    <w:p>
      <w:pPr>
        <w:pStyle w:val="3"/>
        <w:ind w:firstLine="552"/>
        <w:rPr>
          <w:color w:val="auto"/>
        </w:rPr>
      </w:pPr>
      <w:r>
        <w:rPr>
          <w:rFonts w:hint="eastAsia"/>
          <w:color w:val="auto"/>
        </w:rPr>
        <w:t>一、事项名称</w:t>
      </w:r>
    </w:p>
    <w:p>
      <w:pPr>
        <w:ind w:firstLine="471" w:firstLineChars="0"/>
        <w:rPr>
          <w:rFonts w:hint="eastAsia" w:ascii="宋体" w:hAnsi="宋体"/>
          <w:color w:val="auto"/>
        </w:rPr>
      </w:pPr>
      <w:r>
        <w:rPr>
          <w:rFonts w:hint="eastAsia" w:ascii="宋体" w:hAnsi="宋体"/>
          <w:color w:val="auto"/>
        </w:rPr>
        <w:t>水资源税税源信息采集</w:t>
      </w:r>
    </w:p>
    <w:p>
      <w:pPr>
        <w:pStyle w:val="41"/>
        <w:ind w:firstLine="552"/>
        <w:outlineLvl w:val="1"/>
        <w:rPr>
          <w:rFonts w:ascii="黑体" w:hAnsi="黑体" w:eastAsia="黑体"/>
          <w:color w:val="auto"/>
          <w:sz w:val="28"/>
          <w:szCs w:val="28"/>
        </w:rPr>
      </w:pPr>
      <w:r>
        <w:rPr>
          <w:rFonts w:hint="eastAsia" w:ascii="黑体" w:hAnsi="黑体" w:eastAsia="黑体"/>
          <w:color w:val="auto"/>
          <w:sz w:val="28"/>
          <w:szCs w:val="28"/>
        </w:rPr>
        <w:t>二、事项类别</w:t>
      </w:r>
    </w:p>
    <w:p>
      <w:pPr>
        <w:pStyle w:val="49"/>
        <w:numPr>
          <w:ilvl w:val="0"/>
          <w:numId w:val="3"/>
        </w:numPr>
        <w:ind w:firstLineChars="0"/>
        <w:rPr>
          <w:color w:val="auto"/>
        </w:rPr>
      </w:pPr>
      <w:r>
        <w:rPr>
          <w:rFonts w:hint="eastAsia"/>
          <w:color w:val="auto"/>
        </w:rPr>
        <w:t>发起方式：人工发起（纳税人）</w:t>
      </w:r>
    </w:p>
    <w:p>
      <w:pPr>
        <w:pStyle w:val="49"/>
        <w:numPr>
          <w:ilvl w:val="0"/>
          <w:numId w:val="3"/>
        </w:numPr>
        <w:ind w:firstLineChars="0"/>
        <w:rPr>
          <w:color w:val="auto"/>
        </w:rPr>
      </w:pPr>
      <w:r>
        <w:rPr>
          <w:rFonts w:hint="eastAsia"/>
          <w:color w:val="auto"/>
        </w:rPr>
        <w:t>办结方式：即办</w:t>
      </w:r>
    </w:p>
    <w:p>
      <w:pPr>
        <w:pStyle w:val="49"/>
        <w:numPr>
          <w:ilvl w:val="0"/>
          <w:numId w:val="3"/>
        </w:numPr>
        <w:ind w:firstLineChars="0"/>
        <w:rPr>
          <w:color w:val="auto"/>
        </w:rPr>
      </w:pPr>
      <w:r>
        <w:rPr>
          <w:rFonts w:hint="eastAsia"/>
          <w:color w:val="auto"/>
        </w:rPr>
        <w:t>全省通办：是</w:t>
      </w:r>
    </w:p>
    <w:p>
      <w:pPr>
        <w:pStyle w:val="49"/>
        <w:numPr>
          <w:ilvl w:val="0"/>
          <w:numId w:val="3"/>
        </w:numPr>
        <w:ind w:firstLineChars="0"/>
        <w:rPr>
          <w:color w:val="auto"/>
        </w:rPr>
      </w:pPr>
      <w:r>
        <w:rPr>
          <w:rFonts w:hint="eastAsia"/>
          <w:color w:val="auto"/>
        </w:rPr>
        <w:t>网上办理：是</w:t>
      </w:r>
    </w:p>
    <w:p>
      <w:pPr>
        <w:pStyle w:val="49"/>
        <w:numPr>
          <w:ilvl w:val="0"/>
          <w:numId w:val="3"/>
        </w:numPr>
        <w:ind w:firstLineChars="0"/>
        <w:rPr>
          <w:color w:val="auto"/>
        </w:rPr>
      </w:pPr>
      <w:r>
        <w:rPr>
          <w:rFonts w:hint="eastAsia"/>
          <w:color w:val="auto"/>
        </w:rPr>
        <w:t>适用层级：县</w:t>
      </w:r>
      <w:r>
        <w:rPr>
          <w:color w:val="auto"/>
        </w:rPr>
        <w:t>(</w:t>
      </w:r>
      <w:r>
        <w:rPr>
          <w:rFonts w:hint="eastAsia"/>
          <w:color w:val="auto"/>
        </w:rPr>
        <w:t>市、区</w:t>
      </w:r>
      <w:r>
        <w:rPr>
          <w:color w:val="auto"/>
        </w:rPr>
        <w:t>)</w:t>
      </w:r>
      <w:r>
        <w:rPr>
          <w:rFonts w:hint="eastAsia"/>
          <w:color w:val="auto"/>
        </w:rPr>
        <w:t>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w:t>
      </w:r>
      <w:r>
        <w:rPr>
          <w:rFonts w:hint="eastAsia" w:ascii="等线 Light" w:hAnsi="等线 Light" w:eastAsia="黑体" w:cs="Times New Roman"/>
          <w:bCs/>
          <w:color w:val="auto"/>
          <w:sz w:val="28"/>
          <w:szCs w:val="32"/>
          <w:lang w:eastAsia="zh-CN"/>
        </w:rPr>
        <w:t>办理条件</w:t>
      </w:r>
    </w:p>
    <w:p>
      <w:pPr>
        <w:ind w:firstLine="472"/>
        <w:rPr>
          <w:color w:val="auto"/>
        </w:rPr>
      </w:pPr>
      <w:r>
        <w:rPr>
          <w:rFonts w:hint="eastAsia"/>
          <w:color w:val="auto"/>
        </w:rPr>
        <w:t>水资源税税源信息采集是指纳税人根据税务登记信息、取水许可状态、适用税额等次、水源类型、取用水行业、地下水超采区类型、供水管网是否覆盖等取用水情况，填报《水资源税税源信息采集表》的业务活动。</w:t>
      </w:r>
    </w:p>
    <w:p>
      <w:pPr>
        <w:pStyle w:val="3"/>
        <w:ind w:firstLine="552"/>
        <w:rPr>
          <w:color w:val="auto"/>
        </w:rPr>
      </w:pPr>
      <w:r>
        <w:rPr>
          <w:rFonts w:hint="eastAsia"/>
          <w:color w:val="auto"/>
        </w:rPr>
        <w:t>四、设定依据</w:t>
      </w:r>
    </w:p>
    <w:p>
      <w:pPr>
        <w:ind w:firstLine="472"/>
        <w:rPr>
          <w:rFonts w:hint="eastAsia" w:eastAsia="宋体"/>
          <w:color w:val="auto"/>
          <w:lang w:eastAsia="zh-CN"/>
        </w:rPr>
      </w:pPr>
      <w:r>
        <w:rPr>
          <w:color w:val="auto"/>
        </w:rPr>
        <w:t>1.</w:t>
      </w:r>
      <w:r>
        <w:rPr>
          <w:rFonts w:hint="eastAsia"/>
          <w:color w:val="auto"/>
        </w:rPr>
        <w:t>《财政部　国家税务总局　水利部关于印发〈扩大水资源税改革试点实施办法〉的通知》（财税〔2017〕80号）</w:t>
      </w:r>
      <w:r>
        <w:rPr>
          <w:rFonts w:hint="eastAsia"/>
          <w:color w:val="auto"/>
          <w:lang w:eastAsia="zh-CN"/>
        </w:rPr>
        <w:t>第二十二条</w:t>
      </w:r>
    </w:p>
    <w:p>
      <w:pPr>
        <w:ind w:firstLine="472"/>
        <w:rPr>
          <w:rFonts w:hint="eastAsia"/>
          <w:color w:val="auto"/>
          <w:lang w:eastAsia="zh-CN"/>
        </w:rPr>
      </w:pPr>
      <w:r>
        <w:rPr>
          <w:rFonts w:hint="eastAsia"/>
          <w:color w:val="auto"/>
          <w:lang w:eastAsia="zh-CN"/>
        </w:rPr>
        <w:t>“水行政主管部门应当将取用水单位和个人的取水许可、实际取用水量、超计划（定额）取用水量、违法取水处罚等水资源管理相关信息，定期送交税务机关。</w:t>
      </w:r>
    </w:p>
    <w:p>
      <w:pPr>
        <w:ind w:firstLine="472"/>
        <w:rPr>
          <w:rFonts w:hint="eastAsia"/>
          <w:color w:val="auto"/>
          <w:lang w:eastAsia="zh-CN"/>
        </w:rPr>
      </w:pPr>
      <w:r>
        <w:rPr>
          <w:rFonts w:hint="eastAsia"/>
          <w:color w:val="auto"/>
          <w:lang w:eastAsia="zh-CN"/>
        </w:rPr>
        <w:t>纳税人根据水行政主管部门核定的实际取用水量向税务机关申报纳税。税务机关应当按照核定的实际取用水量征收水资源税，并将纳税人的申报纳税等信息定期送交水行政主管部门。</w:t>
      </w:r>
    </w:p>
    <w:p>
      <w:pPr>
        <w:ind w:firstLine="472"/>
        <w:rPr>
          <w:rFonts w:hint="eastAsia" w:eastAsia="宋体"/>
          <w:color w:val="auto"/>
          <w:lang w:eastAsia="zh-CN"/>
        </w:rPr>
      </w:pPr>
      <w:r>
        <w:rPr>
          <w:rFonts w:hint="eastAsia"/>
          <w:color w:val="auto"/>
          <w:lang w:eastAsia="zh-CN"/>
        </w:rPr>
        <w:t>税务机关定期将纳税人申报信息与水行政主管部门送交的信息进行分析比对。征管过程中发现问题的，由税务机关与水行政主管部门联合进行核查。”</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tcBorders>
              <w:bottom w:val="single" w:color="auto" w:sz="12" w:space="0"/>
            </w:tcBorders>
            <w:vAlign w:val="center"/>
          </w:tcPr>
          <w:p>
            <w:pPr>
              <w:pStyle w:val="13"/>
              <w:widowControl/>
              <w:spacing w:beforeAutospacing="0" w:afterAutospacing="0" w:line="280" w:lineRule="exact"/>
              <w:ind w:firstLine="353"/>
              <w:jc w:val="center"/>
              <w:rPr>
                <w:rStyle w:val="17"/>
                <w:rFonts w:ascii="宋体" w:hAnsi="宋体" w:eastAsia="宋体" w:cs="微软雅黑"/>
                <w:b w:val="0"/>
                <w:color w:val="auto"/>
                <w:sz w:val="18"/>
                <w:szCs w:val="18"/>
              </w:rPr>
            </w:pPr>
            <w:r>
              <w:rPr>
                <w:rStyle w:val="17"/>
                <w:rFonts w:ascii="宋体" w:hAnsi="宋体" w:eastAsia="宋体" w:cs="微软雅黑"/>
                <w:b w:val="0"/>
                <w:color w:val="auto"/>
                <w:sz w:val="18"/>
                <w:szCs w:val="18"/>
              </w:rPr>
              <w:t>1</w:t>
            </w:r>
          </w:p>
        </w:tc>
        <w:tc>
          <w:tcPr>
            <w:tcW w:w="2551" w:type="dxa"/>
            <w:tcBorders>
              <w:bottom w:val="single" w:color="auto" w:sz="12" w:space="0"/>
            </w:tcBorders>
            <w:vAlign w:val="center"/>
          </w:tcPr>
          <w:p>
            <w:pPr>
              <w:pStyle w:val="13"/>
              <w:spacing w:beforeAutospacing="0" w:afterAutospacing="0" w:line="280" w:lineRule="exact"/>
              <w:rPr>
                <w:rFonts w:ascii="宋体" w:hAnsi="宋体" w:eastAsia="宋体" w:cs="微软雅黑"/>
                <w:color w:val="auto"/>
                <w:sz w:val="18"/>
                <w:szCs w:val="18"/>
              </w:rPr>
            </w:pPr>
            <w:r>
              <w:rPr>
                <w:rFonts w:hint="eastAsia" w:ascii="宋体" w:hAnsi="宋体" w:eastAsia="宋体" w:cs="微软雅黑"/>
                <w:color w:val="auto"/>
                <w:sz w:val="18"/>
                <w:szCs w:val="18"/>
              </w:rPr>
              <w:t>《水资源税税源信息采集表》</w:t>
            </w:r>
          </w:p>
        </w:tc>
        <w:tc>
          <w:tcPr>
            <w:tcW w:w="709" w:type="dxa"/>
            <w:tcBorders>
              <w:bottom w:val="single" w:color="auto" w:sz="12" w:space="0"/>
            </w:tcBorders>
            <w:vAlign w:val="center"/>
          </w:tcPr>
          <w:p>
            <w:pPr>
              <w:pStyle w:val="13"/>
              <w:widowControl/>
              <w:spacing w:beforeAutospacing="0" w:afterAutospacing="0" w:line="280" w:lineRule="exact"/>
              <w:jc w:val="center"/>
              <w:rPr>
                <w:rStyle w:val="17"/>
                <w:rFonts w:ascii="宋体" w:hAnsi="宋体" w:eastAsia="宋体" w:cs="微软雅黑"/>
                <w:b w:val="0"/>
                <w:color w:val="auto"/>
                <w:sz w:val="18"/>
                <w:szCs w:val="18"/>
              </w:rPr>
            </w:pPr>
            <w:r>
              <w:rPr>
                <w:rStyle w:val="17"/>
                <w:rFonts w:ascii="宋体" w:hAnsi="宋体" w:eastAsia="宋体" w:cs="微软雅黑"/>
                <w:b w:val="0"/>
                <w:color w:val="auto"/>
                <w:sz w:val="18"/>
                <w:szCs w:val="18"/>
              </w:rPr>
              <w:t>2</w:t>
            </w:r>
          </w:p>
        </w:tc>
        <w:tc>
          <w:tcPr>
            <w:tcW w:w="992" w:type="dxa"/>
            <w:tcBorders>
              <w:bottom w:val="single" w:color="auto" w:sz="12" w:space="0"/>
            </w:tcBorders>
            <w:vAlign w:val="center"/>
          </w:tcPr>
          <w:p>
            <w:pPr>
              <w:pStyle w:val="13"/>
              <w:widowControl/>
              <w:spacing w:beforeAutospacing="0" w:afterAutospacing="0" w:line="280" w:lineRule="exact"/>
              <w:jc w:val="center"/>
              <w:rPr>
                <w:rStyle w:val="17"/>
                <w:rFonts w:ascii="宋体" w:hAnsi="宋体" w:eastAsia="宋体" w:cs="微软雅黑"/>
                <w:b w:val="0"/>
                <w:color w:val="auto"/>
                <w:sz w:val="18"/>
                <w:szCs w:val="18"/>
              </w:rPr>
            </w:pPr>
            <w:r>
              <w:rPr>
                <w:rStyle w:val="17"/>
                <w:rFonts w:hint="eastAsia" w:ascii="宋体" w:hAnsi="宋体" w:eastAsia="宋体" w:cs="微软雅黑"/>
                <w:b w:val="0"/>
                <w:color w:val="auto"/>
                <w:sz w:val="18"/>
                <w:szCs w:val="18"/>
              </w:rPr>
              <w:t>必报</w:t>
            </w:r>
          </w:p>
        </w:tc>
        <w:tc>
          <w:tcPr>
            <w:tcW w:w="1134" w:type="dxa"/>
            <w:tcBorders>
              <w:bottom w:val="single" w:color="auto" w:sz="12" w:space="0"/>
            </w:tcBorders>
            <w:vAlign w:val="center"/>
          </w:tcPr>
          <w:p>
            <w:pPr>
              <w:pStyle w:val="13"/>
              <w:widowControl/>
              <w:spacing w:beforeAutospacing="0" w:afterAutospacing="0" w:line="280" w:lineRule="exact"/>
              <w:jc w:val="center"/>
              <w:rPr>
                <w:rStyle w:val="17"/>
                <w:rFonts w:ascii="宋体" w:hAnsi="宋体" w:eastAsia="宋体" w:cs="微软雅黑"/>
                <w:b w:val="0"/>
                <w:color w:val="auto"/>
                <w:sz w:val="18"/>
                <w:szCs w:val="18"/>
              </w:rPr>
            </w:pP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cs="宋体"/>
                <w:color w:val="auto"/>
                <w:kern w:val="0"/>
                <w:sz w:val="18"/>
                <w:szCs w:val="18"/>
              </w:rPr>
              <w:t>1</w:t>
            </w:r>
            <w:r>
              <w:rPr>
                <w:rFonts w:hint="eastAsia" w:cs="宋体"/>
                <w:color w:val="auto"/>
                <w:kern w:val="0"/>
                <w:sz w:val="18"/>
                <w:szCs w:val="18"/>
              </w:rPr>
              <w:t>份</w:t>
            </w: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六、办理流程</w:t>
      </w:r>
    </w:p>
    <w:p>
      <w:pPr>
        <w:spacing w:line="240" w:lineRule="auto"/>
        <w:ind w:firstLineChars="0"/>
        <w:rPr>
          <w:color w:val="auto"/>
        </w:rPr>
      </w:pPr>
    </w:p>
    <w:p>
      <w:pPr>
        <w:spacing w:line="240" w:lineRule="auto"/>
        <w:ind w:left="471" w:firstLine="0" w:firstLineChars="0"/>
        <w:rPr>
          <w:color w:val="auto"/>
        </w:rPr>
      </w:pPr>
      <w:r>
        <w:rPr>
          <w:color w:val="auto"/>
        </w:rPr>
        <w:drawing>
          <wp:inline distT="0" distB="0" distL="114300" distR="114300">
            <wp:extent cx="5295900" cy="12382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5295900" cy="1238250"/>
                    </a:xfrm>
                    <a:prstGeom prst="rect">
                      <a:avLst/>
                    </a:prstGeom>
                    <a:noFill/>
                    <a:ln w="9525">
                      <a:noFill/>
                    </a:ln>
                  </pic:spPr>
                </pic:pic>
              </a:graphicData>
            </a:graphic>
          </wp:inline>
        </w:drawing>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eastAsia="宋体"/>
          <w:color w:val="auto"/>
          <w:lang w:eastAsia="zh-CN"/>
        </w:rPr>
      </w:pPr>
      <w:r>
        <w:rPr>
          <w:color w:val="auto"/>
        </w:rPr>
        <w:t>1.</w:t>
      </w:r>
      <w:r>
        <w:rPr>
          <w:rFonts w:hint="eastAsia"/>
          <w:color w:val="auto"/>
        </w:rPr>
        <w:t>A01076《水资源税税源信息采集表》</w:t>
      </w:r>
    </w:p>
    <w:p>
      <w:pPr>
        <w:pStyle w:val="3"/>
        <w:ind w:firstLine="552"/>
        <w:rPr>
          <w:color w:val="auto"/>
        </w:rPr>
      </w:pPr>
      <w:r>
        <w:rPr>
          <w:rFonts w:hint="eastAsia"/>
          <w:color w:val="auto"/>
        </w:rPr>
        <w:t>九、注意事项</w:t>
      </w:r>
    </w:p>
    <w:p>
      <w:pPr>
        <w:ind w:firstLine="472"/>
        <w:jc w:val="left"/>
        <w:rPr>
          <w:color w:val="auto"/>
        </w:rPr>
      </w:pPr>
      <w:r>
        <w:rPr>
          <w:color w:val="auto"/>
        </w:rPr>
        <w:t>1.</w:t>
      </w:r>
      <w:r>
        <w:rPr>
          <w:rFonts w:hint="eastAsia"/>
          <w:color w:val="auto"/>
        </w:rPr>
        <w:t>附报资料中已通过电子税务局等渠道提交电子资料的不再报送纸质资料。</w:t>
      </w:r>
    </w:p>
    <w:p>
      <w:pPr>
        <w:ind w:firstLine="472"/>
        <w:jc w:val="left"/>
        <w:rPr>
          <w:color w:val="auto"/>
        </w:rPr>
      </w:pPr>
      <w:r>
        <w:rPr>
          <w:color w:val="auto"/>
        </w:rPr>
        <w:t>2.</w:t>
      </w:r>
      <w:r>
        <w:rPr>
          <w:rFonts w:hint="eastAsia"/>
          <w:color w:val="auto"/>
        </w:rPr>
        <w:t>纳税人据以填报《水资源税税源信息采集表》的取水许可证、年度用水计划、地下水超采区类型、供水管网是否覆盖的证明材料等，由纳税人留存备查。</w:t>
      </w:r>
    </w:p>
    <w:p>
      <w:pPr>
        <w:ind w:firstLine="472"/>
        <w:jc w:val="left"/>
        <w:rPr>
          <w:color w:val="auto"/>
        </w:rPr>
      </w:pPr>
      <w:r>
        <w:rPr>
          <w:color w:val="auto"/>
        </w:rPr>
        <w:t>3.</w:t>
      </w:r>
      <w:r>
        <w:rPr>
          <w:rFonts w:hint="eastAsia"/>
          <w:color w:val="auto"/>
        </w:rPr>
        <w:t>规定限额内的农业生产取用水</w:t>
      </w:r>
      <w:r>
        <w:rPr>
          <w:color w:val="auto"/>
        </w:rPr>
        <w:t>;</w:t>
      </w:r>
      <w:r>
        <w:rPr>
          <w:rFonts w:hint="eastAsia"/>
          <w:color w:val="auto"/>
        </w:rPr>
        <w:t>采油排水经分离净化后在封闭管道回注的</w:t>
      </w:r>
      <w:r>
        <w:rPr>
          <w:color w:val="auto"/>
        </w:rPr>
        <w:t>;</w:t>
      </w:r>
      <w:r>
        <w:rPr>
          <w:rFonts w:hint="eastAsia"/>
          <w:color w:val="auto"/>
        </w:rPr>
        <w:t>抽水蓄能发电取用水</w:t>
      </w:r>
      <w:r>
        <w:rPr>
          <w:color w:val="auto"/>
        </w:rPr>
        <w:t>;</w:t>
      </w:r>
      <w:r>
        <w:rPr>
          <w:rFonts w:hint="eastAsia"/>
          <w:color w:val="auto"/>
        </w:rPr>
        <w:t>取用污水处理再生水</w:t>
      </w:r>
      <w:r>
        <w:rPr>
          <w:color w:val="auto"/>
        </w:rPr>
        <w:t>;</w:t>
      </w:r>
      <w:r>
        <w:rPr>
          <w:rFonts w:hint="eastAsia"/>
          <w:color w:val="auto"/>
        </w:rPr>
        <w:t>除接入城镇公共供水管网以外，军队、武警部队通过其他方式取用水的，不作水资源税税源信息采集。</w:t>
      </w:r>
    </w:p>
    <w:p>
      <w:pPr>
        <w:ind w:firstLine="472"/>
        <w:jc w:val="left"/>
        <w:rPr>
          <w:color w:val="auto"/>
        </w:rPr>
      </w:pPr>
      <w:r>
        <w:rPr>
          <w:color w:val="auto"/>
        </w:rPr>
        <w:t>4.</w:t>
      </w:r>
      <w:r>
        <w:rPr>
          <w:rFonts w:hint="eastAsia"/>
          <w:color w:val="auto"/>
        </w:rPr>
        <w:t>纳税人对报送资料的真实性和合法性承担责任。</w:t>
      </w:r>
    </w:p>
    <w:p>
      <w:pPr>
        <w:ind w:firstLine="472"/>
        <w:jc w:val="left"/>
        <w:rPr>
          <w:rFonts w:hint="eastAsia"/>
          <w:color w:val="auto"/>
          <w:lang w:eastAsia="zh-CN"/>
        </w:rPr>
      </w:pPr>
      <w:r>
        <w:rPr>
          <w:color w:val="auto"/>
        </w:rPr>
        <w:t>5.</w:t>
      </w:r>
      <w:r>
        <w:rPr>
          <w:rFonts w:hint="eastAsia"/>
          <w:color w:val="auto"/>
        </w:rPr>
        <w:t>最多跑一次是在资料完整且符合法定受理条件的前提下，最多只需要到税务机关跑一次</w:t>
      </w:r>
      <w:r>
        <w:rPr>
          <w:rFonts w:hint="eastAsia"/>
          <w:color w:val="auto"/>
          <w:lang w:eastAsia="zh-CN"/>
        </w:rPr>
        <w:t>。</w:t>
      </w:r>
    </w:p>
    <w:p>
      <w:pPr>
        <w:ind w:firstLine="472"/>
        <w:jc w:val="left"/>
        <w:rPr>
          <w:rFonts w:hint="eastAsia"/>
          <w:color w:val="auto"/>
          <w:lang w:eastAsia="zh-CN"/>
        </w:rPr>
      </w:pPr>
      <w:r>
        <w:rPr>
          <w:rFonts w:hint="eastAsia"/>
          <w:color w:val="auto"/>
          <w:lang w:val="en-US" w:eastAsia="zh-CN"/>
        </w:rPr>
        <w:t>6</w:t>
      </w:r>
      <w:r>
        <w:rPr>
          <w:rFonts w:hint="eastAsia"/>
          <w:color w:val="auto"/>
          <w:lang w:eastAsia="zh-CN"/>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93F17"/>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2019-10-31T03:32:22Z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