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8753"/>
      <w:r>
        <w:rPr>
          <w:rFonts w:hint="eastAsia" w:ascii="黑体" w:hAnsi="黑体"/>
          <w:color w:val="auto"/>
        </w:rPr>
        <w:t>1.3.1.5航空运输企业年度清算申报</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航空运输企业年度清算申报</w:t>
      </w:r>
    </w:p>
    <w:p>
      <w:pPr>
        <w:pStyle w:val="3"/>
        <w:ind w:firstLine="552"/>
        <w:rPr>
          <w:color w:val="auto"/>
        </w:rPr>
      </w:pPr>
      <w:r>
        <w:rPr>
          <w:rFonts w:hint="eastAsia"/>
          <w:color w:val="auto"/>
        </w:rPr>
        <w:t>二、事项类别</w:t>
      </w:r>
    </w:p>
    <w:p>
      <w:pPr>
        <w:pStyle w:val="49"/>
        <w:numPr>
          <w:ilvl w:val="0"/>
          <w:numId w:val="3"/>
        </w:numPr>
        <w:ind w:left="0" w:firstLine="472"/>
        <w:rPr>
          <w:color w:val="auto"/>
        </w:rPr>
      </w:pPr>
      <w:r>
        <w:rPr>
          <w:rFonts w:hint="eastAsia"/>
          <w:color w:val="auto"/>
        </w:rPr>
        <w:t>发起方式：人工</w:t>
      </w:r>
      <w:r>
        <w:rPr>
          <w:color w:val="auto"/>
        </w:rPr>
        <w:t>发起（</w:t>
      </w:r>
      <w:r>
        <w:rPr>
          <w:rFonts w:hint="eastAsia"/>
          <w:color w:val="auto"/>
        </w:rPr>
        <w:t>纳税人）</w:t>
      </w:r>
    </w:p>
    <w:p>
      <w:pPr>
        <w:pStyle w:val="49"/>
        <w:numPr>
          <w:ilvl w:val="0"/>
          <w:numId w:val="3"/>
        </w:numPr>
        <w:ind w:left="0" w:firstLine="472"/>
        <w:rPr>
          <w:color w:val="auto"/>
        </w:rPr>
      </w:pPr>
      <w:r>
        <w:rPr>
          <w:rFonts w:hint="eastAsia"/>
          <w:color w:val="auto"/>
        </w:rPr>
        <w:t>办结方式：即办</w:t>
      </w:r>
    </w:p>
    <w:p>
      <w:pPr>
        <w:pStyle w:val="49"/>
        <w:numPr>
          <w:ilvl w:val="0"/>
          <w:numId w:val="3"/>
        </w:numPr>
        <w:ind w:left="0" w:firstLine="472"/>
        <w:rPr>
          <w:color w:val="auto"/>
        </w:rPr>
      </w:pPr>
      <w:r>
        <w:rPr>
          <w:rFonts w:hint="eastAsia"/>
          <w:color w:val="auto"/>
        </w:rPr>
        <w:t>全省通办：否</w:t>
      </w:r>
    </w:p>
    <w:p>
      <w:pPr>
        <w:pStyle w:val="49"/>
        <w:numPr>
          <w:ilvl w:val="0"/>
          <w:numId w:val="3"/>
        </w:numPr>
        <w:ind w:left="0" w:firstLine="472"/>
        <w:rPr>
          <w:color w:val="auto"/>
        </w:rPr>
      </w:pPr>
      <w:r>
        <w:rPr>
          <w:rFonts w:hint="eastAsia"/>
          <w:color w:val="auto"/>
        </w:rPr>
        <w:t>网上办理：是</w:t>
      </w:r>
    </w:p>
    <w:p>
      <w:pPr>
        <w:pStyle w:val="49"/>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numPr>
          <w:ilvl w:val="0"/>
          <w:numId w:val="5"/>
        </w:numPr>
        <w:ind w:firstLine="552"/>
        <w:rPr>
          <w:rFonts w:hint="eastAsia"/>
          <w:color w:val="auto"/>
        </w:rPr>
      </w:pPr>
      <w:r>
        <w:rPr>
          <w:rFonts w:hint="eastAsia"/>
          <w:color w:val="auto"/>
          <w:lang w:val="en-US" w:eastAsia="zh-CN"/>
        </w:rPr>
        <w:t>办理条件</w:t>
      </w:r>
    </w:p>
    <w:p>
      <w:pPr>
        <w:numPr>
          <w:ilvl w:val="0"/>
          <w:numId w:val="0"/>
        </w:numPr>
        <w:rPr>
          <w:rFonts w:hint="eastAsia" w:eastAsia="宋体"/>
          <w:color w:val="auto"/>
          <w:lang w:val="en-US" w:eastAsia="zh-CN"/>
        </w:rPr>
      </w:pPr>
      <w:r>
        <w:rPr>
          <w:rFonts w:hint="eastAsia"/>
          <w:color w:val="auto"/>
          <w:lang w:val="en-US" w:eastAsia="zh-CN"/>
        </w:rPr>
        <w:t>航空运输企业总机构在年度终了后25个工作日内，计算分支机构发生《应税服务范围注释》所列业务年度清算的应纳税额，并向主管税务机关报送《____年度航空运输企业年度清算表》，税务机关受理申报，并于年度终了后40个工作日内将《____年度航空运输企业年度清算表》逐级报送国家税务总局，国家税务总局根据分支机构年度清算的应纳税额情况，通知分支机构所在地的省税务机关，在一定时期内暂停分支机构预缴增值税或在分支机构预缴增值税时补缴入库。</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lang w:val="en-US" w:eastAsia="zh-CN"/>
        </w:rPr>
        <w:t>1.</w:t>
      </w:r>
      <w:r>
        <w:rPr>
          <w:rFonts w:hint="eastAsia"/>
          <w:color w:val="auto"/>
        </w:rPr>
        <w:t>《中华人民共和国税收征收管理法》第二十五条第一款</w:t>
      </w:r>
    </w:p>
    <w:p>
      <w:pPr>
        <w:ind w:firstLine="472"/>
        <w:rPr>
          <w:rFonts w:hint="eastAsia" w:eastAsia="宋体"/>
          <w:color w:val="auto"/>
          <w:lang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color w:val="auto"/>
                <w:sz w:val="18"/>
                <w:szCs w:val="18"/>
              </w:rPr>
              <w:t>1</w:t>
            </w:r>
          </w:p>
        </w:tc>
        <w:tc>
          <w:tcPr>
            <w:tcW w:w="2551" w:type="dxa"/>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w:t>
            </w:r>
            <w:r>
              <w:rPr>
                <w:rFonts w:ascii="宋体" w:hAnsi="宋体" w:eastAsia="宋体" w:cs="微软雅黑"/>
                <w:color w:val="auto"/>
                <w:sz w:val="18"/>
                <w:szCs w:val="18"/>
              </w:rPr>
              <w:t>___</w:t>
            </w:r>
            <w:r>
              <w:rPr>
                <w:rFonts w:hint="eastAsia" w:ascii="宋体" w:hAnsi="宋体" w:eastAsia="宋体" w:cs="微软雅黑"/>
                <w:color w:val="auto"/>
                <w:sz w:val="18"/>
                <w:szCs w:val="18"/>
              </w:rPr>
              <w:t>年度航空运输企业年度清算表》</w:t>
            </w:r>
          </w:p>
        </w:tc>
        <w:tc>
          <w:tcPr>
            <w:tcW w:w="709" w:type="dxa"/>
            <w:vAlign w:val="center"/>
          </w:tcPr>
          <w:p>
            <w:pPr>
              <w:pStyle w:val="13"/>
              <w:widowControl/>
              <w:spacing w:beforeAutospacing="0" w:afterAutospacing="0" w:line="280" w:lineRule="exact"/>
              <w:ind w:firstLine="352" w:firstLineChars="0"/>
              <w:rPr>
                <w:rFonts w:cs="宋体"/>
                <w:color w:val="auto"/>
                <w:kern w:val="0"/>
                <w:sz w:val="18"/>
                <w:szCs w:val="18"/>
              </w:rPr>
            </w:pPr>
            <w:r>
              <w:rPr>
                <w:rStyle w:val="17"/>
                <w:rFonts w:hint="eastAsia" w:ascii="宋体" w:hAnsi="宋体" w:eastAsia="宋体" w:cs="微软雅黑"/>
                <w:b w:val="0"/>
                <w:color w:val="auto"/>
                <w:sz w:val="18"/>
                <w:szCs w:val="18"/>
              </w:rPr>
              <w:t>2</w:t>
            </w:r>
          </w:p>
        </w:tc>
        <w:tc>
          <w:tcPr>
            <w:tcW w:w="992"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0" w:leftChars="0" w:firstLine="0" w:firstLineChars="0"/>
        <w:rPr>
          <w:color w:val="auto"/>
        </w:rPr>
      </w:pPr>
    </w:p>
    <w:p>
      <w:pPr>
        <w:spacing w:line="240" w:lineRule="auto"/>
        <w:ind w:left="472" w:firstLine="0" w:firstLineChars="0"/>
        <w:rPr>
          <w:color w:val="auto"/>
        </w:rPr>
      </w:pPr>
      <w:r>
        <w:rPr>
          <w:rFonts w:ascii="宋体" w:hAnsi="宋体" w:eastAsia="楷体" w:cs="Times New Roman"/>
          <w:b w:val="0"/>
          <w:bCs w:val="0"/>
          <w:color w:val="auto"/>
          <w:sz w:val="28"/>
        </w:rPr>
        <w:object>
          <v:shape id="_x0000_i1086" o:spt="75" type="#_x0000_t75" style="height:117.75pt;width:440.25pt;" o:ole="t" filled="f" o:preferrelative="t" stroked="f" coordsize="21600,21600">
            <v:path/>
            <v:fill on="f" focussize="0,0"/>
            <v:stroke on="f"/>
            <v:imagedata r:id="rId11" o:title=""/>
            <o:lock v:ext="edit" aspectratio="t"/>
            <w10:wrap type="none"/>
            <w10:anchorlock/>
          </v:shape>
          <o:OLEObject Type="Embed" ProgID="Visio.Drawing.11" ShapeID="_x0000_i108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A06512《___年度航空运输企业年度清算表》</w:t>
      </w:r>
    </w:p>
    <w:p>
      <w:pPr>
        <w:pStyle w:val="3"/>
        <w:ind w:firstLine="552"/>
        <w:rPr>
          <w:color w:val="auto"/>
        </w:rPr>
      </w:pPr>
      <w:r>
        <w:rPr>
          <w:rFonts w:hint="eastAsia"/>
          <w:color w:val="auto"/>
        </w:rPr>
        <w:t>九、注意事项</w:t>
      </w:r>
    </w:p>
    <w:p>
      <w:pPr>
        <w:rPr>
          <w:rFonts w:hint="eastAsia"/>
          <w:color w:val="auto"/>
        </w:rPr>
      </w:pPr>
      <w:r>
        <w:rPr>
          <w:rFonts w:hint="eastAsia"/>
          <w:color w:val="auto"/>
          <w:lang w:val="en-US" w:eastAsia="zh-CN"/>
        </w:rPr>
        <w:t>1.</w:t>
      </w:r>
      <w:r>
        <w:rPr>
          <w:rFonts w:hint="eastAsia"/>
          <w:color w:val="auto"/>
        </w:rPr>
        <w:t>分支机构年度清算的应纳税额小于分支机构已预缴税额，且差额较大的，由国家税务总局通知分支机构所在地的省税务机关，在一定时期内暂停分支机构预缴增值税；分支机构年度清算的应纳税额大于分支机构已预缴税额，差额部分由国家税务总局通知分支机构所在地的省税务机关，在分支机构预缴增值税时一并补缴入库。</w:t>
      </w:r>
    </w:p>
    <w:p>
      <w:pPr>
        <w:ind w:firstLine="472"/>
        <w:rPr>
          <w:color w:val="auto"/>
        </w:rPr>
      </w:pPr>
      <w:r>
        <w:rPr>
          <w:color w:val="auto"/>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406EC1"/>
    <w:multiLevelType w:val="singleLevel"/>
    <w:tmpl w:val="C5406EC1"/>
    <w:lvl w:ilvl="0" w:tentative="0">
      <w:start w:val="3"/>
      <w:numFmt w:val="chineseCounting"/>
      <w:suff w:val="nothing"/>
      <w:lvlText w:val="%1、"/>
      <w:lvlJc w:val="left"/>
      <w:rPr>
        <w:rFonts w:hint="eastAsia"/>
      </w:rPr>
    </w:lvl>
  </w:abstractNum>
  <w:abstractNum w:abstractNumId="1">
    <w:nsid w:val="011E04FB"/>
    <w:multiLevelType w:val="multilevel"/>
    <w:tmpl w:val="011E04FB"/>
    <w:lvl w:ilvl="0" w:tentative="0">
      <w:start w:val="1"/>
      <w:numFmt w:val="bullet"/>
      <w:lvlText w:val=""/>
      <w:lvlJc w:val="left"/>
      <w:pPr>
        <w:ind w:left="988" w:hanging="420"/>
      </w:pPr>
      <w:rPr>
        <w:rFonts w:hint="default" w:ascii="Wingdings" w:hAnsi="Wingdings"/>
        <w:color w:val="auto"/>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3F6790A"/>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2019-10-31T03:44:32Z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