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3944"/>
      <w:r>
        <w:rPr>
          <w:rFonts w:hint="eastAsia" w:ascii="黑体" w:hAnsi="黑体"/>
          <w:color w:val="auto"/>
          <w:lang w:val="en-US" w:eastAsia="zh-CN"/>
        </w:rPr>
        <w:t>1</w:t>
      </w:r>
      <w:r>
        <w:rPr>
          <w:rFonts w:hint="eastAsia" w:ascii="黑体" w:hAnsi="黑体"/>
          <w:color w:val="auto"/>
        </w:rPr>
        <w:t>.</w:t>
      </w:r>
      <w:r>
        <w:rPr>
          <w:rFonts w:hint="eastAsia" w:ascii="黑体" w:hAnsi="黑体"/>
          <w:color w:val="auto"/>
          <w:lang w:val="en-US" w:eastAsia="zh-CN"/>
        </w:rPr>
        <w:t>3</w:t>
      </w:r>
      <w:r>
        <w:rPr>
          <w:rFonts w:hint="eastAsia" w:ascii="黑体" w:hAnsi="黑体"/>
          <w:color w:val="auto"/>
        </w:rPr>
        <w:t>.1</w:t>
      </w:r>
      <w:r>
        <w:rPr>
          <w:rFonts w:hint="eastAsia" w:ascii="黑体" w:hAnsi="黑体"/>
          <w:color w:val="auto"/>
          <w:lang w:val="en-US" w:eastAsia="zh-CN"/>
        </w:rPr>
        <w:t>0</w:t>
      </w:r>
      <w:r>
        <w:rPr>
          <w:rFonts w:hint="eastAsia" w:ascii="黑体" w:hAnsi="黑体"/>
          <w:color w:val="auto"/>
        </w:rPr>
        <w:t>烟叶税申报</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烟叶税申报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rFonts w:hint="eastAsia"/>
          <w:color w:val="auto"/>
        </w:rPr>
      </w:pPr>
      <w:r>
        <w:rPr>
          <w:rFonts w:hint="eastAsia"/>
          <w:color w:val="auto"/>
        </w:rPr>
        <w:t>烟叶税申报是指在中华人民共和国境内收购烟叶的单位，依照税收法律、法规、规章及其他有关规定，在规定的纳税期限内，填报《烟叶税纳税申报表》和《烟叶收购情况表》向烟叶收购地的主管税务机关纳税申报的业务活动。</w:t>
      </w:r>
    </w:p>
    <w:p>
      <w:pPr>
        <w:ind w:firstLine="472"/>
        <w:rPr>
          <w:color w:val="auto"/>
        </w:rPr>
      </w:pPr>
      <w:r>
        <w:rPr>
          <w:rFonts w:hint="eastAsia"/>
          <w:color w:val="auto"/>
        </w:rPr>
        <w:t>烟叶，是指晾晒烟叶、烤烟叶。纳税人收购烟叶，应当向烟叶收购地的主管税务机关申报纳税。“烟叶收购地的主管税务机关”，是指烟叶收购地的县级税务局或者其所指定的税务分局、所。烟叶税的纳税义务发生时间为纳税人收购烟叶的当天。“收购烟叶的当天”，是指纳税人向烟叶销售者付讫收购烟叶款项或者开具收购烟叶凭据的当天。烟叶税按月计征，纳税人应当于纳税义务发生月终了之日起十五日内申报并缴纳税款。</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1.《中华人民共和国税收征收管理法》第二十五条第一款</w:t>
      </w:r>
    </w:p>
    <w:p>
      <w:pPr>
        <w:ind w:firstLine="472"/>
        <w:rPr>
          <w:rFonts w:hint="eastAsia" w:eastAsia="宋体"/>
          <w:color w:val="auto"/>
          <w:lang w:eastAsia="zh-CN"/>
        </w:rPr>
      </w:pPr>
      <w:r>
        <w:rPr>
          <w:rFonts w:hint="eastAsia"/>
          <w:color w:val="auto"/>
          <w:lang w:eastAsia="zh-CN"/>
        </w:rPr>
        <w:t>“</w:t>
      </w: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rFonts w:hint="eastAsia"/>
          <w:color w:val="auto"/>
          <w:lang w:eastAsia="zh-CN"/>
        </w:rPr>
        <w:t>”</w:t>
      </w:r>
    </w:p>
    <w:p>
      <w:pPr>
        <w:ind w:firstLine="472"/>
        <w:rPr>
          <w:rFonts w:hint="eastAsia"/>
          <w:color w:val="auto"/>
        </w:rPr>
      </w:pPr>
      <w:r>
        <w:rPr>
          <w:rFonts w:hint="eastAsia"/>
          <w:color w:val="auto"/>
        </w:rPr>
        <w:t>2.《中华人民共和国烟叶税法》第九条</w:t>
      </w:r>
    </w:p>
    <w:p>
      <w:pPr>
        <w:ind w:firstLine="472"/>
        <w:rPr>
          <w:rFonts w:hint="eastAsia" w:eastAsia="宋体"/>
          <w:color w:val="auto"/>
          <w:lang w:eastAsia="zh-CN"/>
        </w:rPr>
      </w:pPr>
      <w:r>
        <w:rPr>
          <w:rFonts w:hint="eastAsia"/>
          <w:color w:val="auto"/>
          <w:lang w:eastAsia="zh-CN"/>
        </w:rPr>
        <w:t>“</w:t>
      </w:r>
      <w:r>
        <w:rPr>
          <w:rFonts w:hint="eastAsia"/>
          <w:color w:val="auto"/>
        </w:rPr>
        <w:t>烟叶税按月计征,纳税人应当于纳税义务发生月终了之日起十五日内申报并缴纳税款。</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宋体"/>
                <w:color w:val="auto"/>
                <w:sz w:val="18"/>
                <w:szCs w:val="18"/>
              </w:rPr>
              <w:t>《烟叶税纳税申报表》</w:t>
            </w:r>
          </w:p>
        </w:tc>
        <w:tc>
          <w:tcPr>
            <w:tcW w:w="709"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r>
              <w:rPr>
                <w:rFonts w:ascii="宋体" w:hAnsi="宋体" w:eastAsia="宋体" w:cs="宋体"/>
                <w:color w:val="auto"/>
                <w:sz w:val="18"/>
                <w:szCs w:val="18"/>
              </w:rPr>
              <w:t>2</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宋体"/>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rPr>
          <w:rFonts w:hint="eastAsia"/>
          <w:color w:val="auto"/>
        </w:rPr>
      </w:pPr>
      <w:r>
        <w:rPr>
          <w:color w:val="auto"/>
        </w:rPr>
        <w:pict>
          <v:shape id="_x0000_s1053" o:spid="_x0000_s1053" o:spt="75" type="#_x0000_t75" style="position:absolute;left:0pt;margin-left:6.75pt;margin-top:34.7pt;height:101.35pt;width:423.6pt;mso-wrap-distance-bottom:0pt;mso-wrap-distance-left:9pt;mso-wrap-distance-right:9pt;mso-wrap-distance-top:0pt;z-index:251748352;mso-width-relative:page;mso-height-relative:page;" o:ole="t" filled="f" o:preferrelative="t" stroked="f" coordsize="21600,21600">
            <v:path/>
            <v:fill on="f" focussize="0,0"/>
            <v:stroke on="f"/>
            <v:imagedata r:id="rId10" o:title=""/>
            <o:lock v:ext="edit" aspectratio="t"/>
            <w10:wrap type="square"/>
          </v:shape>
          <o:OLEObject Type="Embed" ProgID="Visio.Drawing.15" ShapeID="_x0000_s1053" DrawAspect="Content" ObjectID="_1468075725">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1.A06112《烟叶税纳税申报表》</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1.税（费）种申报监控。在办理烟叶税的纳税申报时如未做税（费）种申报，应当即补全信息。</w:t>
      </w:r>
    </w:p>
    <w:p>
      <w:pPr>
        <w:ind w:firstLine="472"/>
        <w:rPr>
          <w:rFonts w:hint="eastAsia"/>
          <w:color w:val="auto"/>
        </w:rPr>
      </w:pPr>
      <w:r>
        <w:rPr>
          <w:rFonts w:hint="eastAsia"/>
          <w:color w:val="auto"/>
        </w:rPr>
        <w:t>2.纳税人收购烟叶实际支付的价款总额包括纳税人支付给烟叶生产销售单位和个人的烟叶收购价款和价外补贴。其中，价外补贴统一按烟叶收购价款的10%计算。</w:t>
      </w:r>
    </w:p>
    <w:p>
      <w:pPr>
        <w:ind w:firstLine="472"/>
        <w:rPr>
          <w:color w:val="auto"/>
        </w:rPr>
      </w:pPr>
      <w:r>
        <w:rPr>
          <w:rFonts w:hint="eastAsia"/>
          <w:color w:val="auto"/>
          <w:lang w:val="en-US" w:eastAsia="zh-CN"/>
        </w:rPr>
        <w:t>3</w:t>
      </w:r>
      <w:r>
        <w:rPr>
          <w:rFonts w:hint="eastAsia"/>
          <w:color w:val="auto"/>
        </w:rPr>
        <w:t>.附报资料中通过电子税务局等渠道已提交电子资料的不再报送纸质资料</w:t>
      </w:r>
      <w:r>
        <w:rPr>
          <w:color w:val="auto"/>
        </w:rPr>
        <w:t>。</w:t>
      </w:r>
    </w:p>
    <w:p>
      <w:pPr>
        <w:ind w:firstLine="472"/>
        <w:rPr>
          <w:color w:val="auto"/>
        </w:rPr>
      </w:pPr>
      <w:r>
        <w:rPr>
          <w:rFonts w:hint="eastAsia"/>
          <w:color w:val="auto"/>
          <w:lang w:val="en-US" w:eastAsia="zh-CN"/>
        </w:rPr>
        <w:t>4</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5</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56352B"/>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2019-10-31T06:24:50Z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