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20892"/>
      <w:r>
        <w:rPr>
          <w:rFonts w:hint="eastAsia" w:ascii="黑体" w:hAnsi="黑体"/>
          <w:color w:val="auto"/>
        </w:rPr>
        <w:t>1.3.4.1.1居民个人取得综合所得个人所得税预扣预缴申报</w:t>
      </w:r>
      <w:bookmarkEnd w:id="0"/>
    </w:p>
    <w:p>
      <w:pPr>
        <w:pStyle w:val="3"/>
        <w:ind w:firstLine="552"/>
        <w:rPr>
          <w:color w:val="auto"/>
        </w:rPr>
      </w:pPr>
      <w:r>
        <w:rPr>
          <w:color w:val="auto"/>
        </w:rPr>
        <w:t>一、事项名称</w:t>
      </w:r>
    </w:p>
    <w:p>
      <w:pPr>
        <w:ind w:firstLine="472"/>
        <w:rPr>
          <w:rFonts w:ascii="宋体" w:hAnsi="宋体" w:eastAsia="宋体" w:cs="Times New Roman"/>
          <w:bCs w:val="0"/>
          <w:color w:val="auto"/>
          <w:sz w:val="24"/>
          <w:szCs w:val="22"/>
        </w:rPr>
      </w:pPr>
      <w:r>
        <w:rPr>
          <w:rFonts w:hint="default" w:ascii="宋体" w:hAnsi="宋体" w:eastAsia="宋体" w:cs="Times New Roman"/>
          <w:bCs w:val="0"/>
          <w:color w:val="auto"/>
          <w:sz w:val="24"/>
          <w:szCs w:val="22"/>
        </w:rPr>
        <w:t>居民个人取得综合所得个人所得税预扣预缴申报</w:t>
      </w:r>
    </w:p>
    <w:p>
      <w:pPr>
        <w:pStyle w:val="3"/>
        <w:ind w:firstLine="552"/>
        <w:rPr>
          <w:color w:val="auto"/>
        </w:rPr>
      </w:pPr>
      <w:r>
        <w:rPr>
          <w:color w:val="auto"/>
        </w:rPr>
        <w:t>二、事项类别</w:t>
      </w:r>
    </w:p>
    <w:p>
      <w:pPr>
        <w:pStyle w:val="47"/>
        <w:numPr>
          <w:ilvl w:val="0"/>
          <w:numId w:val="3"/>
        </w:numPr>
        <w:ind w:firstLineChars="0"/>
        <w:rPr>
          <w:color w:val="auto"/>
        </w:rPr>
      </w:pPr>
      <w:r>
        <w:rPr>
          <w:color w:val="auto"/>
        </w:rPr>
        <w:t>发起方式：人工发起（纳税人）</w:t>
      </w:r>
    </w:p>
    <w:p>
      <w:pPr>
        <w:pStyle w:val="47"/>
        <w:numPr>
          <w:ilvl w:val="0"/>
          <w:numId w:val="3"/>
        </w:numPr>
        <w:ind w:firstLineChars="0"/>
        <w:rPr>
          <w:color w:val="auto"/>
        </w:rPr>
      </w:pPr>
      <w:r>
        <w:rPr>
          <w:color w:val="auto"/>
        </w:rPr>
        <w:t>办结方式：即办</w:t>
      </w:r>
    </w:p>
    <w:p>
      <w:pPr>
        <w:pStyle w:val="47"/>
        <w:numPr>
          <w:ilvl w:val="0"/>
          <w:numId w:val="3"/>
        </w:numPr>
        <w:ind w:firstLineChars="0"/>
        <w:rPr>
          <w:color w:val="auto"/>
        </w:rPr>
      </w:pPr>
      <w:r>
        <w:rPr>
          <w:color w:val="auto"/>
        </w:rPr>
        <w:t>全省通办：是</w:t>
      </w:r>
    </w:p>
    <w:p>
      <w:pPr>
        <w:pStyle w:val="47"/>
        <w:numPr>
          <w:ilvl w:val="0"/>
          <w:numId w:val="3"/>
        </w:numPr>
        <w:ind w:firstLineChars="0"/>
        <w:rPr>
          <w:color w:val="auto"/>
        </w:rPr>
      </w:pPr>
      <w:r>
        <w:rPr>
          <w:color w:val="auto"/>
        </w:rPr>
        <w:t>网上办理：是</w:t>
      </w:r>
    </w:p>
    <w:p>
      <w:pPr>
        <w:pStyle w:val="47"/>
        <w:numPr>
          <w:ilvl w:val="0"/>
          <w:numId w:val="3"/>
        </w:numPr>
        <w:ind w:firstLineChars="0"/>
        <w:rPr>
          <w:color w:val="auto"/>
        </w:rPr>
      </w:pPr>
      <w:r>
        <w:rPr>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left="472" w:firstLine="552" w:firstLineChars="0"/>
        <w:rPr>
          <w:rFonts w:eastAsia="黑体" w:asciiTheme="majorHAnsi" w:hAnsiTheme="majorHAnsi" w:cstheme="majorBidi"/>
          <w:bCs/>
          <w:color w:val="auto"/>
          <w:sz w:val="28"/>
          <w:szCs w:val="32"/>
        </w:rPr>
      </w:pPr>
      <w:r>
        <w:rPr>
          <w:rFonts w:eastAsia="黑体" w:asciiTheme="majorHAnsi" w:hAnsiTheme="majorHAnsi" w:cstheme="majorBidi"/>
          <w:bCs/>
          <w:color w:val="auto"/>
          <w:sz w:val="28"/>
          <w:szCs w:val="32"/>
        </w:rPr>
        <w:t>三、</w:t>
      </w:r>
      <w:r>
        <w:rPr>
          <w:rFonts w:hint="default" w:eastAsia="黑体" w:asciiTheme="majorHAnsi" w:hAnsiTheme="majorHAnsi" w:cstheme="majorBidi"/>
          <w:bCs/>
          <w:color w:val="auto"/>
          <w:sz w:val="28"/>
          <w:szCs w:val="32"/>
          <w:lang w:val="en-US" w:eastAsia="zh-CN"/>
        </w:rPr>
        <w:t>办理条件</w:t>
      </w:r>
    </w:p>
    <w:p>
      <w:pPr>
        <w:ind w:firstLine="472" w:firstLineChars="0"/>
        <w:rPr>
          <w:color w:val="auto"/>
        </w:rPr>
      </w:pPr>
      <w:r>
        <w:rPr>
          <w:rFonts w:hint="eastAsia"/>
          <w:color w:val="auto"/>
        </w:rPr>
        <w:t>居民个人取得综合所得，按年计算个人所得税；有扣缴义务人的，由扣缴义务人按月或者按次预扣预缴税款。扣缴义务人每月或者每次预扣、代扣的税款，应当在次月十五日内缴入国库，并向税务机关报送扣缴个人所得税申报表。综合所得个人所得税预扣预缴申报的应税所得包括工资、薪金所得，劳务报酬所得，稿酬所得，特许权使用费所得。扣缴义务人应依照税收法律、法规、规章及其他有关规定，向居民个人支付综合所得时，不论其是否属于本单位人员、支付的应税所得是否达到纳税标准，应当办理全员全额扣缴申报，在代扣税款的次月十五日内，报送其支付所得的所有个人的有关信息、支付所得数额、扣除事项和数额、扣缴税款的具体数额和总额以及其他相关涉税信息资料。所扣税款为外币的，应当按照缴款上一月最后一日中国人民银行公布的人民币汇率中间价折算成人民币，以人民币缴入国库。</w:t>
      </w:r>
    </w:p>
    <w:p>
      <w:pPr>
        <w:ind w:firstLine="472" w:firstLineChars="0"/>
        <w:rPr>
          <w:color w:val="auto"/>
        </w:rPr>
      </w:pPr>
      <w:r>
        <w:rPr>
          <w:rFonts w:hint="eastAsia"/>
          <w:color w:val="auto"/>
        </w:rPr>
        <w:t>扣缴义务人首次向纳税人支付所得时，应当按照纳税人提供的纳税人识别号等基础信息，填写《个人所得税基础信息表（</w:t>
      </w:r>
      <w:r>
        <w:rPr>
          <w:color w:val="auto"/>
        </w:rPr>
        <w:t>A表）》，并于次月扣缴申报时向税务机关报送。扣缴义务人对纳税人向其报告的相关基础信息变化情况，应当于次月扣缴申报时向税务机关报送。</w:t>
      </w:r>
    </w:p>
    <w:p>
      <w:pPr>
        <w:ind w:firstLine="472" w:firstLineChars="0"/>
        <w:rPr>
          <w:color w:val="auto"/>
        </w:rPr>
      </w:pPr>
      <w:r>
        <w:rPr>
          <w:color w:val="auto"/>
        </w:rPr>
        <w:t>1.扣缴义务人向居民个人支付支付工资、薪金所得</w:t>
      </w:r>
    </w:p>
    <w:p>
      <w:pPr>
        <w:ind w:firstLine="472" w:firstLineChars="0"/>
        <w:rPr>
          <w:color w:val="auto"/>
        </w:rPr>
      </w:pPr>
      <w:r>
        <w:rPr>
          <w:rFonts w:hint="eastAsia"/>
          <w:color w:val="auto"/>
        </w:rPr>
        <w:t>扣缴义务人向居民个人支付工资、薪金所得时，应当按照累计预扣法计算预扣税款，并按月办理扣缴申报。累计预扣法，是指扣缴义务人在一个纳税年度内预扣预缴税款时，以纳税人在本单位截至当前月份工资、薪金所得累计收入减除累计免税收入、累计减除费用、累计专项扣除、累计专项附加扣除和累计依法确定的其他扣除后的余额为累计预扣预缴应纳税所得额，适用个人所得税预扣率表一，计算累计应预扣预缴税额，再减除累计减免税额和累计已预扣预缴税额，其余额为本期应预扣预缴税额。余额为负值时，暂不退税。纳税年度终了后余额仍为负值时，由纳税人通过办理综合所得年度汇算清缴，税款多退少补。</w:t>
      </w:r>
    </w:p>
    <w:p>
      <w:pPr>
        <w:ind w:firstLine="472"/>
        <w:rPr>
          <w:color w:val="auto"/>
        </w:rPr>
      </w:pPr>
      <w:r>
        <w:rPr>
          <w:rFonts w:hint="eastAsia"/>
          <w:color w:val="auto"/>
        </w:rPr>
        <w:t>居民个人向扣缴义务人提供有关信息并依法要求办理专项附加扣除的，扣缴义务人应当按照规定在工资、薪金所得按月预扣预缴税款时予以扣除。</w:t>
      </w:r>
    </w:p>
    <w:p>
      <w:pPr>
        <w:ind w:firstLine="472" w:firstLineChars="0"/>
        <w:rPr>
          <w:color w:val="auto"/>
        </w:rPr>
      </w:pPr>
      <w:r>
        <w:rPr>
          <w:rFonts w:hint="eastAsia"/>
          <w:color w:val="auto"/>
        </w:rPr>
        <w:t>（</w:t>
      </w:r>
      <w:r>
        <w:rPr>
          <w:color w:val="auto"/>
        </w:rPr>
        <w:t>1）居民个人取得全年一次性奖金，符合《国家税务总局关于调整个人取得全年一次性奖金等计算征收个人所得税方法问题的通知》（国税发〔2005〕9号）规定的，在2021年12月31日前，不并入当年综合所得，以全年一次性奖金收入除以12个月得到的数额，按照按月换算后的综合所得税率表，确定适用税率和速算扣除数，单独计算纳税。居民也可以选择并入当年综合所得计算纳税。自2022年1月1日起，居民个人取得全年一次性奖金，应并入当年综合所得计算缴纳个人所得税。</w:t>
      </w:r>
    </w:p>
    <w:p>
      <w:pPr>
        <w:ind w:firstLine="472" w:firstLineChars="0"/>
        <w:rPr>
          <w:color w:val="auto"/>
        </w:rPr>
      </w:pPr>
      <w:r>
        <w:rPr>
          <w:rFonts w:hint="eastAsia"/>
          <w:color w:val="auto"/>
        </w:rPr>
        <w:t>中央企业负责人取得年度绩效薪金延期兑现收入和任期奖励，符合《国家税务总局关于中央企业负责人年度绩效薪金延期兑现收入和任期奖励征收个人所得税问题的通知》（国税发〔</w:t>
      </w:r>
      <w:r>
        <w:rPr>
          <w:color w:val="auto"/>
        </w:rPr>
        <w:t>2007〕118号）规定的，在2021年12月31日前，参照本通知第一条第（一）项执行；2022年1月1日之后的政策另行明确。</w:t>
      </w:r>
    </w:p>
    <w:p>
      <w:pPr>
        <w:ind w:firstLine="472" w:firstLineChars="0"/>
        <w:rPr>
          <w:color w:val="auto"/>
        </w:rPr>
      </w:pPr>
      <w:r>
        <w:rPr>
          <w:rFonts w:hint="eastAsia"/>
          <w:color w:val="auto"/>
        </w:rPr>
        <w:t>（</w:t>
      </w:r>
      <w:r>
        <w:rPr>
          <w:color w:val="auto"/>
        </w:rPr>
        <w:t>2）个人与用人单位解除劳动关系取得一次性补偿收入（包括用人单位发放的经济补偿金、生活补助费和其他补助费），在当地上年职工平均工资3倍数额以内的部分，免征个人所得税；超过3倍数额的部分，不并入当年综合所得，单独适用综合所得税率表，计算纳税。个人办理提前退休手续而取得的一次性补贴收入，应按照办理提前退休手续至法定离退休年龄之间实际年度数平均分摊，确定适用税率和速算扣除数，单独适用综合所得税率表，计算纳税。个人办理内部退养手续而取得的一次性补贴收入，按照《国家税务总局关于个人所得税有关政策问题的通知》（国税发〔1999〕58号）规定计算纳税。</w:t>
      </w:r>
    </w:p>
    <w:p>
      <w:pPr>
        <w:ind w:firstLine="472" w:firstLineChars="0"/>
        <w:rPr>
          <w:color w:val="auto"/>
        </w:rPr>
      </w:pPr>
      <w:r>
        <w:rPr>
          <w:rFonts w:hint="eastAsia"/>
          <w:color w:val="auto"/>
        </w:rPr>
        <w:t>（</w:t>
      </w:r>
      <w:r>
        <w:rPr>
          <w:color w:val="auto"/>
        </w:rPr>
        <w:t>3）单位按低于购置或建造成本价格出售住房给职工，职工因此而少支出的差价部分，符合《财政部国家税务总局关于单位低价向职工售房有关个人所得税问题的通知》（财税〔2007〕13号）第二条规定的，不并入当年综合所得，以差价收入除以12个月得到的数额，按照月度税率表确定适用税率和速算扣除数，单独计算纳税。</w:t>
      </w:r>
    </w:p>
    <w:p>
      <w:pPr>
        <w:ind w:firstLine="472" w:firstLineChars="0"/>
        <w:rPr>
          <w:color w:val="auto"/>
        </w:rPr>
      </w:pPr>
      <w:r>
        <w:rPr>
          <w:rFonts w:hint="eastAsia"/>
          <w:color w:val="auto"/>
        </w:rPr>
        <w:t>（</w:t>
      </w:r>
      <w:r>
        <w:rPr>
          <w:color w:val="auto"/>
        </w:rPr>
        <w:t>4）居民个人取得股票期权、股票增值权、限制性股票、股权奖励等股权激励（以下简称股权激励），符合《财政部国家税务总局关于个人股票期权所得征收个人所得税问题的通知》（财税〔2005〕35号）、《财政部国家税务总局关于股票增值权所得和限制性股票所得征收个人所得税有关问题的通知》（财税〔2009〕5号）、《财政部国家税务总局关于将国家自主创新示范区有关税收试点政策推广到全国范围实施的通知》（财税〔2015〕116号）第四条、《财政部国家税务总局关于完善股权激励和技术入股有关所得税政策的通知》（财税〔2016〕101号）第四条第（一）项规定的相关条件的，在2021年12月31日前，不并入当年综合所得，全额单独适用综合所得税率表，计算纳税。计算公式为：</w:t>
      </w:r>
    </w:p>
    <w:p>
      <w:pPr>
        <w:ind w:firstLine="472" w:firstLineChars="0"/>
        <w:rPr>
          <w:color w:val="auto"/>
        </w:rPr>
      </w:pPr>
      <w:r>
        <w:rPr>
          <w:rFonts w:hint="eastAsia"/>
          <w:color w:val="auto"/>
        </w:rPr>
        <w:t>应纳税额＝股权激励收入×适用税率－速算扣除数</w:t>
      </w:r>
    </w:p>
    <w:p>
      <w:pPr>
        <w:ind w:firstLine="472"/>
        <w:rPr>
          <w:rFonts w:ascii="宋体" w:hAnsi="宋体" w:eastAsia="宋体" w:cs="Times New Roman"/>
          <w:bCs w:val="0"/>
          <w:color w:val="auto"/>
          <w:sz w:val="24"/>
          <w:szCs w:val="22"/>
        </w:rPr>
      </w:pPr>
      <w:r>
        <w:rPr>
          <w:rFonts w:hint="default" w:ascii="宋体" w:hAnsi="宋体" w:eastAsia="宋体" w:cs="Times New Roman"/>
          <w:bCs w:val="0"/>
          <w:color w:val="auto"/>
          <w:sz w:val="24"/>
          <w:szCs w:val="22"/>
        </w:rPr>
        <w:t>居民个人一个纳税年度内取得两次以上（含两次）股权激励的，应合并按本上述规定计算纳税。</w:t>
      </w:r>
    </w:p>
    <w:p>
      <w:pPr>
        <w:ind w:firstLine="472"/>
        <w:rPr>
          <w:rFonts w:ascii="宋体" w:hAnsi="宋体" w:eastAsia="宋体" w:cs="Times New Roman"/>
          <w:bCs w:val="0"/>
          <w:color w:val="auto"/>
          <w:sz w:val="24"/>
          <w:szCs w:val="22"/>
        </w:rPr>
      </w:pPr>
      <w:r>
        <w:rPr>
          <w:rFonts w:ascii="宋体" w:hAnsi="宋体" w:eastAsia="宋体" w:cs="Times New Roman"/>
          <w:bCs w:val="0"/>
          <w:color w:val="auto"/>
          <w:sz w:val="24"/>
          <w:szCs w:val="22"/>
        </w:rPr>
        <w:t>2022年1月1日之后的股权激励政策另行明确。</w:t>
      </w:r>
    </w:p>
    <w:p>
      <w:pPr>
        <w:ind w:firstLine="472"/>
        <w:rPr>
          <w:rFonts w:ascii="宋体" w:hAnsi="宋体" w:eastAsia="宋体" w:cs="Times New Roman"/>
          <w:bCs w:val="0"/>
          <w:color w:val="auto"/>
          <w:sz w:val="24"/>
          <w:szCs w:val="22"/>
        </w:rPr>
      </w:pPr>
      <w:r>
        <w:rPr>
          <w:rFonts w:hint="default" w:ascii="宋体" w:hAnsi="宋体" w:eastAsia="宋体" w:cs="Times New Roman"/>
          <w:bCs w:val="0"/>
          <w:color w:val="auto"/>
          <w:sz w:val="24"/>
          <w:szCs w:val="22"/>
        </w:rPr>
        <w:t>（</w:t>
      </w:r>
      <w:r>
        <w:rPr>
          <w:rFonts w:ascii="宋体" w:hAnsi="宋体" w:eastAsia="宋体" w:cs="Times New Roman"/>
          <w:bCs w:val="0"/>
          <w:color w:val="auto"/>
          <w:sz w:val="24"/>
          <w:szCs w:val="22"/>
        </w:rPr>
        <w:t>5）个人达到国家规定的退休年龄，领取的企业年金、职业年金，符合《财政部人力资源社会保障部国家税务总局关于企业年金职业年金个人所得税有关问题的通知》（财税〔2013〕103号）规定的，不并入综合所得，全额单独计算应纳税款。其中按月领取的，适用月度税率表计算纳税；按季领取的，平均分摊计入各月，按每月领取额适用月度税率表计算纳税；按年领取的，适用综合所得税率表计算纳税。</w:t>
      </w:r>
    </w:p>
    <w:p>
      <w:pPr>
        <w:ind w:firstLine="472"/>
        <w:rPr>
          <w:rFonts w:ascii="宋体" w:hAnsi="宋体" w:eastAsia="宋体" w:cs="Times New Roman"/>
          <w:bCs w:val="0"/>
          <w:color w:val="auto"/>
          <w:sz w:val="24"/>
          <w:szCs w:val="22"/>
        </w:rPr>
      </w:pPr>
      <w:r>
        <w:rPr>
          <w:rFonts w:hint="default" w:ascii="宋体" w:hAnsi="宋体" w:eastAsia="宋体" w:cs="Times New Roman"/>
          <w:bCs w:val="0"/>
          <w:color w:val="auto"/>
          <w:sz w:val="24"/>
          <w:szCs w:val="22"/>
        </w:rPr>
        <w:t>个人因出境定居而一次性领取的年金个人账户资金，或个人死亡后，其指定的受益人或法定继承人一次性领取的年金个人账户余额，适用综合所得税率表计算纳税。对个人除上述特殊原因外一次性领取年金个人账户资金或余额的，适用月度税率表计算纳税。</w:t>
      </w:r>
    </w:p>
    <w:p>
      <w:pPr>
        <w:ind w:firstLine="472"/>
        <w:rPr>
          <w:rFonts w:ascii="宋体" w:hAnsi="宋体" w:eastAsia="宋体" w:cs="Times New Roman"/>
          <w:bCs w:val="0"/>
          <w:color w:val="auto"/>
          <w:sz w:val="24"/>
          <w:szCs w:val="22"/>
        </w:rPr>
      </w:pPr>
      <w:r>
        <w:rPr>
          <w:rFonts w:hint="default" w:ascii="宋体" w:hAnsi="宋体" w:eastAsia="宋体" w:cs="Times New Roman"/>
          <w:bCs w:val="0"/>
          <w:color w:val="auto"/>
          <w:sz w:val="24"/>
          <w:szCs w:val="22"/>
        </w:rPr>
        <w:t>（</w:t>
      </w:r>
      <w:r>
        <w:rPr>
          <w:rFonts w:ascii="宋体" w:hAnsi="宋体" w:eastAsia="宋体" w:cs="Times New Roman"/>
          <w:bCs w:val="0"/>
          <w:color w:val="auto"/>
          <w:sz w:val="24"/>
          <w:szCs w:val="22"/>
        </w:rPr>
        <w:t>6）2019年1月1日至2021年12月31日期间，外籍个人符合居民个人条件的，可以选择享受个人所得税专项附加扣除，也可以选择按照《财政部　国家税务总局关于个人所得税若干政策问题的通知》（财税〔1994〕20号）、《国家税务总局关于外籍个人取得有关补贴征免个人所得税执行问题的通知》（国税发〔1997〕54号）和《财政部国家税务总局关于外籍个人取得港澳地区住房等补贴征免个人所得税的通知》（财税〔2004〕29号）规定，享受住房补贴、语言训练费、子女教育费等津补贴免税优惠政策，但不得同时享受。外籍个人一经选</w:t>
      </w:r>
      <w:r>
        <w:rPr>
          <w:rFonts w:hint="default" w:ascii="宋体" w:hAnsi="宋体" w:eastAsia="宋体" w:cs="Times New Roman"/>
          <w:bCs w:val="0"/>
          <w:color w:val="auto"/>
          <w:sz w:val="24"/>
          <w:szCs w:val="22"/>
        </w:rPr>
        <w:t>择，在一个纳税年度内不得变更。自</w:t>
      </w:r>
      <w:r>
        <w:rPr>
          <w:rFonts w:ascii="宋体" w:hAnsi="宋体" w:eastAsia="宋体" w:cs="Times New Roman"/>
          <w:bCs w:val="0"/>
          <w:color w:val="auto"/>
          <w:sz w:val="24"/>
          <w:szCs w:val="22"/>
        </w:rPr>
        <w:t>2022年1月1日起，外籍个人不再享受住房补贴、语言训练费、子女教育费津补贴免税优惠政策，应按规定享受专项附加扣除。</w:t>
      </w:r>
    </w:p>
    <w:p>
      <w:pPr>
        <w:ind w:firstLine="472"/>
        <w:rPr>
          <w:rFonts w:ascii="宋体" w:hAnsi="宋体" w:eastAsia="宋体" w:cs="Times New Roman"/>
          <w:bCs w:val="0"/>
          <w:color w:val="auto"/>
          <w:sz w:val="24"/>
          <w:szCs w:val="22"/>
        </w:rPr>
      </w:pPr>
      <w:r>
        <w:rPr>
          <w:rFonts w:ascii="宋体" w:hAnsi="宋体" w:eastAsia="宋体" w:cs="Times New Roman"/>
          <w:bCs w:val="0"/>
          <w:color w:val="auto"/>
          <w:sz w:val="24"/>
          <w:szCs w:val="22"/>
        </w:rPr>
        <w:t>2.扣缴义务人向居民个人支付劳务报酬所得、稿酬所得、特许权使用费所得</w:t>
      </w:r>
    </w:p>
    <w:p>
      <w:pPr>
        <w:ind w:firstLine="472"/>
        <w:rPr>
          <w:rFonts w:ascii="宋体" w:hAnsi="宋体" w:eastAsia="宋体" w:cs="Times New Roman"/>
          <w:bCs w:val="0"/>
          <w:color w:val="auto"/>
          <w:sz w:val="24"/>
          <w:szCs w:val="22"/>
        </w:rPr>
      </w:pPr>
      <w:r>
        <w:rPr>
          <w:rFonts w:hint="default" w:ascii="宋体" w:hAnsi="宋体" w:eastAsia="宋体" w:cs="Times New Roman"/>
          <w:bCs w:val="0"/>
          <w:color w:val="auto"/>
          <w:sz w:val="24"/>
          <w:szCs w:val="22"/>
        </w:rPr>
        <w:t>扣缴义务人向居民个人支付劳务报酬所得、稿酬所得、特许权使用费所得时，应当按照以下方法按次或者按月预扣预缴税款：</w:t>
      </w:r>
    </w:p>
    <w:p>
      <w:pPr>
        <w:ind w:firstLine="472"/>
        <w:rPr>
          <w:rFonts w:ascii="宋体" w:hAnsi="宋体" w:eastAsia="宋体" w:cs="Times New Roman"/>
          <w:bCs w:val="0"/>
          <w:color w:val="auto"/>
          <w:sz w:val="24"/>
          <w:szCs w:val="22"/>
        </w:rPr>
      </w:pPr>
      <w:r>
        <w:rPr>
          <w:rFonts w:hint="default" w:ascii="宋体" w:hAnsi="宋体" w:eastAsia="宋体" w:cs="Times New Roman"/>
          <w:bCs w:val="0"/>
          <w:color w:val="auto"/>
          <w:sz w:val="24"/>
          <w:szCs w:val="22"/>
        </w:rPr>
        <w:t>劳务报酬所得、稿酬所得、特许权使用费所得以收入减除费用后的余额为收入额；其中，稿酬所得的收入额减按百分之七十计算。劳务报酬所得、稿酬所得、特许权使用费所得每次收入不超过四千元的，减除费用按八百元计算；每次收入四千元以上的，减除费用按收入的百分之二十计算。劳务报酬所得、稿酬所得、特许权使用费所得，以每次收入额为预扣预缴应纳税所得额，计算应预扣预缴税额。劳务报酬所得适用个人所得税预扣率表二，稿酬所得、特许权使用费所得适用百分之二十的比例预扣率。</w:t>
      </w:r>
    </w:p>
    <w:p>
      <w:pPr>
        <w:ind w:firstLine="472"/>
        <w:rPr>
          <w:rFonts w:ascii="宋体" w:hAnsi="宋体" w:eastAsia="宋体" w:cs="Times New Roman"/>
          <w:bCs w:val="0"/>
          <w:color w:val="auto"/>
          <w:sz w:val="24"/>
          <w:szCs w:val="22"/>
        </w:rPr>
      </w:pPr>
      <w:r>
        <w:rPr>
          <w:rFonts w:hint="default" w:ascii="宋体" w:hAnsi="宋体" w:eastAsia="宋体" w:cs="Times New Roman"/>
          <w:bCs w:val="0"/>
          <w:color w:val="auto"/>
          <w:sz w:val="24"/>
          <w:szCs w:val="22"/>
        </w:rPr>
        <w:t>保险营销员、证券经纪人取得的佣金收入，属于劳务报酬所得，以不含增值税的收入减除</w:t>
      </w:r>
      <w:r>
        <w:rPr>
          <w:rFonts w:ascii="宋体" w:hAnsi="宋体" w:eastAsia="宋体" w:cs="Times New Roman"/>
          <w:bCs w:val="0"/>
          <w:color w:val="auto"/>
          <w:sz w:val="24"/>
          <w:szCs w:val="22"/>
        </w:rPr>
        <w:t>20%的费用后的余额为收入额，收入额减去展业成本以及附加税费后，并入当年综合所得，计算缴纳个人所得税。保险营销员、证券经纪人展业成本按照收入额的25%计算。扣缴义务人向保险营销员、证券经纪人支付佣金收入时，应按照《个人所得税扣缴申报管理办法（试行）》（国家税务总局公告2018年第61号）规定的累计预扣法计算预扣税款。</w:t>
      </w:r>
    </w:p>
    <w:p>
      <w:pPr>
        <w:pStyle w:val="3"/>
        <w:ind w:firstLine="552"/>
        <w:rPr>
          <w:color w:val="auto"/>
        </w:rPr>
      </w:pPr>
      <w:r>
        <w:rPr>
          <w:rFonts w:hint="eastAsia"/>
          <w:color w:val="auto"/>
        </w:rPr>
        <w:t>四、设定依据</w:t>
      </w:r>
    </w:p>
    <w:p>
      <w:pPr>
        <w:ind w:firstLine="472"/>
        <w:rPr>
          <w:rFonts w:ascii="宋体" w:hAnsi="宋体" w:eastAsia="宋体" w:cs="Times New Roman"/>
          <w:bCs w:val="0"/>
          <w:color w:val="auto"/>
          <w:sz w:val="24"/>
          <w:szCs w:val="22"/>
        </w:rPr>
      </w:pPr>
      <w:r>
        <w:rPr>
          <w:rFonts w:ascii="宋体" w:hAnsi="宋体" w:eastAsia="宋体" w:cs="Times New Roman"/>
          <w:bCs w:val="0"/>
          <w:color w:val="auto"/>
          <w:sz w:val="24"/>
          <w:szCs w:val="22"/>
        </w:rPr>
        <w:t>1.《中华人民共和国税收征收管理法》第二十五条第二款</w:t>
      </w:r>
    </w:p>
    <w:p>
      <w:pPr>
        <w:ind w:firstLine="472"/>
        <w:rPr>
          <w:rFonts w:ascii="宋体" w:hAnsi="宋体" w:eastAsia="宋体" w:cs="Times New Roman"/>
          <w:bCs w:val="0"/>
          <w:color w:val="auto"/>
          <w:sz w:val="24"/>
          <w:szCs w:val="22"/>
        </w:rPr>
      </w:pPr>
      <w:r>
        <w:rPr>
          <w:rFonts w:hint="default" w:ascii="宋体" w:hAnsi="宋体" w:eastAsia="宋体" w:cs="Times New Roman"/>
          <w:bCs w:val="0"/>
          <w:color w:val="auto"/>
          <w:sz w:val="24"/>
          <w:szCs w:val="22"/>
        </w:rPr>
        <w:t>“扣缴义务人必须依照法律、行政法规规定或者税务机关依照法律、行政法规的规定确定的申报期限、申报内容如实报送代扣代缴、代收代缴税款报告表以及税务机关根据实际需要要求扣缴义务人报送的其他有关资料。”</w:t>
      </w:r>
    </w:p>
    <w:p>
      <w:pPr>
        <w:ind w:firstLine="472"/>
        <w:rPr>
          <w:rFonts w:ascii="宋体" w:hAnsi="宋体" w:eastAsia="宋体" w:cs="Times New Roman"/>
          <w:bCs w:val="0"/>
          <w:color w:val="auto"/>
          <w:sz w:val="24"/>
          <w:szCs w:val="22"/>
        </w:rPr>
      </w:pPr>
      <w:r>
        <w:rPr>
          <w:rFonts w:ascii="宋体" w:hAnsi="宋体" w:eastAsia="宋体" w:cs="Times New Roman"/>
          <w:bCs w:val="0"/>
          <w:color w:val="auto"/>
          <w:sz w:val="24"/>
          <w:szCs w:val="22"/>
        </w:rPr>
        <w:t>2.《中华人民共和国个人所得税法》第十条第二款</w:t>
      </w:r>
    </w:p>
    <w:p>
      <w:pPr>
        <w:ind w:firstLine="472"/>
        <w:rPr>
          <w:rFonts w:ascii="宋体" w:hAnsi="宋体" w:eastAsia="宋体" w:cs="Times New Roman"/>
          <w:bCs w:val="0"/>
          <w:color w:val="auto"/>
          <w:sz w:val="24"/>
          <w:szCs w:val="22"/>
        </w:rPr>
      </w:pPr>
      <w:r>
        <w:rPr>
          <w:rFonts w:hint="default" w:ascii="宋体" w:hAnsi="宋体" w:eastAsia="宋体" w:cs="Times New Roman"/>
          <w:bCs w:val="0"/>
          <w:color w:val="auto"/>
          <w:sz w:val="24"/>
          <w:szCs w:val="22"/>
        </w:rPr>
        <w:t>“有下列情形之一的，纳税人应当依法办理纳税申报：（二）取得应税所得没有扣缴义务人。”</w:t>
      </w:r>
    </w:p>
    <w:p>
      <w:pPr>
        <w:ind w:firstLine="472"/>
        <w:rPr>
          <w:rFonts w:ascii="宋体" w:hAnsi="宋体" w:eastAsia="宋体" w:cs="Times New Roman"/>
          <w:bCs w:val="0"/>
          <w:color w:val="auto"/>
          <w:sz w:val="24"/>
          <w:szCs w:val="22"/>
        </w:rPr>
      </w:pPr>
      <w:r>
        <w:rPr>
          <w:rFonts w:ascii="宋体" w:hAnsi="宋体" w:eastAsia="宋体" w:cs="Times New Roman"/>
          <w:bCs w:val="0"/>
          <w:color w:val="auto"/>
          <w:sz w:val="24"/>
          <w:szCs w:val="22"/>
        </w:rPr>
        <w:t>3.《中华人民共和国个人所得税法实施条例》第二十四条</w:t>
      </w:r>
    </w:p>
    <w:p>
      <w:pPr>
        <w:ind w:firstLine="472"/>
        <w:rPr>
          <w:rFonts w:ascii="宋体" w:hAnsi="宋体" w:eastAsia="宋体" w:cs="Times New Roman"/>
          <w:bCs w:val="0"/>
          <w:color w:val="auto"/>
          <w:sz w:val="24"/>
          <w:szCs w:val="22"/>
        </w:rPr>
      </w:pPr>
      <w:r>
        <w:rPr>
          <w:rFonts w:hint="default" w:ascii="宋体" w:hAnsi="宋体" w:eastAsia="宋体" w:cs="Times New Roman"/>
          <w:bCs w:val="0"/>
          <w:color w:val="auto"/>
          <w:sz w:val="24"/>
          <w:szCs w:val="22"/>
        </w:rPr>
        <w:t>“扣缴义务人向个人支付应税款项时，应当依照个人所得税法规定预扣或者代扣税款，按时缴库，并专项记载备查。</w:t>
      </w:r>
    </w:p>
    <w:p>
      <w:pPr>
        <w:ind w:firstLine="472"/>
        <w:rPr>
          <w:rFonts w:ascii="宋体" w:hAnsi="宋体" w:eastAsia="宋体" w:cs="Times New Roman"/>
          <w:bCs w:val="0"/>
          <w:color w:val="auto"/>
          <w:sz w:val="24"/>
          <w:szCs w:val="22"/>
        </w:rPr>
      </w:pPr>
      <w:r>
        <w:rPr>
          <w:rFonts w:hint="default" w:ascii="宋体" w:hAnsi="宋体" w:eastAsia="宋体" w:cs="Times New Roman"/>
          <w:bCs w:val="0"/>
          <w:color w:val="auto"/>
          <w:sz w:val="24"/>
          <w:szCs w:val="22"/>
        </w:rPr>
        <w:t>前款所称支付，包括现金支付、汇拨支付、转账支付和以有价证券、实物以及其他形式的支付。”</w:t>
      </w:r>
    </w:p>
    <w:p>
      <w:pPr>
        <w:ind w:firstLine="472"/>
        <w:rPr>
          <w:rFonts w:ascii="宋体" w:hAnsi="宋体" w:eastAsia="宋体" w:cs="Times New Roman"/>
          <w:bCs w:val="0"/>
          <w:color w:val="auto"/>
          <w:sz w:val="24"/>
          <w:szCs w:val="22"/>
        </w:rPr>
      </w:pPr>
      <w:r>
        <w:rPr>
          <w:rFonts w:hint="default" w:ascii="宋体" w:hAnsi="宋体" w:eastAsia="宋体" w:cs="Times New Roman"/>
          <w:bCs w:val="0"/>
          <w:color w:val="auto"/>
          <w:sz w:val="24"/>
          <w:szCs w:val="22"/>
        </w:rPr>
        <w:t>4.</w:t>
      </w:r>
      <w:r>
        <w:rPr>
          <w:rFonts w:ascii="宋体" w:hAnsi="宋体" w:eastAsia="宋体" w:cs="Times New Roman"/>
          <w:bCs w:val="0"/>
          <w:color w:val="auto"/>
          <w:sz w:val="24"/>
          <w:szCs w:val="22"/>
        </w:rPr>
        <w:t>《中华人民共和国个人所得税法实施条例》</w:t>
      </w:r>
      <w:r>
        <w:rPr>
          <w:rFonts w:hint="default" w:ascii="宋体" w:hAnsi="宋体" w:eastAsia="宋体" w:cs="Times New Roman"/>
          <w:bCs w:val="0"/>
          <w:color w:val="auto"/>
          <w:sz w:val="24"/>
          <w:szCs w:val="22"/>
        </w:rPr>
        <w:t>第二十六条　</w:t>
      </w:r>
    </w:p>
    <w:p>
      <w:pPr>
        <w:ind w:firstLine="472"/>
        <w:rPr>
          <w:rFonts w:ascii="宋体" w:hAnsi="宋体" w:eastAsia="宋体" w:cs="Times New Roman"/>
          <w:bCs w:val="0"/>
          <w:color w:val="auto"/>
          <w:sz w:val="24"/>
          <w:szCs w:val="22"/>
        </w:rPr>
      </w:pPr>
      <w:r>
        <w:rPr>
          <w:rFonts w:ascii="宋体" w:hAnsi="宋体" w:eastAsia="宋体" w:cs="Times New Roman"/>
          <w:bCs w:val="0"/>
          <w:color w:val="auto"/>
          <w:sz w:val="24"/>
          <w:szCs w:val="22"/>
        </w:rPr>
        <w:t>“</w:t>
      </w:r>
      <w:r>
        <w:rPr>
          <w:rFonts w:hint="default" w:ascii="宋体" w:hAnsi="宋体" w:eastAsia="宋体" w:cs="Times New Roman"/>
          <w:bCs w:val="0"/>
          <w:color w:val="auto"/>
          <w:sz w:val="24"/>
          <w:szCs w:val="22"/>
        </w:rPr>
        <w:t>个人所得税法第十条第二款所称全员全额扣缴申报，是指扣缴义务人在代扣税款的次月十五日内，向主管税务机关报送其支付所得的所有个人的有关信息、支付所得数额、扣除事项和数额、扣缴税款的具体数额和总额以及其他相关涉税信息资料。</w:t>
      </w:r>
      <w:r>
        <w:rPr>
          <w:rFonts w:ascii="宋体" w:hAnsi="宋体" w:eastAsia="宋体" w:cs="Times New Roman"/>
          <w:bCs w:val="0"/>
          <w:color w:val="auto"/>
          <w:sz w:val="24"/>
          <w:szCs w:val="22"/>
        </w:rPr>
        <w:t>”</w:t>
      </w:r>
    </w:p>
    <w:p>
      <w:pPr>
        <w:ind w:firstLine="472"/>
        <w:rPr>
          <w:rFonts w:ascii="宋体" w:hAnsi="宋体" w:eastAsia="宋体" w:cs="Times New Roman"/>
          <w:bCs w:val="0"/>
          <w:color w:val="auto"/>
          <w:sz w:val="24"/>
          <w:szCs w:val="22"/>
        </w:rPr>
      </w:pPr>
      <w:r>
        <w:rPr>
          <w:rFonts w:hint="default" w:ascii="宋体" w:hAnsi="宋体" w:eastAsia="宋体" w:cs="Times New Roman"/>
          <w:bCs w:val="0"/>
          <w:color w:val="auto"/>
          <w:sz w:val="24"/>
          <w:szCs w:val="22"/>
        </w:rPr>
        <w:t>5</w:t>
      </w:r>
      <w:r>
        <w:rPr>
          <w:rFonts w:ascii="宋体" w:hAnsi="宋体" w:eastAsia="宋体" w:cs="Times New Roman"/>
          <w:bCs w:val="0"/>
          <w:color w:val="auto"/>
          <w:sz w:val="24"/>
          <w:szCs w:val="22"/>
        </w:rPr>
        <w:t>.《国家税务总局关于发布〈个人所得税扣缴申报管理办法（试行）〉的公告》（国家税务总局公告2018年第61号）</w:t>
      </w:r>
      <w:r>
        <w:rPr>
          <w:rFonts w:hint="default" w:ascii="宋体" w:hAnsi="宋体" w:eastAsia="宋体" w:cs="Times New Roman"/>
          <w:bCs w:val="0"/>
          <w:color w:val="auto"/>
          <w:sz w:val="24"/>
          <w:szCs w:val="22"/>
        </w:rPr>
        <w:t>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bCs/>
                <w:color w:val="auto"/>
                <w:kern w:val="0"/>
                <w:sz w:val="18"/>
                <w:szCs w:val="18"/>
              </w:rPr>
            </w:pPr>
            <w:r>
              <w:rPr>
                <w:rFonts w:hint="eastAsia" w:cs="宋体"/>
                <w:bCs/>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bCs/>
                <w:color w:val="auto"/>
                <w:kern w:val="0"/>
                <w:sz w:val="18"/>
                <w:szCs w:val="18"/>
              </w:rPr>
            </w:pPr>
            <w:r>
              <w:rPr>
                <w:rFonts w:hint="eastAsia" w:cs="宋体"/>
                <w:bCs/>
                <w:color w:val="auto"/>
                <w:kern w:val="0"/>
                <w:sz w:val="18"/>
                <w:szCs w:val="18"/>
              </w:rPr>
              <w:t>《个人所得税扣缴申报表》</w:t>
            </w:r>
          </w:p>
        </w:tc>
        <w:tc>
          <w:tcPr>
            <w:tcW w:w="709" w:type="dxa"/>
            <w:shd w:val="clear" w:color="auto" w:fill="auto"/>
            <w:vAlign w:val="center"/>
          </w:tcPr>
          <w:p>
            <w:pPr>
              <w:widowControl/>
              <w:spacing w:line="280" w:lineRule="exact"/>
              <w:ind w:firstLine="0" w:firstLineChars="0"/>
              <w:jc w:val="center"/>
              <w:rPr>
                <w:rFonts w:cs="宋体"/>
                <w:bCs/>
                <w:color w:val="auto"/>
                <w:kern w:val="0"/>
                <w:sz w:val="18"/>
                <w:szCs w:val="18"/>
              </w:rPr>
            </w:pPr>
            <w:r>
              <w:rPr>
                <w:rFonts w:hint="eastAsia" w:cs="宋体"/>
                <w:bCs/>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bCs/>
                <w:color w:val="auto"/>
                <w:kern w:val="0"/>
                <w:sz w:val="18"/>
                <w:szCs w:val="18"/>
              </w:rPr>
            </w:pPr>
            <w:r>
              <w:rPr>
                <w:rFonts w:hint="eastAsia" w:cs="宋体"/>
                <w:bCs/>
                <w:color w:val="auto"/>
                <w:kern w:val="0"/>
                <w:sz w:val="18"/>
                <w:szCs w:val="18"/>
              </w:rPr>
              <w:t>必报</w:t>
            </w:r>
          </w:p>
        </w:tc>
        <w:tc>
          <w:tcPr>
            <w:tcW w:w="1134" w:type="dxa"/>
            <w:shd w:val="clear" w:color="auto" w:fill="auto"/>
            <w:vAlign w:val="center"/>
          </w:tcPr>
          <w:p>
            <w:pPr>
              <w:widowControl/>
              <w:spacing w:line="280" w:lineRule="exact"/>
              <w:ind w:firstLine="0" w:firstLineChars="0"/>
              <w:jc w:val="left"/>
              <w:rPr>
                <w:rFonts w:cs="宋体"/>
                <w:bCs/>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bCs/>
                <w:color w:val="auto"/>
                <w:kern w:val="0"/>
                <w:sz w:val="18"/>
                <w:szCs w:val="18"/>
              </w:rPr>
            </w:pPr>
            <w:r>
              <w:rPr>
                <w:rFonts w:hint="eastAsia" w:cs="宋体"/>
                <w:bCs/>
                <w:color w:val="auto"/>
                <w:kern w:val="0"/>
                <w:sz w:val="18"/>
                <w:szCs w:val="18"/>
              </w:rPr>
              <w:t>2</w:t>
            </w:r>
          </w:p>
        </w:tc>
        <w:tc>
          <w:tcPr>
            <w:tcW w:w="2551" w:type="dxa"/>
            <w:shd w:val="clear" w:color="auto" w:fill="auto"/>
            <w:vAlign w:val="center"/>
          </w:tcPr>
          <w:p>
            <w:pPr>
              <w:widowControl/>
              <w:spacing w:line="280" w:lineRule="exact"/>
              <w:ind w:firstLine="0" w:firstLineChars="0"/>
              <w:jc w:val="left"/>
              <w:rPr>
                <w:rFonts w:cs="宋体"/>
                <w:bCs/>
                <w:color w:val="auto"/>
                <w:kern w:val="0"/>
                <w:sz w:val="18"/>
                <w:szCs w:val="18"/>
              </w:rPr>
            </w:pPr>
            <w:r>
              <w:rPr>
                <w:rFonts w:hint="eastAsia" w:cs="宋体"/>
                <w:bCs/>
                <w:color w:val="auto"/>
                <w:kern w:val="0"/>
                <w:sz w:val="18"/>
                <w:szCs w:val="18"/>
              </w:rPr>
              <w:t>《个人所得税基础信息表（</w:t>
            </w:r>
            <w:r>
              <w:rPr>
                <w:rFonts w:cs="宋体"/>
                <w:bCs/>
                <w:color w:val="auto"/>
                <w:kern w:val="0"/>
                <w:sz w:val="18"/>
                <w:szCs w:val="18"/>
              </w:rPr>
              <w:t>A表）》</w:t>
            </w:r>
          </w:p>
        </w:tc>
        <w:tc>
          <w:tcPr>
            <w:tcW w:w="709" w:type="dxa"/>
            <w:shd w:val="clear" w:color="auto" w:fill="auto"/>
            <w:vAlign w:val="center"/>
          </w:tcPr>
          <w:p>
            <w:pPr>
              <w:widowControl/>
              <w:spacing w:line="280" w:lineRule="exact"/>
              <w:ind w:firstLine="0" w:firstLineChars="0"/>
              <w:jc w:val="center"/>
              <w:rPr>
                <w:rFonts w:cs="宋体"/>
                <w:bCs/>
                <w:color w:val="auto"/>
                <w:kern w:val="0"/>
                <w:sz w:val="18"/>
                <w:szCs w:val="18"/>
              </w:rPr>
            </w:pPr>
            <w:r>
              <w:rPr>
                <w:rFonts w:hint="eastAsia" w:cs="宋体"/>
                <w:bCs/>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bCs/>
                <w:color w:val="auto"/>
                <w:kern w:val="0"/>
                <w:sz w:val="18"/>
                <w:szCs w:val="18"/>
              </w:rPr>
            </w:pPr>
            <w:r>
              <w:rPr>
                <w:rFonts w:hint="eastAsia" w:cs="宋体"/>
                <w:bCs/>
                <w:color w:val="auto"/>
                <w:kern w:val="0"/>
                <w:sz w:val="18"/>
                <w:szCs w:val="18"/>
              </w:rPr>
              <w:t>必报</w:t>
            </w:r>
          </w:p>
        </w:tc>
        <w:tc>
          <w:tcPr>
            <w:tcW w:w="1134" w:type="dxa"/>
            <w:shd w:val="clear" w:color="auto" w:fill="auto"/>
            <w:vAlign w:val="center"/>
          </w:tcPr>
          <w:p>
            <w:pPr>
              <w:widowControl/>
              <w:spacing w:line="280" w:lineRule="exact"/>
              <w:ind w:firstLine="0" w:firstLineChars="0"/>
              <w:jc w:val="left"/>
              <w:rPr>
                <w:rFonts w:cs="宋体"/>
                <w:bCs/>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bCs/>
                <w:color w:val="auto"/>
                <w:kern w:val="0"/>
                <w:sz w:val="18"/>
                <w:szCs w:val="18"/>
              </w:rPr>
            </w:pPr>
            <w:r>
              <w:rPr>
                <w:rFonts w:cs="微软雅黑"/>
                <w:color w:val="auto"/>
                <w:sz w:val="18"/>
                <w:szCs w:val="18"/>
              </w:rPr>
              <w:t>3</w:t>
            </w:r>
          </w:p>
        </w:tc>
        <w:tc>
          <w:tcPr>
            <w:tcW w:w="2551" w:type="dxa"/>
            <w:shd w:val="clear" w:color="auto" w:fill="auto"/>
            <w:vAlign w:val="center"/>
          </w:tcPr>
          <w:p>
            <w:pPr>
              <w:widowControl/>
              <w:spacing w:line="280" w:lineRule="exact"/>
              <w:ind w:firstLine="0" w:firstLineChars="0"/>
              <w:jc w:val="left"/>
              <w:rPr>
                <w:rFonts w:cs="宋体"/>
                <w:bCs/>
                <w:color w:val="auto"/>
                <w:kern w:val="0"/>
                <w:sz w:val="18"/>
                <w:szCs w:val="18"/>
              </w:rPr>
            </w:pPr>
            <w:r>
              <w:rPr>
                <w:rFonts w:hint="eastAsia" w:cs="Arial"/>
                <w:color w:val="auto"/>
                <w:sz w:val="18"/>
                <w:szCs w:val="18"/>
              </w:rPr>
              <w:t>《商业健康保险税前扣除情况明细表》</w:t>
            </w:r>
          </w:p>
        </w:tc>
        <w:tc>
          <w:tcPr>
            <w:tcW w:w="709" w:type="dxa"/>
            <w:shd w:val="clear" w:color="auto" w:fill="auto"/>
            <w:vAlign w:val="center"/>
          </w:tcPr>
          <w:p>
            <w:pPr>
              <w:widowControl/>
              <w:spacing w:line="280" w:lineRule="exact"/>
              <w:ind w:firstLine="0" w:firstLineChars="0"/>
              <w:jc w:val="center"/>
              <w:rPr>
                <w:rFonts w:cs="宋体"/>
                <w:bCs/>
                <w:color w:val="auto"/>
                <w:kern w:val="0"/>
                <w:sz w:val="18"/>
                <w:szCs w:val="18"/>
              </w:rPr>
            </w:pPr>
            <w:r>
              <w:rPr>
                <w:rFonts w:hint="eastAsia" w:cs="宋体"/>
                <w:bCs/>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bCs/>
                <w:color w:val="auto"/>
                <w:kern w:val="0"/>
                <w:sz w:val="18"/>
                <w:szCs w:val="18"/>
              </w:rPr>
            </w:pPr>
            <w:r>
              <w:rPr>
                <w:rFonts w:hint="eastAsia" w:cs="宋体"/>
                <w:bCs/>
                <w:color w:val="auto"/>
                <w:kern w:val="0"/>
                <w:sz w:val="18"/>
                <w:szCs w:val="18"/>
              </w:rPr>
              <w:t>条件报送</w:t>
            </w:r>
          </w:p>
        </w:tc>
        <w:tc>
          <w:tcPr>
            <w:tcW w:w="1134" w:type="dxa"/>
            <w:shd w:val="clear" w:color="auto" w:fill="auto"/>
            <w:vAlign w:val="center"/>
          </w:tcPr>
          <w:p>
            <w:pPr>
              <w:widowControl/>
              <w:spacing w:line="280" w:lineRule="exact"/>
              <w:ind w:firstLine="0" w:firstLineChars="0"/>
              <w:jc w:val="left"/>
              <w:rPr>
                <w:rFonts w:cs="宋体"/>
                <w:bCs/>
                <w:color w:val="auto"/>
                <w:kern w:val="0"/>
                <w:sz w:val="18"/>
                <w:szCs w:val="18"/>
              </w:rPr>
            </w:pPr>
            <w:r>
              <w:rPr>
                <w:rFonts w:hint="eastAsia" w:cs="宋体"/>
                <w:bCs/>
                <w:color w:val="auto"/>
                <w:kern w:val="0"/>
                <w:sz w:val="18"/>
                <w:szCs w:val="18"/>
              </w:rPr>
              <w:t>个人自行购买、单位统一组织为员工购买或者单位和个人共同负担购买符合规定的商业健康保险产品的，扣缴义务人在申报时报送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w:t>
            </w:r>
          </w:p>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bCs/>
                <w:color w:val="auto"/>
                <w:kern w:val="0"/>
                <w:sz w:val="18"/>
                <w:szCs w:val="18"/>
              </w:rPr>
            </w:pPr>
            <w:r>
              <w:rPr>
                <w:rFonts w:cs="微软雅黑"/>
                <w:color w:val="auto"/>
                <w:sz w:val="18"/>
                <w:szCs w:val="18"/>
              </w:rPr>
              <w:t>4</w:t>
            </w:r>
          </w:p>
        </w:tc>
        <w:tc>
          <w:tcPr>
            <w:tcW w:w="2551" w:type="dxa"/>
            <w:shd w:val="clear" w:color="auto" w:fill="auto"/>
            <w:vAlign w:val="center"/>
          </w:tcPr>
          <w:p>
            <w:pPr>
              <w:widowControl/>
              <w:spacing w:line="280" w:lineRule="exact"/>
              <w:ind w:firstLine="0" w:firstLineChars="0"/>
              <w:jc w:val="left"/>
              <w:rPr>
                <w:rFonts w:cs="宋体"/>
                <w:bCs/>
                <w:color w:val="auto"/>
                <w:kern w:val="0"/>
                <w:sz w:val="18"/>
                <w:szCs w:val="18"/>
              </w:rPr>
            </w:pPr>
            <w:r>
              <w:rPr>
                <w:rFonts w:hint="eastAsia" w:cs="Arial"/>
                <w:color w:val="auto"/>
                <w:sz w:val="18"/>
                <w:szCs w:val="18"/>
              </w:rPr>
              <w:t>《个人税收递延型商业养老保险税前扣除情况明细表》</w:t>
            </w:r>
          </w:p>
        </w:tc>
        <w:tc>
          <w:tcPr>
            <w:tcW w:w="709" w:type="dxa"/>
            <w:shd w:val="clear" w:color="auto" w:fill="auto"/>
            <w:vAlign w:val="center"/>
          </w:tcPr>
          <w:p>
            <w:pPr>
              <w:widowControl/>
              <w:spacing w:line="280" w:lineRule="exact"/>
              <w:ind w:firstLine="0" w:firstLineChars="0"/>
              <w:jc w:val="center"/>
              <w:rPr>
                <w:rFonts w:cs="宋体"/>
                <w:bCs/>
                <w:color w:val="auto"/>
                <w:kern w:val="0"/>
                <w:sz w:val="18"/>
                <w:szCs w:val="18"/>
              </w:rPr>
            </w:pPr>
            <w:r>
              <w:rPr>
                <w:rFonts w:hint="eastAsia" w:cs="宋体"/>
                <w:bCs/>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bCs/>
                <w:color w:val="auto"/>
                <w:kern w:val="0"/>
                <w:sz w:val="18"/>
                <w:szCs w:val="18"/>
              </w:rPr>
            </w:pPr>
            <w:r>
              <w:rPr>
                <w:rFonts w:hint="eastAsia" w:cs="宋体"/>
                <w:bCs/>
                <w:color w:val="auto"/>
                <w:kern w:val="0"/>
                <w:sz w:val="18"/>
                <w:szCs w:val="18"/>
              </w:rPr>
              <w:t>条件报送</w:t>
            </w:r>
          </w:p>
        </w:tc>
        <w:tc>
          <w:tcPr>
            <w:tcW w:w="1134" w:type="dxa"/>
            <w:shd w:val="clear" w:color="auto" w:fill="auto"/>
            <w:vAlign w:val="center"/>
          </w:tcPr>
          <w:p>
            <w:pPr>
              <w:widowControl/>
              <w:spacing w:line="280" w:lineRule="exact"/>
              <w:ind w:firstLine="0" w:firstLineChars="0"/>
              <w:jc w:val="left"/>
              <w:rPr>
                <w:rFonts w:cs="宋体"/>
                <w:bCs/>
                <w:color w:val="auto"/>
                <w:kern w:val="0"/>
                <w:sz w:val="18"/>
                <w:szCs w:val="18"/>
              </w:rPr>
            </w:pPr>
            <w:r>
              <w:rPr>
                <w:rFonts w:hint="eastAsia" w:cs="宋体"/>
                <w:bCs/>
                <w:color w:val="auto"/>
                <w:kern w:val="0"/>
                <w:sz w:val="18"/>
                <w:szCs w:val="18"/>
              </w:rPr>
              <w:t>个人自行购买、单位统一组织为员工购买或者单位和个人共同负担购买符合规定的商业养老保险产品的，扣缴义务人在申报时报送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w:t>
            </w:r>
          </w:p>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bCs/>
                <w:color w:val="auto"/>
                <w:kern w:val="0"/>
                <w:sz w:val="18"/>
                <w:szCs w:val="18"/>
              </w:rPr>
            </w:pPr>
            <w:r>
              <w:rPr>
                <w:rFonts w:cs="微软雅黑"/>
                <w:color w:val="auto"/>
                <w:sz w:val="18"/>
                <w:szCs w:val="18"/>
              </w:rPr>
              <w:t>5</w:t>
            </w:r>
          </w:p>
        </w:tc>
        <w:tc>
          <w:tcPr>
            <w:tcW w:w="2551" w:type="dxa"/>
            <w:shd w:val="clear" w:color="auto" w:fill="auto"/>
            <w:vAlign w:val="center"/>
          </w:tcPr>
          <w:p>
            <w:pPr>
              <w:widowControl/>
              <w:spacing w:line="280" w:lineRule="exact"/>
              <w:ind w:firstLine="0" w:firstLineChars="0"/>
              <w:jc w:val="left"/>
              <w:rPr>
                <w:rFonts w:cs="宋体"/>
                <w:bCs/>
                <w:color w:val="auto"/>
                <w:kern w:val="0"/>
                <w:sz w:val="18"/>
                <w:szCs w:val="18"/>
              </w:rPr>
            </w:pPr>
            <w:r>
              <w:rPr>
                <w:rFonts w:hint="eastAsia" w:cs="Arial"/>
                <w:color w:val="auto"/>
                <w:sz w:val="18"/>
                <w:szCs w:val="18"/>
              </w:rPr>
              <w:t>《个人所得税减免税事项报告表》</w:t>
            </w:r>
          </w:p>
        </w:tc>
        <w:tc>
          <w:tcPr>
            <w:tcW w:w="709" w:type="dxa"/>
            <w:shd w:val="clear" w:color="auto" w:fill="auto"/>
            <w:vAlign w:val="center"/>
          </w:tcPr>
          <w:p>
            <w:pPr>
              <w:widowControl/>
              <w:spacing w:line="280" w:lineRule="exact"/>
              <w:ind w:firstLine="0" w:firstLineChars="0"/>
              <w:jc w:val="center"/>
              <w:rPr>
                <w:rFonts w:cs="宋体"/>
                <w:bCs/>
                <w:color w:val="auto"/>
                <w:kern w:val="0"/>
                <w:sz w:val="18"/>
                <w:szCs w:val="18"/>
              </w:rPr>
            </w:pPr>
            <w:r>
              <w:rPr>
                <w:rFonts w:hint="eastAsia" w:cs="宋体"/>
                <w:bCs/>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bCs/>
                <w:color w:val="auto"/>
                <w:kern w:val="0"/>
                <w:sz w:val="18"/>
                <w:szCs w:val="18"/>
              </w:rPr>
            </w:pPr>
            <w:r>
              <w:rPr>
                <w:rFonts w:hint="eastAsia" w:cs="宋体"/>
                <w:bCs/>
                <w:color w:val="auto"/>
                <w:kern w:val="0"/>
                <w:sz w:val="18"/>
                <w:szCs w:val="18"/>
              </w:rPr>
              <w:t>条件报送</w:t>
            </w:r>
          </w:p>
        </w:tc>
        <w:tc>
          <w:tcPr>
            <w:tcW w:w="1134" w:type="dxa"/>
            <w:shd w:val="clear" w:color="auto" w:fill="auto"/>
            <w:vAlign w:val="center"/>
          </w:tcPr>
          <w:p>
            <w:pPr>
              <w:widowControl/>
              <w:spacing w:line="280" w:lineRule="exact"/>
              <w:ind w:firstLine="0" w:firstLineChars="0"/>
              <w:jc w:val="left"/>
              <w:rPr>
                <w:rFonts w:cs="宋体"/>
                <w:bCs/>
                <w:color w:val="auto"/>
                <w:kern w:val="0"/>
                <w:sz w:val="18"/>
                <w:szCs w:val="18"/>
              </w:rPr>
            </w:pPr>
            <w:r>
              <w:rPr>
                <w:rFonts w:hint="eastAsia" w:cs="宋体"/>
                <w:bCs/>
                <w:color w:val="auto"/>
                <w:kern w:val="0"/>
                <w:sz w:val="18"/>
                <w:szCs w:val="18"/>
              </w:rPr>
              <w:t>纳税申报时存在减免个人所得税情形的</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w:t>
            </w:r>
          </w:p>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bCs/>
                <w:color w:val="auto"/>
                <w:kern w:val="0"/>
                <w:sz w:val="18"/>
                <w:szCs w:val="18"/>
              </w:rPr>
            </w:pPr>
            <w:r>
              <w:rPr>
                <w:rFonts w:hint="eastAsia" w:cs="宋体"/>
                <w:bCs/>
                <w:color w:val="auto"/>
                <w:kern w:val="0"/>
                <w:sz w:val="18"/>
                <w:szCs w:val="18"/>
              </w:rPr>
              <w:t>6</w:t>
            </w:r>
          </w:p>
        </w:tc>
        <w:tc>
          <w:tcPr>
            <w:tcW w:w="2551" w:type="dxa"/>
            <w:shd w:val="clear" w:color="auto" w:fill="auto"/>
            <w:vAlign w:val="center"/>
          </w:tcPr>
          <w:p>
            <w:pPr>
              <w:widowControl/>
              <w:spacing w:line="280" w:lineRule="exact"/>
              <w:ind w:firstLine="0" w:firstLineChars="0"/>
              <w:jc w:val="left"/>
              <w:rPr>
                <w:rFonts w:cs="宋体"/>
                <w:bCs/>
                <w:color w:val="auto"/>
                <w:kern w:val="0"/>
                <w:sz w:val="18"/>
                <w:szCs w:val="18"/>
              </w:rPr>
            </w:pPr>
            <w:r>
              <w:rPr>
                <w:rFonts w:hint="eastAsia" w:cs="宋体"/>
                <w:bCs/>
                <w:color w:val="auto"/>
                <w:kern w:val="0"/>
                <w:sz w:val="18"/>
                <w:szCs w:val="18"/>
              </w:rPr>
              <w:t>公司股权激励人员名单</w:t>
            </w:r>
          </w:p>
        </w:tc>
        <w:tc>
          <w:tcPr>
            <w:tcW w:w="709" w:type="dxa"/>
            <w:shd w:val="clear" w:color="auto" w:fill="auto"/>
            <w:vAlign w:val="center"/>
          </w:tcPr>
          <w:p>
            <w:pPr>
              <w:widowControl/>
              <w:spacing w:line="280" w:lineRule="exact"/>
              <w:ind w:firstLine="0" w:firstLineChars="0"/>
              <w:jc w:val="center"/>
              <w:rPr>
                <w:rFonts w:cs="宋体"/>
                <w:bCs/>
                <w:color w:val="auto"/>
                <w:kern w:val="0"/>
                <w:sz w:val="18"/>
                <w:szCs w:val="18"/>
              </w:rPr>
            </w:pPr>
            <w:r>
              <w:rPr>
                <w:rFonts w:hint="eastAsia" w:cs="宋体"/>
                <w:bCs/>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bCs/>
                <w:color w:val="auto"/>
                <w:kern w:val="0"/>
                <w:sz w:val="18"/>
                <w:szCs w:val="18"/>
              </w:rPr>
            </w:pPr>
            <w:r>
              <w:rPr>
                <w:rFonts w:hint="eastAsia" w:cs="宋体"/>
                <w:bCs/>
                <w:color w:val="auto"/>
                <w:kern w:val="0"/>
                <w:sz w:val="18"/>
                <w:szCs w:val="18"/>
              </w:rPr>
              <w:t>条件报送</w:t>
            </w:r>
          </w:p>
        </w:tc>
        <w:tc>
          <w:tcPr>
            <w:tcW w:w="1134" w:type="dxa"/>
            <w:shd w:val="clear" w:color="auto" w:fill="auto"/>
            <w:vAlign w:val="center"/>
          </w:tcPr>
          <w:p>
            <w:pPr>
              <w:widowControl/>
              <w:spacing w:line="280" w:lineRule="exact"/>
              <w:ind w:firstLine="0" w:firstLineChars="0"/>
              <w:jc w:val="left"/>
              <w:rPr>
                <w:rFonts w:cs="宋体"/>
                <w:bCs/>
                <w:color w:val="auto"/>
                <w:kern w:val="0"/>
                <w:sz w:val="18"/>
                <w:szCs w:val="18"/>
              </w:rPr>
            </w:pPr>
            <w:r>
              <w:rPr>
                <w:rFonts w:hint="eastAsia" w:cs="宋体"/>
                <w:bCs/>
                <w:color w:val="auto"/>
                <w:kern w:val="0"/>
                <w:sz w:val="18"/>
                <w:szCs w:val="18"/>
              </w:rPr>
              <w:t>企业存在股权激励和股票期权职工行权时</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w:t>
            </w:r>
          </w:p>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ind w:left="472" w:firstLine="0" w:firstLineChars="0"/>
        <w:rPr>
          <w:color w:val="auto"/>
        </w:rPr>
      </w:pPr>
      <w:r>
        <w:rPr>
          <w:color w:val="auto"/>
        </w:rPr>
        <w:pict>
          <v:shape id="_x0000_s1044" o:spid="_x0000_s1044" o:spt="75" type="#_x0000_t75" style="position:absolute;left:0pt;margin-left:8.6pt;margin-top:16.6pt;height:104.45pt;width:439.3pt;mso-wrap-distance-bottom:0pt;mso-wrap-distance-left:9pt;mso-wrap-distance-right:9pt;mso-wrap-distance-top:0pt;z-index:251716608;mso-width-relative:page;mso-height-relative:page;" filled="f" o:preferrelative="t" stroked="f" coordsize="21600,21600">
            <v:path/>
            <v:fill on="f" focussize="0,0"/>
            <v:stroke on="f" joinstyle="miter"/>
            <v:imagedata r:id="rId10" o:title=""/>
            <o:lock v:ext="edit" aspectratio="f"/>
            <w10:wrap type="square"/>
          </v:shape>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w:t>
      </w:r>
      <w:r>
        <w:rPr>
          <w:color w:val="auto"/>
        </w:rPr>
        <w:t>A06868《个人所得税扣缴申报表》</w:t>
      </w:r>
    </w:p>
    <w:p>
      <w:pPr>
        <w:ind w:firstLine="472"/>
        <w:rPr>
          <w:color w:val="auto"/>
        </w:rPr>
      </w:pPr>
      <w:r>
        <w:rPr>
          <w:rFonts w:hint="eastAsia"/>
          <w:color w:val="auto"/>
        </w:rPr>
        <w:t>2.</w:t>
      </w:r>
      <w:r>
        <w:rPr>
          <w:color w:val="auto"/>
        </w:rPr>
        <w:t>A06448《个人所得税基础信息表（A表）》</w:t>
      </w:r>
    </w:p>
    <w:p>
      <w:pPr>
        <w:ind w:firstLine="472"/>
        <w:rPr>
          <w:color w:val="auto"/>
        </w:rPr>
      </w:pPr>
      <w:r>
        <w:rPr>
          <w:rFonts w:hint="eastAsia"/>
          <w:color w:val="auto"/>
        </w:rPr>
        <w:t>3.</w:t>
      </w:r>
      <w:r>
        <w:rPr>
          <w:color w:val="auto"/>
        </w:rPr>
        <w:t>A06729《商业健康保险税前扣除情况明细表》</w:t>
      </w:r>
    </w:p>
    <w:p>
      <w:pPr>
        <w:ind w:firstLine="472"/>
        <w:rPr>
          <w:color w:val="auto"/>
        </w:rPr>
      </w:pPr>
      <w:r>
        <w:rPr>
          <w:rFonts w:hint="eastAsia"/>
          <w:color w:val="auto"/>
        </w:rPr>
        <w:t>4.</w:t>
      </w:r>
      <w:r>
        <w:rPr>
          <w:color w:val="auto"/>
        </w:rPr>
        <w:t>A06844《个人税收递延型商业养老保险税前扣除情况明细表》</w:t>
      </w:r>
    </w:p>
    <w:p>
      <w:pPr>
        <w:ind w:firstLine="472"/>
        <w:rPr>
          <w:color w:val="auto"/>
        </w:rPr>
      </w:pPr>
      <w:r>
        <w:rPr>
          <w:rFonts w:hint="eastAsia"/>
          <w:color w:val="auto"/>
        </w:rPr>
        <w:t>5.</w:t>
      </w:r>
      <w:r>
        <w:rPr>
          <w:color w:val="auto"/>
        </w:rPr>
        <w:t>A06652《个人所得税减免税事项报告表》</w:t>
      </w:r>
    </w:p>
    <w:p>
      <w:pPr>
        <w:pStyle w:val="3"/>
        <w:ind w:firstLine="552"/>
        <w:rPr>
          <w:color w:val="auto"/>
        </w:rPr>
      </w:pPr>
      <w:r>
        <w:rPr>
          <w:rFonts w:hint="eastAsia"/>
          <w:color w:val="auto"/>
        </w:rPr>
        <w:t>九、注意事项</w:t>
      </w:r>
    </w:p>
    <w:p>
      <w:pPr>
        <w:ind w:firstLine="472"/>
        <w:rPr>
          <w:color w:val="auto"/>
        </w:rPr>
      </w:pPr>
      <w:r>
        <w:rPr>
          <w:color w:val="auto"/>
        </w:rPr>
        <w:t>1.扣缴义务人向居民个人支付工资、薪金所得时，应当按照累计预扣法计算预扣税款，并按月办理扣缴申报。</w:t>
      </w:r>
    </w:p>
    <w:p>
      <w:pPr>
        <w:ind w:firstLine="472"/>
        <w:rPr>
          <w:color w:val="auto"/>
        </w:rPr>
      </w:pPr>
      <w:r>
        <w:rPr>
          <w:rFonts w:hint="eastAsia"/>
          <w:color w:val="auto"/>
        </w:rPr>
        <w:t>累计预扣法，是指扣缴义务人在一个纳税年度内预扣预缴税款时，以纳税人在本单位截至当前月份工资、薪金所得累计收入减除累计免税收入、累计减除费用、累计专项扣除、累计专项附加扣除和累计依法确定的其他扣除后的余额为累计预扣预缴应纳税所得额，适用个人所得税预扣率表一，计算累计应预扣预缴税额，再减除累计减免税额和累计已预扣预缴税额，其余额为本期应预扣预缴税额。余额为负值时，暂不退税。纳税年度终了后余额仍为负值时，由纳税人通过办理综合所得年度汇算清缴，税款多退少补。</w:t>
      </w:r>
    </w:p>
    <w:p>
      <w:pPr>
        <w:ind w:firstLine="472"/>
        <w:rPr>
          <w:color w:val="auto"/>
        </w:rPr>
      </w:pPr>
      <w:r>
        <w:rPr>
          <w:rFonts w:hint="eastAsia"/>
          <w:color w:val="auto"/>
        </w:rPr>
        <w:t>具体计算公式如下：</w:t>
      </w:r>
    </w:p>
    <w:p>
      <w:pPr>
        <w:ind w:firstLine="472"/>
        <w:rPr>
          <w:color w:val="auto"/>
        </w:rPr>
      </w:pPr>
      <w:r>
        <w:rPr>
          <w:rFonts w:hint="eastAsia"/>
          <w:color w:val="auto"/>
        </w:rPr>
        <w:t>本期应预扣预缴税额</w:t>
      </w:r>
      <w:r>
        <w:rPr>
          <w:color w:val="auto"/>
        </w:rPr>
        <w:t>=（累计预扣预缴应纳税所得额×预扣率-速算扣除数)-累计减免税额-累计已预扣预缴税额</w:t>
      </w:r>
    </w:p>
    <w:p>
      <w:pPr>
        <w:ind w:firstLine="472"/>
        <w:rPr>
          <w:color w:val="auto"/>
        </w:rPr>
      </w:pPr>
      <w:r>
        <w:rPr>
          <w:rFonts w:hint="eastAsia"/>
          <w:color w:val="auto"/>
        </w:rPr>
        <w:t>累计预扣预缴应纳税所得额</w:t>
      </w:r>
      <w:r>
        <w:rPr>
          <w:color w:val="auto"/>
        </w:rPr>
        <w:t>=累计收入-累计免税收入-累计减除费用-累计专项扣除-累计专项附加扣除-累计依法确定的其他扣除</w:t>
      </w:r>
    </w:p>
    <w:p>
      <w:pPr>
        <w:ind w:firstLine="472"/>
        <w:rPr>
          <w:color w:val="auto"/>
        </w:rPr>
      </w:pPr>
      <w:r>
        <w:rPr>
          <w:rFonts w:hint="eastAsia"/>
          <w:color w:val="auto"/>
        </w:rPr>
        <w:t>其中：累计减除费用，按照</w:t>
      </w:r>
      <w:r>
        <w:rPr>
          <w:color w:val="auto"/>
        </w:rPr>
        <w:t>5000元/月乘以纳税人当年截至本月在本单位的任职受雇月份数计算。</w:t>
      </w:r>
    </w:p>
    <w:p>
      <w:pPr>
        <w:ind w:firstLine="472"/>
        <w:rPr>
          <w:color w:val="auto"/>
        </w:rPr>
      </w:pPr>
      <w:r>
        <w:rPr>
          <w:color w:val="auto"/>
        </w:rPr>
        <w:t>2.居民个人向扣缴义务人提供有关信息并依法要求办理专项附加扣除的，扣缴义务人应当按照规定在工资、薪金所得按月预扣预缴税款时予以扣除，不得拒绝。</w:t>
      </w:r>
    </w:p>
    <w:p>
      <w:pPr>
        <w:ind w:firstLine="472"/>
        <w:rPr>
          <w:color w:val="auto"/>
        </w:rPr>
      </w:pPr>
      <w:r>
        <w:rPr>
          <w:color w:val="auto"/>
        </w:rPr>
        <w:t>3.扣缴义务人向居民个人支付劳务报酬所得、稿酬所得、特许权使用费所得时，应当按照以下方法按次或者按月预扣预缴税款：</w:t>
      </w:r>
    </w:p>
    <w:p>
      <w:pPr>
        <w:ind w:firstLine="472"/>
        <w:rPr>
          <w:color w:val="auto"/>
        </w:rPr>
      </w:pPr>
      <w:r>
        <w:rPr>
          <w:rFonts w:hint="eastAsia"/>
          <w:color w:val="auto"/>
        </w:rPr>
        <w:t>劳务报酬所得、稿酬所得、特许权使用费所得以收入减除费用后的余额为收入额；其中，稿酬所得的收入额减按百分之七十计算。</w:t>
      </w:r>
    </w:p>
    <w:p>
      <w:pPr>
        <w:ind w:firstLine="472"/>
        <w:rPr>
          <w:color w:val="auto"/>
        </w:rPr>
      </w:pPr>
      <w:r>
        <w:rPr>
          <w:rFonts w:hint="eastAsia"/>
          <w:color w:val="auto"/>
        </w:rPr>
        <w:t>减除费用：预扣预缴税款时，劳务报酬所得、稿酬所得、特许权使用费所得每次收入不超过四千元的，减除费用按八百元计算；每次收入四千元以上的，减除费用按收入的百分之二十计算。</w:t>
      </w:r>
    </w:p>
    <w:p>
      <w:pPr>
        <w:ind w:firstLine="472"/>
        <w:rPr>
          <w:color w:val="auto"/>
        </w:rPr>
      </w:pPr>
      <w:r>
        <w:rPr>
          <w:rFonts w:hint="eastAsia"/>
          <w:color w:val="auto"/>
        </w:rPr>
        <w:t>应纳税所得额：劳务报酬所得、稿酬所得、特许权使用费所得，以每次收入额为预扣预缴应纳税所得额，计算应预扣预缴税额。劳务报酬所得适用个人所得税预扣率表二，稿酬所得、特许权使用费所得适用百分之二十的比例预扣率。</w:t>
      </w:r>
    </w:p>
    <w:p>
      <w:pPr>
        <w:ind w:firstLine="472"/>
        <w:rPr>
          <w:color w:val="auto"/>
        </w:rPr>
      </w:pPr>
      <w:r>
        <w:rPr>
          <w:color w:val="auto"/>
        </w:rPr>
        <w:t>4.劳务报酬所得、稿酬所得、特许权使用费所得，属于一次性收入的，以取得该项收入为一次；属于同一项目连续性收入的，以一个月内取得的收入为一次。</w:t>
      </w:r>
    </w:p>
    <w:p>
      <w:pPr>
        <w:ind w:firstLine="472"/>
        <w:rPr>
          <w:rFonts w:ascii="宋体" w:hAnsi="宋体" w:eastAsia="宋体" w:cs="Times New Roman"/>
          <w:bCs w:val="0"/>
          <w:color w:val="auto"/>
          <w:sz w:val="24"/>
          <w:szCs w:val="22"/>
        </w:rPr>
      </w:pPr>
      <w:r>
        <w:rPr>
          <w:rFonts w:ascii="宋体" w:hAnsi="宋体" w:eastAsia="宋体" w:cs="Times New Roman"/>
          <w:bCs w:val="0"/>
          <w:color w:val="auto"/>
          <w:sz w:val="24"/>
          <w:szCs w:val="22"/>
        </w:rPr>
        <w:t>5.纳税人需要享受税收协定待遇的，应当在取得应税所得时主动向扣缴义务人提出，并提交相关信息、资料，扣缴义务人代扣代缴税款时按照享受税收协定待遇有关办法办理。</w:t>
      </w:r>
    </w:p>
    <w:p>
      <w:pPr>
        <w:ind w:firstLine="472"/>
        <w:rPr>
          <w:rFonts w:ascii="宋体" w:hAnsi="宋体" w:eastAsia="宋体" w:cs="Times New Roman"/>
          <w:bCs w:val="0"/>
          <w:color w:val="auto"/>
          <w:sz w:val="24"/>
          <w:szCs w:val="22"/>
        </w:rPr>
      </w:pPr>
      <w:r>
        <w:rPr>
          <w:rFonts w:ascii="宋体" w:hAnsi="宋体" w:eastAsia="宋体" w:cs="Times New Roman"/>
          <w:bCs w:val="0"/>
          <w:color w:val="auto"/>
          <w:sz w:val="24"/>
          <w:szCs w:val="22"/>
        </w:rPr>
        <w:t>6.系统检测扣缴义务人是否处于非正常户状态。</w:t>
      </w:r>
    </w:p>
    <w:p>
      <w:pPr>
        <w:ind w:firstLine="472"/>
        <w:rPr>
          <w:rFonts w:ascii="宋体" w:hAnsi="宋体" w:eastAsia="宋体" w:cs="Times New Roman"/>
          <w:bCs w:val="0"/>
          <w:color w:val="auto"/>
          <w:sz w:val="24"/>
          <w:szCs w:val="22"/>
        </w:rPr>
      </w:pPr>
      <w:r>
        <w:rPr>
          <w:rFonts w:ascii="宋体" w:hAnsi="宋体" w:eastAsia="宋体" w:cs="Times New Roman"/>
          <w:bCs w:val="0"/>
          <w:color w:val="auto"/>
          <w:sz w:val="24"/>
          <w:szCs w:val="22"/>
        </w:rPr>
        <w:t>7.扣缴义务人未进行扣缴登记的先进行扣缴登记。</w:t>
      </w:r>
    </w:p>
    <w:p>
      <w:pPr>
        <w:ind w:firstLine="472"/>
        <w:rPr>
          <w:color w:val="auto"/>
        </w:rPr>
      </w:pPr>
      <w:r>
        <w:rPr>
          <w:rFonts w:hint="eastAsia"/>
          <w:color w:val="auto"/>
        </w:rPr>
        <w:t>8.纳税人对报送资料的真实性和合法性承担责任。</w:t>
      </w:r>
    </w:p>
    <w:p>
      <w:pPr>
        <w:ind w:firstLine="472"/>
        <w:jc w:val="left"/>
        <w:rPr>
          <w:rFonts w:hint="eastAsia"/>
          <w:color w:val="auto"/>
        </w:rPr>
      </w:pPr>
      <w:r>
        <w:rPr>
          <w:rFonts w:hint="eastAsia"/>
          <w:color w:val="auto"/>
        </w:rPr>
        <w:t>9.最多跑一次是在资料完整且符合法定受理条件的前提下，最多只需要到税务机关跑一次。</w:t>
      </w:r>
    </w:p>
    <w:p>
      <w:pPr>
        <w:ind w:firstLine="472"/>
        <w:jc w:val="left"/>
        <w:rPr>
          <w:color w:val="auto"/>
        </w:rPr>
      </w:pPr>
      <w:r>
        <w:rPr>
          <w:rFonts w:hint="eastAsia"/>
          <w:color w:val="auto"/>
        </w:rPr>
        <w:t>10.</w:t>
      </w:r>
      <w:r>
        <w:rPr>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2CD71F9"/>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2019-10-31T03:47:03Z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