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29811"/>
      <w:r>
        <w:rPr>
          <w:rFonts w:hint="eastAsia" w:ascii="黑体" w:hAnsi="黑体"/>
          <w:color w:val="auto"/>
        </w:rPr>
        <w:t>1.2.1.5普通发票核定调整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普通发票核定调整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对已办理普通发票核定的纳税人，税务机关依据其申请重新核定其使用的普通发票种类、单次（月）领用数量和最高开票限额。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《中华人民共和国发票管理办法》第十五条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“依法办理税务登记的单位和个人，在领取税务登记证件后，向主管税务机关申请领购发票。”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《纳税人领用发票票种核定表》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sz w:val="18"/>
                <w:szCs w:val="18"/>
              </w:rPr>
              <w:t>经办人居民身份证或其他证明身份的合法证件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spacing w:line="240" w:lineRule="auto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2" w:firstLine="0" w:firstLineChars="0"/>
        <w:rPr>
          <w:color w:val="auto"/>
        </w:rPr>
      </w:pPr>
      <w:r>
        <w:rPr>
          <w:color w:val="auto"/>
        </w:rPr>
        <w:object>
          <v:shape id="_x0000_i1060" o:spt="75" type="#_x0000_t75" style="height:133.95pt;width:443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60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1.A02008《纳税人领用发票票种核定表》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1.对纳税信用为A级的纳税人按需调整其用量。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2.附报资料中已进行实名认证的不再进行身份证扫描，已提交电子资料的不再报送纸质资料。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4.最多跑一次是在资料完整且符合法定受理条件的前提下，最多只需要到税务机关跑一次。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BBE40B8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2019-10-31T03:39:19Z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