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552"/>
        <w:rPr>
          <w:rFonts w:hint="eastAsia" w:ascii="黑体" w:hAnsi="黑体"/>
          <w:color w:val="auto"/>
        </w:rPr>
      </w:pPr>
      <w:bookmarkStart w:id="1" w:name="_GoBack"/>
      <w:bookmarkEnd w:id="1"/>
      <w:bookmarkStart w:id="0" w:name="_Toc20206"/>
      <w:r>
        <w:rPr>
          <w:rFonts w:hint="eastAsia" w:ascii="黑体" w:hAnsi="黑体"/>
          <w:color w:val="auto"/>
        </w:rPr>
        <w:t>1.3.22.5境内机构和个人发包工程作业或劳务项目备案</w:t>
      </w:r>
      <w:bookmarkEnd w:id="0"/>
    </w:p>
    <w:p>
      <w:pPr>
        <w:pStyle w:val="3"/>
        <w:ind w:firstLine="552"/>
        <w:rPr>
          <w:color w:val="auto"/>
        </w:rPr>
      </w:pPr>
      <w:r>
        <w:rPr>
          <w:color w:val="auto"/>
        </w:rPr>
        <w:t>一、事项名称</w:t>
      </w:r>
    </w:p>
    <w:p>
      <w:pPr>
        <w:ind w:firstLine="472"/>
        <w:rPr>
          <w:color w:val="auto"/>
        </w:rPr>
      </w:pPr>
      <w:r>
        <w:rPr>
          <w:rFonts w:hint="eastAsia"/>
          <w:color w:val="auto"/>
        </w:rPr>
        <w:t>境内机构和个人发包工程作业或劳务项目备案</w:t>
      </w:r>
    </w:p>
    <w:p>
      <w:pPr>
        <w:pStyle w:val="3"/>
        <w:ind w:firstLine="552"/>
        <w:rPr>
          <w:color w:val="auto"/>
        </w:rPr>
      </w:pPr>
      <w:r>
        <w:rPr>
          <w:color w:val="auto"/>
        </w:rPr>
        <w:t>二、事项类别</w:t>
      </w:r>
    </w:p>
    <w:p>
      <w:pPr>
        <w:pStyle w:val="47"/>
        <w:numPr>
          <w:ilvl w:val="0"/>
          <w:numId w:val="3"/>
        </w:numPr>
        <w:ind w:firstLineChars="0"/>
        <w:rPr>
          <w:color w:val="auto"/>
        </w:rPr>
      </w:pPr>
      <w:r>
        <w:rPr>
          <w:rFonts w:hint="eastAsia"/>
          <w:color w:val="auto"/>
        </w:rPr>
        <w:t>发起方式：人工发起</w:t>
      </w:r>
      <w:r>
        <w:rPr>
          <w:color w:val="auto"/>
        </w:rPr>
        <w:t>（纳税人）</w:t>
      </w:r>
    </w:p>
    <w:p>
      <w:pPr>
        <w:pStyle w:val="47"/>
        <w:numPr>
          <w:ilvl w:val="0"/>
          <w:numId w:val="3"/>
        </w:numPr>
        <w:ind w:firstLineChars="0"/>
        <w:rPr>
          <w:color w:val="auto"/>
        </w:rPr>
      </w:pPr>
      <w:r>
        <w:rPr>
          <w:rFonts w:hint="eastAsia"/>
          <w:color w:val="auto"/>
        </w:rPr>
        <w:t>办结方式：即办</w:t>
      </w:r>
    </w:p>
    <w:p>
      <w:pPr>
        <w:pStyle w:val="47"/>
        <w:numPr>
          <w:ilvl w:val="0"/>
          <w:numId w:val="3"/>
        </w:numPr>
        <w:ind w:firstLineChars="0"/>
        <w:rPr>
          <w:color w:val="auto"/>
        </w:rPr>
      </w:pPr>
      <w:r>
        <w:rPr>
          <w:rFonts w:hint="eastAsia"/>
          <w:color w:val="auto"/>
        </w:rPr>
        <w:t>全省通办：否</w:t>
      </w:r>
    </w:p>
    <w:p>
      <w:pPr>
        <w:pStyle w:val="47"/>
        <w:numPr>
          <w:ilvl w:val="0"/>
          <w:numId w:val="3"/>
        </w:numPr>
        <w:ind w:firstLineChars="0"/>
        <w:rPr>
          <w:color w:val="auto"/>
        </w:rPr>
      </w:pPr>
      <w:r>
        <w:rPr>
          <w:rFonts w:hint="eastAsia"/>
          <w:color w:val="auto"/>
        </w:rPr>
        <w:t>网上办理：是</w:t>
      </w:r>
    </w:p>
    <w:p>
      <w:pPr>
        <w:pStyle w:val="47"/>
        <w:numPr>
          <w:ilvl w:val="0"/>
          <w:numId w:val="3"/>
        </w:numPr>
        <w:ind w:firstLineChars="0"/>
        <w:rPr>
          <w:color w:val="auto"/>
        </w:rPr>
      </w:pPr>
      <w:r>
        <w:rPr>
          <w:rFonts w:hint="eastAsia"/>
          <w:color w:val="auto"/>
        </w:rPr>
        <w:t>适用层级：县(市、区)级</w:t>
      </w:r>
    </w:p>
    <w:p>
      <w:pPr>
        <w:pStyle w:val="47"/>
        <w:numPr>
          <w:ilvl w:val="0"/>
          <w:numId w:val="3"/>
        </w:numPr>
        <w:ind w:firstLineChars="0"/>
        <w:rPr>
          <w:color w:val="auto"/>
        </w:rPr>
      </w:pPr>
      <w:r>
        <w:rPr>
          <w:rFonts w:hint="eastAsia"/>
          <w:color w:val="auto"/>
        </w:rPr>
        <w:t>最多跑一次：是</w:t>
      </w:r>
    </w:p>
    <w:p>
      <w:pPr>
        <w:pStyle w:val="3"/>
        <w:ind w:firstLine="552"/>
        <w:rPr>
          <w:color w:val="auto"/>
        </w:rPr>
      </w:pPr>
      <w:r>
        <w:rPr>
          <w:color w:val="auto"/>
        </w:rPr>
        <w:t>三、</w:t>
      </w:r>
      <w:r>
        <w:rPr>
          <w:rFonts w:hint="eastAsia"/>
          <w:color w:val="auto"/>
          <w:lang w:eastAsia="zh-CN"/>
        </w:rPr>
        <w:t>办理条件</w:t>
      </w:r>
    </w:p>
    <w:p>
      <w:pPr>
        <w:ind w:firstLine="472"/>
        <w:rPr>
          <w:color w:val="auto"/>
        </w:rPr>
      </w:pPr>
      <w:r>
        <w:rPr>
          <w:rFonts w:hint="eastAsia"/>
          <w:color w:val="auto"/>
        </w:rPr>
        <w:t>境内机构和个人向非居民发包工程作业或劳务项目的，应当自项目合同签订之日起</w:t>
      </w:r>
      <w:r>
        <w:rPr>
          <w:color w:val="auto"/>
        </w:rPr>
        <w:t>30日内，向主管税务机关报送《境内机构和个人发包工程作业或劳务项目报告表》等资料。境内机构和个人向非居民发包工程作业或劳务项目合同发生变更的，发包方或劳务受让方应自变更之日起10日内向所在地主管税务机关报送《非居民项目合同变更情况报告表》。</w:t>
      </w:r>
    </w:p>
    <w:p>
      <w:pPr>
        <w:pStyle w:val="3"/>
        <w:ind w:firstLine="552"/>
        <w:rPr>
          <w:color w:val="auto"/>
        </w:rPr>
      </w:pPr>
      <w:r>
        <w:rPr>
          <w:rFonts w:hint="eastAsia"/>
          <w:color w:val="auto"/>
        </w:rPr>
        <w:t>四、设定依据</w:t>
      </w:r>
    </w:p>
    <w:p>
      <w:pPr>
        <w:ind w:firstLine="472"/>
        <w:rPr>
          <w:color w:val="auto"/>
        </w:rPr>
      </w:pPr>
      <w:r>
        <w:rPr>
          <w:rFonts w:hint="eastAsia"/>
          <w:color w:val="auto"/>
        </w:rPr>
        <w:t>1.《非居民承包工程作业和提供劳务税收管理暂行办法》（国家税务总局令第</w:t>
      </w:r>
      <w:r>
        <w:rPr>
          <w:color w:val="auto"/>
        </w:rPr>
        <w:t>19号公布）第五条第三款、第七条</w:t>
      </w:r>
    </w:p>
    <w:p>
      <w:pPr>
        <w:ind w:firstLine="472"/>
        <w:rPr>
          <w:color w:val="auto"/>
        </w:rPr>
      </w:pPr>
      <w:r>
        <w:rPr>
          <w:rFonts w:hint="eastAsia"/>
          <w:color w:val="auto"/>
        </w:rPr>
        <w:t>“第五条第三款境内机构和个人向非居民发包工程作业或劳务项目的，应当自项目合同签订之日起</w:t>
      </w:r>
      <w:r>
        <w:rPr>
          <w:color w:val="auto"/>
        </w:rPr>
        <w:t>30日内，向主管税务机关报送《境内机构和个人发包工程作业或劳务项目报告表》，并附送非居民的税务登记证、合同、税务代理委托书复印件或非居民对有关事项的书面说明等资料。</w:t>
      </w:r>
    </w:p>
    <w:p>
      <w:pPr>
        <w:ind w:firstLine="472"/>
        <w:rPr>
          <w:color w:val="auto"/>
        </w:rPr>
      </w:pPr>
      <w:r>
        <w:rPr>
          <w:rFonts w:hint="eastAsia"/>
          <w:color w:val="auto"/>
        </w:rPr>
        <w:t>第七条境内机构和个人向非居民发包工程作业或劳务项目合同发生变更的，发包方或劳务受让方应自变更之日起</w:t>
      </w:r>
      <w:r>
        <w:rPr>
          <w:color w:val="auto"/>
        </w:rPr>
        <w:t>10日内向所在地主管税务机关报送《非居民项目合同变更情况报告表》</w:t>
      </w:r>
      <w:r>
        <w:rPr>
          <w:rFonts w:hint="eastAsia"/>
          <w:color w:val="auto"/>
        </w:rPr>
        <w:t>。”</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690"/>
        <w:gridCol w:w="2410"/>
        <w:gridCol w:w="709"/>
        <w:gridCol w:w="992"/>
        <w:gridCol w:w="1559"/>
        <w:gridCol w:w="1134"/>
        <w:gridCol w:w="101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690"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410"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55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011"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690" w:type="dxa"/>
            <w:shd w:val="clear" w:color="auto" w:fill="auto"/>
            <w:vAlign w:val="center"/>
          </w:tcPr>
          <w:p>
            <w:pPr>
              <w:pStyle w:val="13"/>
              <w:widowControl/>
              <w:spacing w:beforeAutospacing="0" w:afterAutospacing="0" w:line="280" w:lineRule="exact"/>
              <w:ind w:firstLine="352"/>
              <w:rPr>
                <w:rFonts w:ascii="宋体" w:hAnsi="宋体" w:eastAsia="宋体" w:cs="微软雅黑"/>
                <w:color w:val="auto"/>
                <w:sz w:val="18"/>
                <w:szCs w:val="18"/>
              </w:rPr>
            </w:pPr>
            <w:r>
              <w:rPr>
                <w:rFonts w:hint="eastAsia" w:ascii="宋体" w:hAnsi="宋体" w:eastAsia="宋体" w:cs="微软雅黑"/>
                <w:color w:val="auto"/>
                <w:sz w:val="18"/>
                <w:szCs w:val="18"/>
              </w:rPr>
              <w:t>1</w:t>
            </w:r>
          </w:p>
        </w:tc>
        <w:tc>
          <w:tcPr>
            <w:tcW w:w="2410" w:type="dxa"/>
            <w:shd w:val="clear" w:color="auto" w:fill="auto"/>
            <w:vAlign w:val="center"/>
          </w:tcPr>
          <w:p>
            <w:pPr>
              <w:widowControl/>
              <w:spacing w:line="280" w:lineRule="exact"/>
              <w:ind w:firstLine="0" w:firstLineChars="0"/>
              <w:jc w:val="center"/>
              <w:rPr>
                <w:color w:val="auto"/>
                <w:sz w:val="18"/>
                <w:szCs w:val="18"/>
                <w:lang w:val="zh-CN"/>
              </w:rPr>
            </w:pPr>
            <w:r>
              <w:rPr>
                <w:rFonts w:cs="宋体"/>
                <w:color w:val="auto"/>
                <w:sz w:val="18"/>
                <w:szCs w:val="18"/>
              </w:rPr>
              <w:t>《境内机构和个人发包工程作业或劳务项目报告表》</w:t>
            </w:r>
          </w:p>
        </w:tc>
        <w:tc>
          <w:tcPr>
            <w:tcW w:w="709" w:type="dxa"/>
            <w:shd w:val="clear" w:color="auto" w:fill="auto"/>
            <w:vAlign w:val="center"/>
          </w:tcPr>
          <w:p>
            <w:pPr>
              <w:pStyle w:val="13"/>
              <w:widowControl/>
              <w:spacing w:beforeAutospacing="0" w:afterAutospacing="0" w:line="280" w:lineRule="exact"/>
              <w:jc w:val="center"/>
              <w:rPr>
                <w:rStyle w:val="17"/>
                <w:rFonts w:ascii="宋体" w:hAnsi="宋体" w:eastAsia="宋体" w:cs="微软雅黑"/>
                <w:b w:val="0"/>
                <w:color w:val="auto"/>
                <w:sz w:val="18"/>
                <w:szCs w:val="18"/>
              </w:rPr>
            </w:pPr>
            <w:r>
              <w:rPr>
                <w:rFonts w:ascii="宋体" w:hAnsi="宋体" w:eastAsia="宋体" w:cs="微软雅黑"/>
                <w:color w:val="auto"/>
                <w:sz w:val="18"/>
                <w:szCs w:val="18"/>
              </w:rPr>
              <w:t>2</w:t>
            </w:r>
          </w:p>
        </w:tc>
        <w:tc>
          <w:tcPr>
            <w:tcW w:w="992" w:type="dxa"/>
            <w:shd w:val="clear" w:color="auto" w:fill="auto"/>
            <w:vAlign w:val="center"/>
          </w:tcPr>
          <w:p>
            <w:pPr>
              <w:pStyle w:val="13"/>
              <w:widowControl/>
              <w:spacing w:beforeAutospacing="0" w:afterAutospacing="0"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必报</w:t>
            </w:r>
          </w:p>
        </w:tc>
        <w:tc>
          <w:tcPr>
            <w:tcW w:w="1559" w:type="dxa"/>
            <w:shd w:val="clear" w:color="auto" w:fill="auto"/>
            <w:vAlign w:val="center"/>
          </w:tcPr>
          <w:p>
            <w:pPr>
              <w:pStyle w:val="13"/>
              <w:widowControl/>
              <w:spacing w:beforeAutospacing="0" w:afterAutospacing="0" w:line="280" w:lineRule="exact"/>
              <w:ind w:firstLine="352"/>
              <w:jc w:val="center"/>
              <w:rPr>
                <w:rFonts w:ascii="宋体" w:hAnsi="宋体" w:eastAsia="宋体" w:cs="微软雅黑"/>
                <w:color w:val="auto"/>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税务机关留存1份</w:t>
            </w:r>
          </w:p>
        </w:tc>
        <w:tc>
          <w:tcPr>
            <w:tcW w:w="101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690" w:type="dxa"/>
            <w:shd w:val="clear" w:color="auto" w:fill="auto"/>
            <w:vAlign w:val="center"/>
          </w:tcPr>
          <w:p>
            <w:pPr>
              <w:pStyle w:val="13"/>
              <w:widowControl/>
              <w:spacing w:beforeAutospacing="0" w:afterAutospacing="0" w:line="280" w:lineRule="exact"/>
              <w:ind w:firstLine="352"/>
              <w:rPr>
                <w:rFonts w:ascii="宋体" w:hAnsi="宋体" w:eastAsia="宋体" w:cs="微软雅黑"/>
                <w:color w:val="auto"/>
                <w:sz w:val="18"/>
                <w:szCs w:val="18"/>
              </w:rPr>
            </w:pPr>
            <w:r>
              <w:rPr>
                <w:rFonts w:hint="eastAsia" w:ascii="宋体" w:hAnsi="宋体" w:eastAsia="宋体" w:cs="微软雅黑"/>
                <w:color w:val="auto"/>
                <w:sz w:val="18"/>
                <w:szCs w:val="18"/>
              </w:rPr>
              <w:t>2</w:t>
            </w:r>
          </w:p>
        </w:tc>
        <w:tc>
          <w:tcPr>
            <w:tcW w:w="2410" w:type="dxa"/>
            <w:shd w:val="clear" w:color="auto" w:fill="auto"/>
            <w:vAlign w:val="center"/>
          </w:tcPr>
          <w:p>
            <w:pPr>
              <w:widowControl/>
              <w:spacing w:line="280" w:lineRule="exact"/>
              <w:ind w:firstLine="0" w:firstLineChars="0"/>
              <w:jc w:val="center"/>
              <w:rPr>
                <w:color w:val="auto"/>
                <w:sz w:val="18"/>
                <w:szCs w:val="18"/>
                <w:lang w:val="zh-CN"/>
              </w:rPr>
            </w:pPr>
            <w:r>
              <w:rPr>
                <w:rFonts w:cs="宋体"/>
                <w:color w:val="auto"/>
                <w:sz w:val="18"/>
                <w:szCs w:val="18"/>
              </w:rPr>
              <w:t>《非居民项目合同变更情况报告表》</w:t>
            </w:r>
          </w:p>
        </w:tc>
        <w:tc>
          <w:tcPr>
            <w:tcW w:w="709" w:type="dxa"/>
            <w:shd w:val="clear" w:color="auto" w:fill="auto"/>
            <w:vAlign w:val="center"/>
          </w:tcPr>
          <w:p>
            <w:pPr>
              <w:pStyle w:val="13"/>
              <w:widowControl/>
              <w:spacing w:beforeAutospacing="0" w:afterAutospacing="0" w:line="280" w:lineRule="exact"/>
              <w:jc w:val="center"/>
              <w:rPr>
                <w:rStyle w:val="17"/>
                <w:rFonts w:ascii="宋体" w:hAnsi="宋体" w:eastAsia="宋体" w:cs="微软雅黑"/>
                <w:b w:val="0"/>
                <w:color w:val="auto"/>
                <w:sz w:val="18"/>
                <w:szCs w:val="18"/>
              </w:rPr>
            </w:pPr>
            <w:r>
              <w:rPr>
                <w:rFonts w:ascii="宋体" w:hAnsi="宋体" w:eastAsia="宋体" w:cs="微软雅黑"/>
                <w:color w:val="auto"/>
                <w:sz w:val="18"/>
                <w:szCs w:val="18"/>
              </w:rPr>
              <w:t>2</w:t>
            </w:r>
          </w:p>
        </w:tc>
        <w:tc>
          <w:tcPr>
            <w:tcW w:w="992" w:type="dxa"/>
            <w:shd w:val="clear" w:color="auto" w:fill="auto"/>
            <w:vAlign w:val="center"/>
          </w:tcPr>
          <w:p>
            <w:pPr>
              <w:pStyle w:val="13"/>
              <w:widowControl/>
              <w:spacing w:beforeAutospacing="0" w:afterAutospacing="0"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条件报送</w:t>
            </w:r>
          </w:p>
        </w:tc>
        <w:tc>
          <w:tcPr>
            <w:tcW w:w="1559" w:type="dxa"/>
            <w:shd w:val="clear" w:color="auto" w:fill="auto"/>
            <w:vAlign w:val="center"/>
          </w:tcPr>
          <w:p>
            <w:pPr>
              <w:pStyle w:val="13"/>
              <w:widowControl/>
              <w:spacing w:beforeAutospacing="0" w:afterAutospacing="0" w:line="280" w:lineRule="exact"/>
              <w:rPr>
                <w:rFonts w:eastAsia="宋体" w:cs="宋体"/>
                <w:color w:val="auto"/>
                <w:sz w:val="18"/>
                <w:szCs w:val="18"/>
              </w:rPr>
            </w:pPr>
            <w:r>
              <w:rPr>
                <w:rFonts w:hint="eastAsia" w:eastAsia="宋体" w:cs="宋体"/>
                <w:color w:val="auto"/>
                <w:sz w:val="18"/>
                <w:szCs w:val="18"/>
              </w:rPr>
              <w:t>纳税人申请办理境内机构和个人发包工程作业或劳务项目备案变更</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r>
              <w:rPr>
                <w:rFonts w:cs="宋体"/>
                <w:color w:val="auto"/>
                <w:kern w:val="0"/>
                <w:sz w:val="18"/>
                <w:szCs w:val="18"/>
              </w:rPr>
              <w:t>1份</w:t>
            </w:r>
          </w:p>
        </w:tc>
        <w:tc>
          <w:tcPr>
            <w:tcW w:w="101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690" w:type="dxa"/>
            <w:shd w:val="clear" w:color="auto" w:fill="auto"/>
            <w:vAlign w:val="center"/>
          </w:tcPr>
          <w:p>
            <w:pPr>
              <w:pStyle w:val="13"/>
              <w:widowControl/>
              <w:spacing w:beforeAutospacing="0" w:afterAutospacing="0" w:line="280" w:lineRule="exact"/>
              <w:ind w:firstLine="352"/>
              <w:rPr>
                <w:rFonts w:ascii="宋体" w:hAnsi="宋体" w:eastAsia="宋体" w:cs="微软雅黑"/>
                <w:color w:val="auto"/>
                <w:sz w:val="18"/>
                <w:szCs w:val="18"/>
              </w:rPr>
            </w:pPr>
            <w:r>
              <w:rPr>
                <w:rFonts w:hint="eastAsia" w:ascii="宋体" w:hAnsi="宋体" w:eastAsia="宋体" w:cs="微软雅黑"/>
                <w:color w:val="auto"/>
                <w:sz w:val="18"/>
                <w:szCs w:val="18"/>
              </w:rPr>
              <w:t>3</w:t>
            </w:r>
          </w:p>
        </w:tc>
        <w:tc>
          <w:tcPr>
            <w:tcW w:w="2410" w:type="dxa"/>
            <w:shd w:val="clear" w:color="auto" w:fill="auto"/>
            <w:vAlign w:val="center"/>
          </w:tcPr>
          <w:p>
            <w:pPr>
              <w:widowControl/>
              <w:spacing w:line="280" w:lineRule="exact"/>
              <w:ind w:firstLine="0" w:firstLineChars="0"/>
              <w:jc w:val="center"/>
              <w:rPr>
                <w:color w:val="auto"/>
                <w:sz w:val="18"/>
                <w:szCs w:val="18"/>
                <w:lang w:val="zh-CN"/>
              </w:rPr>
            </w:pPr>
            <w:r>
              <w:rPr>
                <w:rFonts w:hint="eastAsia"/>
                <w:color w:val="auto"/>
                <w:sz w:val="18"/>
                <w:szCs w:val="18"/>
                <w:lang w:val="zh-CN"/>
              </w:rPr>
              <w:t>经营业务合同复印件</w:t>
            </w:r>
          </w:p>
        </w:tc>
        <w:tc>
          <w:tcPr>
            <w:tcW w:w="709" w:type="dxa"/>
            <w:shd w:val="clear" w:color="auto" w:fill="auto"/>
            <w:vAlign w:val="center"/>
          </w:tcPr>
          <w:p>
            <w:pPr>
              <w:pStyle w:val="13"/>
              <w:widowControl/>
              <w:spacing w:beforeAutospacing="0" w:afterAutospacing="0" w:line="280" w:lineRule="exact"/>
              <w:jc w:val="center"/>
              <w:rPr>
                <w:rStyle w:val="17"/>
                <w:rFonts w:ascii="宋体" w:hAnsi="宋体" w:eastAsia="宋体" w:cs="微软雅黑"/>
                <w:b w:val="0"/>
                <w:color w:val="auto"/>
                <w:sz w:val="18"/>
                <w:szCs w:val="18"/>
              </w:rPr>
            </w:pPr>
            <w:r>
              <w:rPr>
                <w:rStyle w:val="17"/>
                <w:rFonts w:hint="eastAsia" w:ascii="宋体" w:hAnsi="宋体" w:eastAsia="宋体" w:cs="微软雅黑"/>
                <w:color w:val="auto"/>
                <w:sz w:val="18"/>
                <w:szCs w:val="18"/>
              </w:rPr>
              <w:t>1</w:t>
            </w:r>
          </w:p>
        </w:tc>
        <w:tc>
          <w:tcPr>
            <w:tcW w:w="992" w:type="dxa"/>
            <w:shd w:val="clear" w:color="auto" w:fill="auto"/>
            <w:vAlign w:val="center"/>
          </w:tcPr>
          <w:p>
            <w:pPr>
              <w:pStyle w:val="13"/>
              <w:widowControl/>
              <w:spacing w:beforeAutospacing="0" w:afterAutospacing="0"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条件报送</w:t>
            </w:r>
          </w:p>
        </w:tc>
        <w:tc>
          <w:tcPr>
            <w:tcW w:w="1559" w:type="dxa"/>
            <w:shd w:val="clear" w:color="auto" w:fill="auto"/>
            <w:vAlign w:val="center"/>
          </w:tcPr>
          <w:p>
            <w:pPr>
              <w:pStyle w:val="13"/>
              <w:widowControl/>
              <w:spacing w:line="280" w:lineRule="exact"/>
              <w:rPr>
                <w:rFonts w:ascii="宋体" w:hAnsi="宋体" w:eastAsia="宋体" w:cs="微软雅黑"/>
                <w:color w:val="auto"/>
                <w:sz w:val="18"/>
                <w:szCs w:val="18"/>
              </w:rPr>
            </w:pPr>
            <w:r>
              <w:rPr>
                <w:rFonts w:hint="eastAsia" w:eastAsia="宋体" w:cs="宋体"/>
                <w:color w:val="auto"/>
                <w:sz w:val="18"/>
                <w:szCs w:val="18"/>
              </w:rPr>
              <w:t>纳税人申请办理境内机构和个人发包工程作业或劳务项目备案时提交，对税务机关能够获取相关信息的可取消报送复印件。</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01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690" w:type="dxa"/>
            <w:shd w:val="clear" w:color="auto" w:fill="auto"/>
            <w:vAlign w:val="center"/>
          </w:tcPr>
          <w:p>
            <w:pPr>
              <w:pStyle w:val="13"/>
              <w:widowControl/>
              <w:spacing w:beforeAutospacing="0" w:afterAutospacing="0" w:line="280" w:lineRule="exact"/>
              <w:ind w:firstLine="352"/>
              <w:rPr>
                <w:rFonts w:ascii="宋体" w:hAnsi="宋体" w:eastAsia="宋体"/>
                <w:color w:val="auto"/>
                <w:sz w:val="18"/>
                <w:szCs w:val="18"/>
              </w:rPr>
            </w:pPr>
            <w:r>
              <w:rPr>
                <w:rFonts w:hint="eastAsia" w:ascii="宋体" w:hAnsi="宋体" w:eastAsia="宋体" w:cs="微软雅黑"/>
                <w:color w:val="auto"/>
                <w:sz w:val="18"/>
                <w:szCs w:val="18"/>
              </w:rPr>
              <w:t>4</w:t>
            </w:r>
          </w:p>
        </w:tc>
        <w:tc>
          <w:tcPr>
            <w:tcW w:w="2410" w:type="dxa"/>
            <w:shd w:val="clear" w:color="auto" w:fill="auto"/>
            <w:vAlign w:val="center"/>
          </w:tcPr>
          <w:p>
            <w:pPr>
              <w:pStyle w:val="13"/>
              <w:widowControl/>
              <w:spacing w:beforeAutospacing="0" w:afterAutospacing="0" w:line="280" w:lineRule="exact"/>
              <w:jc w:val="center"/>
              <w:rPr>
                <w:rFonts w:ascii="宋体" w:hAnsi="宋体" w:eastAsia="宋体"/>
                <w:color w:val="auto"/>
                <w:sz w:val="18"/>
                <w:szCs w:val="18"/>
              </w:rPr>
            </w:pPr>
            <w:r>
              <w:rPr>
                <w:rFonts w:eastAsia="宋体" w:cs="宋体"/>
                <w:color w:val="auto"/>
                <w:sz w:val="18"/>
                <w:szCs w:val="18"/>
              </w:rPr>
              <w:t>合同中文译本</w:t>
            </w:r>
          </w:p>
        </w:tc>
        <w:tc>
          <w:tcPr>
            <w:tcW w:w="709" w:type="dxa"/>
            <w:shd w:val="clear" w:color="auto" w:fill="auto"/>
            <w:vAlign w:val="center"/>
          </w:tcPr>
          <w:p>
            <w:pPr>
              <w:pStyle w:val="13"/>
              <w:widowControl/>
              <w:spacing w:beforeAutospacing="0" w:afterAutospacing="0" w:line="280" w:lineRule="exact"/>
              <w:jc w:val="center"/>
              <w:rPr>
                <w:rFonts w:ascii="宋体" w:hAnsi="宋体" w:eastAsia="宋体"/>
                <w:color w:val="auto"/>
                <w:sz w:val="18"/>
                <w:szCs w:val="18"/>
              </w:rPr>
            </w:pPr>
            <w:r>
              <w:rPr>
                <w:rStyle w:val="17"/>
                <w:rFonts w:hint="eastAsia" w:ascii="宋体" w:hAnsi="宋体" w:eastAsia="宋体" w:cs="微软雅黑"/>
                <w:color w:val="auto"/>
                <w:sz w:val="18"/>
                <w:szCs w:val="18"/>
              </w:rPr>
              <w:t>1</w:t>
            </w:r>
          </w:p>
        </w:tc>
        <w:tc>
          <w:tcPr>
            <w:tcW w:w="992" w:type="dxa"/>
            <w:shd w:val="clear" w:color="auto" w:fill="auto"/>
            <w:vAlign w:val="center"/>
          </w:tcPr>
          <w:p>
            <w:pPr>
              <w:pStyle w:val="13"/>
              <w:widowControl/>
              <w:spacing w:beforeAutospacing="0" w:afterAutospacing="0" w:line="280" w:lineRule="exact"/>
              <w:jc w:val="center"/>
              <w:rPr>
                <w:rFonts w:ascii="宋体" w:hAnsi="宋体" w:eastAsia="宋体"/>
                <w:color w:val="auto"/>
                <w:sz w:val="18"/>
                <w:szCs w:val="18"/>
              </w:rPr>
            </w:pPr>
            <w:r>
              <w:rPr>
                <w:rFonts w:hint="eastAsia" w:eastAsia="宋体" w:cs="宋体"/>
                <w:color w:val="auto"/>
                <w:sz w:val="18"/>
                <w:szCs w:val="18"/>
              </w:rPr>
              <w:t>条件报送</w:t>
            </w:r>
          </w:p>
        </w:tc>
        <w:tc>
          <w:tcPr>
            <w:tcW w:w="1559" w:type="dxa"/>
            <w:shd w:val="clear" w:color="auto" w:fill="auto"/>
            <w:vAlign w:val="center"/>
          </w:tcPr>
          <w:p>
            <w:pPr>
              <w:pStyle w:val="13"/>
              <w:widowControl/>
              <w:spacing w:beforeAutospacing="0" w:afterAutospacing="0" w:line="280" w:lineRule="exact"/>
              <w:rPr>
                <w:rFonts w:ascii="宋体" w:hAnsi="宋体" w:eastAsia="宋体"/>
                <w:color w:val="auto"/>
                <w:sz w:val="18"/>
                <w:szCs w:val="18"/>
              </w:rPr>
            </w:pPr>
            <w:r>
              <w:rPr>
                <w:rFonts w:hint="eastAsia" w:eastAsia="宋体" w:cs="宋体"/>
                <w:color w:val="auto"/>
                <w:sz w:val="18"/>
                <w:szCs w:val="18"/>
              </w:rPr>
              <w:t>当合同为外文时</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01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690" w:type="dxa"/>
            <w:shd w:val="clear" w:color="auto" w:fill="auto"/>
            <w:vAlign w:val="center"/>
          </w:tcPr>
          <w:p>
            <w:pPr>
              <w:pStyle w:val="13"/>
              <w:widowControl/>
              <w:spacing w:beforeAutospacing="0" w:afterAutospacing="0" w:line="280" w:lineRule="exact"/>
              <w:ind w:firstLine="352"/>
              <w:rPr>
                <w:rFonts w:ascii="宋体" w:hAnsi="宋体" w:eastAsia="宋体" w:cs="微软雅黑"/>
                <w:color w:val="auto"/>
                <w:sz w:val="18"/>
                <w:szCs w:val="18"/>
              </w:rPr>
            </w:pPr>
            <w:r>
              <w:rPr>
                <w:rFonts w:hint="eastAsia" w:ascii="宋体" w:hAnsi="宋体" w:eastAsia="宋体" w:cs="微软雅黑"/>
                <w:color w:val="auto"/>
                <w:sz w:val="18"/>
                <w:szCs w:val="18"/>
              </w:rPr>
              <w:t>5</w:t>
            </w:r>
          </w:p>
        </w:tc>
        <w:tc>
          <w:tcPr>
            <w:tcW w:w="2410" w:type="dxa"/>
            <w:shd w:val="clear" w:color="auto" w:fill="auto"/>
            <w:vAlign w:val="center"/>
          </w:tcPr>
          <w:p>
            <w:pPr>
              <w:pStyle w:val="13"/>
              <w:widowControl/>
              <w:spacing w:beforeAutospacing="0" w:afterAutospacing="0" w:line="280" w:lineRule="exact"/>
              <w:jc w:val="center"/>
              <w:rPr>
                <w:rFonts w:eastAsia="宋体" w:cs="宋体"/>
                <w:color w:val="auto"/>
                <w:sz w:val="18"/>
                <w:szCs w:val="18"/>
              </w:rPr>
            </w:pPr>
            <w:r>
              <w:rPr>
                <w:rFonts w:eastAsia="宋体" w:cs="宋体"/>
                <w:color w:val="auto"/>
                <w:sz w:val="18"/>
                <w:szCs w:val="18"/>
              </w:rPr>
              <w:t>非居民事项的书面说明</w:t>
            </w:r>
          </w:p>
        </w:tc>
        <w:tc>
          <w:tcPr>
            <w:tcW w:w="709" w:type="dxa"/>
            <w:shd w:val="clear" w:color="auto" w:fill="auto"/>
            <w:vAlign w:val="center"/>
          </w:tcPr>
          <w:p>
            <w:pPr>
              <w:pStyle w:val="13"/>
              <w:widowControl/>
              <w:spacing w:beforeAutospacing="0" w:afterAutospacing="0"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1</w:t>
            </w:r>
          </w:p>
        </w:tc>
        <w:tc>
          <w:tcPr>
            <w:tcW w:w="992" w:type="dxa"/>
            <w:shd w:val="clear" w:color="auto" w:fill="auto"/>
            <w:vAlign w:val="center"/>
          </w:tcPr>
          <w:p>
            <w:pPr>
              <w:pStyle w:val="13"/>
              <w:widowControl/>
              <w:spacing w:beforeAutospacing="0" w:afterAutospacing="0" w:line="280" w:lineRule="exact"/>
              <w:jc w:val="center"/>
              <w:rPr>
                <w:rFonts w:ascii="宋体" w:hAnsi="宋体" w:eastAsia="宋体" w:cs="微软雅黑"/>
                <w:color w:val="auto"/>
                <w:sz w:val="18"/>
                <w:szCs w:val="18"/>
              </w:rPr>
            </w:pPr>
            <w:r>
              <w:rPr>
                <w:rFonts w:hint="eastAsia" w:eastAsia="宋体" w:cs="宋体"/>
                <w:color w:val="auto"/>
                <w:sz w:val="18"/>
                <w:szCs w:val="18"/>
              </w:rPr>
              <w:t>条件报送</w:t>
            </w:r>
          </w:p>
        </w:tc>
        <w:tc>
          <w:tcPr>
            <w:tcW w:w="1559" w:type="dxa"/>
            <w:shd w:val="clear" w:color="auto" w:fill="auto"/>
            <w:vAlign w:val="center"/>
          </w:tcPr>
          <w:p>
            <w:pPr>
              <w:pStyle w:val="13"/>
              <w:widowControl/>
              <w:spacing w:beforeAutospacing="0" w:afterAutospacing="0" w:line="280" w:lineRule="exact"/>
              <w:rPr>
                <w:rFonts w:eastAsia="宋体" w:cs="宋体"/>
                <w:color w:val="auto"/>
                <w:sz w:val="18"/>
                <w:szCs w:val="18"/>
              </w:rPr>
            </w:pPr>
            <w:r>
              <w:rPr>
                <w:rFonts w:eastAsia="宋体" w:cs="宋体"/>
                <w:color w:val="auto"/>
                <w:sz w:val="18"/>
                <w:szCs w:val="18"/>
              </w:rPr>
              <w:t>非居民对有关事项作出了书面说明的需报送</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01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690" w:type="dxa"/>
            <w:shd w:val="clear" w:color="auto" w:fill="auto"/>
            <w:vAlign w:val="center"/>
          </w:tcPr>
          <w:p>
            <w:pPr>
              <w:pStyle w:val="13"/>
              <w:widowControl/>
              <w:spacing w:beforeAutospacing="0" w:afterAutospacing="0" w:line="280" w:lineRule="exact"/>
              <w:ind w:firstLine="352"/>
              <w:rPr>
                <w:rFonts w:ascii="宋体" w:hAnsi="宋体" w:eastAsia="宋体" w:cs="微软雅黑"/>
                <w:color w:val="auto"/>
                <w:sz w:val="18"/>
                <w:szCs w:val="18"/>
              </w:rPr>
            </w:pPr>
            <w:r>
              <w:rPr>
                <w:rFonts w:hint="eastAsia" w:ascii="宋体" w:hAnsi="宋体" w:eastAsia="宋体" w:cs="微软雅黑"/>
                <w:color w:val="auto"/>
                <w:sz w:val="18"/>
                <w:szCs w:val="18"/>
              </w:rPr>
              <w:t>6</w:t>
            </w:r>
          </w:p>
        </w:tc>
        <w:tc>
          <w:tcPr>
            <w:tcW w:w="2410" w:type="dxa"/>
            <w:shd w:val="clear" w:color="auto" w:fill="auto"/>
            <w:vAlign w:val="center"/>
          </w:tcPr>
          <w:p>
            <w:pPr>
              <w:pStyle w:val="13"/>
              <w:widowControl/>
              <w:spacing w:beforeAutospacing="0" w:afterAutospacing="0" w:line="280" w:lineRule="exact"/>
              <w:jc w:val="center"/>
              <w:rPr>
                <w:rFonts w:eastAsia="宋体" w:cs="宋体"/>
                <w:color w:val="auto"/>
                <w:sz w:val="18"/>
                <w:szCs w:val="18"/>
              </w:rPr>
            </w:pPr>
            <w:r>
              <w:rPr>
                <w:rFonts w:eastAsia="宋体" w:cs="宋体"/>
                <w:color w:val="auto"/>
                <w:sz w:val="18"/>
                <w:szCs w:val="18"/>
              </w:rPr>
              <w:t>税务代理委托书复印件</w:t>
            </w:r>
          </w:p>
        </w:tc>
        <w:tc>
          <w:tcPr>
            <w:tcW w:w="709" w:type="dxa"/>
            <w:shd w:val="clear" w:color="auto" w:fill="auto"/>
            <w:vAlign w:val="center"/>
          </w:tcPr>
          <w:p>
            <w:pPr>
              <w:pStyle w:val="13"/>
              <w:widowControl/>
              <w:spacing w:beforeAutospacing="0" w:afterAutospacing="0"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1</w:t>
            </w:r>
          </w:p>
        </w:tc>
        <w:tc>
          <w:tcPr>
            <w:tcW w:w="992" w:type="dxa"/>
            <w:shd w:val="clear" w:color="auto" w:fill="auto"/>
            <w:vAlign w:val="center"/>
          </w:tcPr>
          <w:p>
            <w:pPr>
              <w:pStyle w:val="13"/>
              <w:widowControl/>
              <w:spacing w:beforeAutospacing="0" w:afterAutospacing="0" w:line="280" w:lineRule="exact"/>
              <w:jc w:val="center"/>
              <w:rPr>
                <w:rFonts w:ascii="宋体" w:hAnsi="宋体" w:eastAsia="宋体" w:cs="微软雅黑"/>
                <w:color w:val="auto"/>
                <w:sz w:val="18"/>
                <w:szCs w:val="18"/>
              </w:rPr>
            </w:pPr>
            <w:r>
              <w:rPr>
                <w:rFonts w:hint="eastAsia" w:eastAsia="宋体" w:cs="宋体"/>
                <w:color w:val="auto"/>
                <w:sz w:val="18"/>
                <w:szCs w:val="18"/>
              </w:rPr>
              <w:t>条件报送</w:t>
            </w:r>
          </w:p>
        </w:tc>
        <w:tc>
          <w:tcPr>
            <w:tcW w:w="1559" w:type="dxa"/>
            <w:shd w:val="clear" w:color="auto" w:fill="auto"/>
            <w:vAlign w:val="center"/>
          </w:tcPr>
          <w:p>
            <w:pPr>
              <w:pStyle w:val="13"/>
              <w:widowControl/>
              <w:spacing w:beforeAutospacing="0" w:afterAutospacing="0" w:line="280" w:lineRule="exact"/>
              <w:rPr>
                <w:rFonts w:eastAsia="宋体" w:cs="宋体"/>
                <w:color w:val="auto"/>
                <w:sz w:val="18"/>
                <w:szCs w:val="18"/>
              </w:rPr>
            </w:pPr>
            <w:r>
              <w:rPr>
                <w:rFonts w:eastAsia="宋体" w:cs="宋体"/>
                <w:color w:val="auto"/>
                <w:sz w:val="18"/>
                <w:szCs w:val="18"/>
              </w:rPr>
              <w:t>非居民委托境内代理人履行纳税义务的需报送</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01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690" w:type="dxa"/>
            <w:shd w:val="clear" w:color="auto" w:fill="auto"/>
            <w:vAlign w:val="center"/>
          </w:tcPr>
          <w:p>
            <w:pPr>
              <w:pStyle w:val="13"/>
              <w:widowControl/>
              <w:spacing w:beforeAutospacing="0" w:afterAutospacing="0" w:line="280" w:lineRule="exact"/>
              <w:ind w:firstLine="352"/>
              <w:rPr>
                <w:rFonts w:ascii="宋体" w:hAnsi="宋体" w:eastAsia="宋体" w:cs="微软雅黑"/>
                <w:color w:val="auto"/>
                <w:sz w:val="18"/>
                <w:szCs w:val="18"/>
              </w:rPr>
            </w:pPr>
            <w:r>
              <w:rPr>
                <w:rFonts w:hint="eastAsia" w:ascii="宋体" w:hAnsi="宋体" w:eastAsia="宋体" w:cs="微软雅黑"/>
                <w:color w:val="auto"/>
                <w:sz w:val="18"/>
                <w:szCs w:val="18"/>
              </w:rPr>
              <w:t>7</w:t>
            </w:r>
          </w:p>
        </w:tc>
        <w:tc>
          <w:tcPr>
            <w:tcW w:w="2410" w:type="dxa"/>
            <w:shd w:val="clear" w:color="auto" w:fill="auto"/>
            <w:vAlign w:val="center"/>
          </w:tcPr>
          <w:p>
            <w:pPr>
              <w:pStyle w:val="13"/>
              <w:widowControl/>
              <w:spacing w:beforeAutospacing="0" w:afterAutospacing="0" w:line="280" w:lineRule="exact"/>
              <w:jc w:val="center"/>
              <w:rPr>
                <w:rFonts w:eastAsia="宋体" w:cs="宋体"/>
                <w:color w:val="auto"/>
                <w:sz w:val="18"/>
                <w:szCs w:val="18"/>
              </w:rPr>
            </w:pPr>
            <w:r>
              <w:rPr>
                <w:rFonts w:hint="eastAsia" w:eastAsia="宋体" w:cs="宋体"/>
                <w:color w:val="auto"/>
                <w:sz w:val="18"/>
                <w:szCs w:val="18"/>
              </w:rPr>
              <w:t>税务登记证副本复印件</w:t>
            </w:r>
          </w:p>
        </w:tc>
        <w:tc>
          <w:tcPr>
            <w:tcW w:w="709" w:type="dxa"/>
            <w:shd w:val="clear" w:color="auto" w:fill="auto"/>
            <w:vAlign w:val="center"/>
          </w:tcPr>
          <w:p>
            <w:pPr>
              <w:pStyle w:val="13"/>
              <w:widowControl/>
              <w:spacing w:beforeAutospacing="0" w:afterAutospacing="0"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1</w:t>
            </w:r>
          </w:p>
        </w:tc>
        <w:tc>
          <w:tcPr>
            <w:tcW w:w="992" w:type="dxa"/>
            <w:shd w:val="clear" w:color="auto" w:fill="auto"/>
            <w:vAlign w:val="center"/>
          </w:tcPr>
          <w:p>
            <w:pPr>
              <w:pStyle w:val="13"/>
              <w:widowControl/>
              <w:spacing w:beforeAutospacing="0" w:afterAutospacing="0" w:line="280" w:lineRule="exact"/>
              <w:jc w:val="center"/>
              <w:rPr>
                <w:rFonts w:eastAsia="宋体" w:cs="宋体"/>
                <w:color w:val="auto"/>
                <w:sz w:val="18"/>
                <w:szCs w:val="18"/>
              </w:rPr>
            </w:pPr>
            <w:r>
              <w:rPr>
                <w:rFonts w:hint="eastAsia" w:eastAsia="宋体" w:cs="宋体"/>
                <w:color w:val="auto"/>
                <w:sz w:val="18"/>
                <w:szCs w:val="18"/>
              </w:rPr>
              <w:t>条件报送</w:t>
            </w:r>
          </w:p>
        </w:tc>
        <w:tc>
          <w:tcPr>
            <w:tcW w:w="1559" w:type="dxa"/>
            <w:shd w:val="clear" w:color="auto" w:fill="auto"/>
            <w:vAlign w:val="center"/>
          </w:tcPr>
          <w:p>
            <w:pPr>
              <w:pStyle w:val="13"/>
              <w:widowControl/>
              <w:spacing w:beforeAutospacing="0" w:afterAutospacing="0" w:line="280" w:lineRule="exact"/>
              <w:rPr>
                <w:rFonts w:eastAsia="宋体" w:cs="宋体"/>
                <w:color w:val="auto"/>
                <w:sz w:val="18"/>
                <w:szCs w:val="18"/>
              </w:rPr>
            </w:pPr>
            <w:r>
              <w:rPr>
                <w:rFonts w:hint="eastAsia" w:eastAsia="宋体" w:cs="宋体"/>
                <w:color w:val="auto"/>
                <w:sz w:val="18"/>
                <w:szCs w:val="18"/>
              </w:rPr>
              <w:t>税务登记证副本复印件为纳税人申请办理境内机构和个人发包工程作业或劳务项目备案时提交，已实行实名制的可取消报送。</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01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pStyle w:val="3"/>
        <w:ind w:firstLine="552"/>
        <w:rPr>
          <w:color w:val="auto"/>
        </w:rPr>
      </w:pPr>
      <w:r>
        <w:rPr>
          <w:rFonts w:hint="eastAsia"/>
          <w:color w:val="auto"/>
        </w:rPr>
        <w:t>六</w:t>
      </w:r>
      <w:r>
        <w:rPr>
          <w:color w:val="auto"/>
        </w:rPr>
        <w:t>、办理流程</w:t>
      </w:r>
    </w:p>
    <w:p>
      <w:pPr>
        <w:ind w:firstLine="472"/>
        <w:rPr>
          <w:color w:val="auto"/>
        </w:rPr>
      </w:pPr>
    </w:p>
    <w:p>
      <w:pPr>
        <w:spacing w:line="240" w:lineRule="auto"/>
        <w:ind w:left="471" w:firstLine="0" w:firstLineChars="0"/>
        <w:rPr>
          <w:color w:val="auto"/>
        </w:rPr>
      </w:pPr>
      <w:r>
        <w:rPr>
          <w:color w:val="auto"/>
        </w:rPr>
        <w:drawing>
          <wp:inline distT="0" distB="0" distL="0" distR="0">
            <wp:extent cx="5600065" cy="1504950"/>
            <wp:effectExtent l="0" t="0" r="635"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5600065" cy="1504950"/>
                    </a:xfrm>
                    <a:prstGeom prst="rect">
                      <a:avLst/>
                    </a:prstGeom>
                    <a:noFill/>
                  </pic:spPr>
                </pic:pic>
              </a:graphicData>
            </a:graphic>
          </wp:inline>
        </w:drawing>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w:t>
      </w:r>
    </w:p>
    <w:p>
      <w:pPr>
        <w:pStyle w:val="3"/>
        <w:ind w:firstLine="552"/>
        <w:rPr>
          <w:color w:val="auto"/>
        </w:rPr>
      </w:pPr>
      <w:r>
        <w:rPr>
          <w:rFonts w:hint="eastAsia"/>
          <w:color w:val="auto"/>
        </w:rPr>
        <w:t>八、表证单书</w:t>
      </w:r>
    </w:p>
    <w:p>
      <w:pPr>
        <w:ind w:firstLine="472"/>
        <w:rPr>
          <w:rFonts w:hint="eastAsia" w:eastAsia="宋体"/>
          <w:color w:val="auto"/>
          <w:lang w:val="en-US" w:eastAsia="zh-CN"/>
        </w:rPr>
      </w:pPr>
      <w:r>
        <w:rPr>
          <w:rFonts w:hint="eastAsia"/>
          <w:color w:val="auto"/>
        </w:rPr>
        <w:t>1.</w:t>
      </w:r>
      <w:r>
        <w:rPr>
          <w:color w:val="auto"/>
        </w:rPr>
        <w:t>A06165</w:t>
      </w:r>
      <w:r>
        <w:rPr>
          <w:rFonts w:hint="eastAsia"/>
          <w:color w:val="auto"/>
        </w:rPr>
        <w:t>《境内机构和个人发包工程作业或劳务项目报告表》</w:t>
      </w:r>
      <w:r>
        <w:rPr>
          <w:color w:val="auto"/>
        </w:rPr>
        <w:t>（A06165</w:t>
      </w:r>
      <w:r>
        <w:rPr>
          <w:rFonts w:hint="eastAsia"/>
          <w:color w:val="auto"/>
        </w:rPr>
        <w:t>《境内机构和个人发包工程作业或劳务项目报告表》</w:t>
      </w:r>
      <w:r>
        <w:rPr>
          <w:rFonts w:hint="eastAsia"/>
          <w:color w:val="auto"/>
          <w:lang w:val="en-US" w:eastAsia="zh-CN"/>
        </w:rPr>
        <w:t>(</w:t>
      </w:r>
      <w:r>
        <w:rPr>
          <w:color w:val="auto"/>
        </w:rPr>
        <w:t>填写样例）</w:t>
      </w:r>
      <w:r>
        <w:rPr>
          <w:rFonts w:hint="eastAsia"/>
          <w:color w:val="auto"/>
          <w:lang w:val="en-US" w:eastAsia="zh-CN"/>
        </w:rPr>
        <w:t>)</w:t>
      </w:r>
    </w:p>
    <w:p>
      <w:pPr>
        <w:ind w:firstLine="472"/>
        <w:rPr>
          <w:color w:val="auto"/>
        </w:rPr>
      </w:pPr>
      <w:r>
        <w:rPr>
          <w:rFonts w:hint="eastAsia"/>
          <w:color w:val="auto"/>
        </w:rPr>
        <w:t>2.</w:t>
      </w:r>
      <w:r>
        <w:rPr>
          <w:color w:val="auto"/>
        </w:rPr>
        <w:t>A06166《非居民项目合同变更情况报告表》</w:t>
      </w:r>
    </w:p>
    <w:p>
      <w:pPr>
        <w:pStyle w:val="3"/>
        <w:ind w:firstLine="552"/>
        <w:rPr>
          <w:color w:val="auto"/>
        </w:rPr>
      </w:pPr>
      <w:r>
        <w:rPr>
          <w:rFonts w:hint="eastAsia"/>
          <w:color w:val="auto"/>
        </w:rPr>
        <w:t>九、注意事项</w:t>
      </w:r>
    </w:p>
    <w:p>
      <w:pPr>
        <w:ind w:firstLine="472"/>
        <w:rPr>
          <w:color w:val="auto"/>
        </w:rPr>
      </w:pPr>
      <w:r>
        <w:rPr>
          <w:rFonts w:hint="eastAsia"/>
          <w:color w:val="auto"/>
        </w:rPr>
        <w:t>1.纳税服务部门应当于</w:t>
      </w:r>
      <w:r>
        <w:rPr>
          <w:color w:val="auto"/>
        </w:rPr>
        <w:t>1个工作日内将资料转县（市、区）局国际税管理部门进行后续管理。</w:t>
      </w:r>
    </w:p>
    <w:p>
      <w:pPr>
        <w:ind w:firstLine="472"/>
        <w:rPr>
          <w:color w:val="auto"/>
        </w:rPr>
      </w:pPr>
      <w:r>
        <w:rPr>
          <w:rFonts w:hint="eastAsia"/>
          <w:color w:val="auto"/>
        </w:rPr>
        <w:t>2.纳税人对报送资料的真实性和合法性承担责任。</w:t>
      </w:r>
    </w:p>
    <w:p>
      <w:pPr>
        <w:ind w:firstLine="472"/>
        <w:jc w:val="left"/>
        <w:rPr>
          <w:color w:val="auto"/>
        </w:rPr>
      </w:pPr>
      <w:r>
        <w:rPr>
          <w:rFonts w:hint="eastAsia"/>
          <w:color w:val="auto"/>
        </w:rPr>
        <w:t>3.最多跑一次是在资料完整且符合法定受理条件的前提下，最多只需要到税务机关跑一次。</w:t>
      </w:r>
    </w:p>
    <w:p>
      <w:pPr>
        <w:ind w:firstLine="472"/>
        <w:jc w:val="left"/>
        <w:rPr>
          <w:rFonts w:hint="eastAsia"/>
          <w:color w:val="auto"/>
        </w:rPr>
      </w:pPr>
      <w:r>
        <w:rPr>
          <w:color w:val="auto"/>
        </w:rPr>
        <w:t>4</w:t>
      </w:r>
      <w:r>
        <w:rPr>
          <w:rFonts w:hint="eastAsia"/>
          <w:color w:val="auto"/>
        </w:rPr>
        <w:t>.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7866FB2"/>
    <w:rsid w:val="281A0092"/>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80A0C49"/>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74</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2019-10-31T04:48:44Z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