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7218"/>
      <w:r>
        <w:rPr>
          <w:rFonts w:hint="eastAsia" w:ascii="黑体" w:hAnsi="黑体" w:cstheme="minorBidi"/>
          <w:color w:val="auto"/>
        </w:rPr>
        <w:t>1.3.4.2.7限售股转让所得个人所得税清算申报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限售股转让所得个人所得税清算申报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val="en-US" w:eastAsia="zh-CN"/>
        </w:rPr>
        <w:t>办理条件</w:t>
      </w:r>
    </w:p>
    <w:p>
      <w:pPr>
        <w:ind w:firstLine="472"/>
        <w:rPr>
          <w:rFonts w:hint="eastAsia" w:eastAsia="宋体"/>
          <w:color w:val="auto"/>
          <w:lang w:eastAsia="zh-CN"/>
        </w:rPr>
      </w:pPr>
      <w:r>
        <w:rPr>
          <w:rFonts w:hint="eastAsia"/>
          <w:color w:val="auto"/>
        </w:rPr>
        <w:t>限售股转让所得个人所得税纳税人，应依照税收法律、法规、规章及其他有关规定，按照实际转让收入与实际成本计算出的应纳税额，与证券机构预扣预缴税额有差异的，应自证券机构代扣并解缴税款的次月1日起3个月内，填报《限售股转让所得个人所得税清算申报表》和主管税务机关要求报送的其他有关资料，到证券机构所在地主管税务机关提出清算申请，办理清算申报事宜。</w:t>
      </w:r>
    </w:p>
    <w:p>
      <w:pPr>
        <w:ind w:firstLine="472"/>
        <w:rPr>
          <w:rFonts w:hint="eastAsia"/>
          <w:color w:val="auto"/>
        </w:rPr>
      </w:pPr>
      <w:r>
        <w:rPr>
          <w:rFonts w:hint="eastAsia"/>
          <w:color w:val="auto"/>
        </w:rPr>
        <w:t>限售股转让所得个人所得税，采取证券机构预扣预缴、纳税人自行申报清算和证券机构直接扣缴相结合的方式征收。纳税人在规定期限内未到主管税务机关办理清算事宜的，期限届满后税务机关不再办理。</w:t>
      </w:r>
    </w:p>
    <w:p>
      <w:pPr>
        <w:ind w:firstLine="472"/>
        <w:rPr>
          <w:color w:val="auto"/>
        </w:rPr>
      </w:pPr>
      <w:r>
        <w:rPr>
          <w:rFonts w:hint="eastAsia"/>
          <w:color w:val="auto"/>
        </w:rPr>
        <w:t>纳税人办理清算时，应按照收入与成本相匹配的原则计算应纳税所得额。即，限售股转让收入必须按照实际转让收入计算，限售股原值按照实际成本计算；如果纳税人未能提供完整、真实的限售股原值凭证，不能正确计算限售股原值的，主管税务机关一律按限售股实际转让收入的15%核定限售股原值及合理税费。</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rPr>
        <w:t>2.《中华人民共和国个人所得税法》第二条</w:t>
      </w:r>
    </w:p>
    <w:p>
      <w:pPr>
        <w:ind w:firstLine="472"/>
        <w:rPr>
          <w:rFonts w:hint="eastAsia"/>
          <w:color w:val="auto"/>
        </w:rPr>
      </w:pPr>
      <w:r>
        <w:rPr>
          <w:rFonts w:hint="eastAsia"/>
          <w:color w:val="auto"/>
        </w:rPr>
        <w:t>“第二条下列各项个人所得，应当缴纳个人所得税：</w:t>
      </w:r>
    </w:p>
    <w:p>
      <w:pPr>
        <w:ind w:firstLine="472"/>
        <w:rPr>
          <w:rFonts w:hint="eastAsia"/>
          <w:color w:val="auto"/>
        </w:rPr>
      </w:pPr>
      <w:r>
        <w:rPr>
          <w:rFonts w:hint="eastAsia"/>
          <w:color w:val="auto"/>
        </w:rPr>
        <w:t>（一）工资、薪金所得；（二）劳务报酬所得；（三）稿酬所得；（四）特许权使用费所得；（五）经营所得；（六）利息、股息、红利所得；（七）财产租赁所得；（八）财产转让所得；（九）偶然所得。</w:t>
      </w:r>
    </w:p>
    <w:p>
      <w:pPr>
        <w:ind w:firstLine="472"/>
        <w:rPr>
          <w:rFonts w:hint="eastAsia"/>
          <w:color w:val="auto"/>
        </w:rPr>
      </w:pPr>
      <w:r>
        <w:rPr>
          <w:rFonts w:hint="eastAsia"/>
          <w:color w:val="auto"/>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p>
    <w:p>
      <w:pPr>
        <w:ind w:firstLine="472"/>
        <w:rPr>
          <w:rFonts w:hint="eastAsia"/>
          <w:color w:val="auto"/>
          <w:lang w:val="en-US" w:eastAsia="zh-CN"/>
        </w:rPr>
      </w:pPr>
      <w:r>
        <w:rPr>
          <w:rFonts w:hint="eastAsia"/>
          <w:color w:val="auto"/>
          <w:lang w:val="en-US" w:eastAsia="zh-CN"/>
        </w:rPr>
        <w:t>3.《财政部　国家税务总局　证监会关于个人转让上市公司限售股所得征收个人所得税有关问题的通知》（财税〔2009〕167号）全文</w:t>
      </w:r>
    </w:p>
    <w:p>
      <w:pPr>
        <w:ind w:firstLine="472"/>
        <w:rPr>
          <w:rFonts w:hint="eastAsia"/>
          <w:color w:val="auto"/>
          <w:lang w:val="en-US" w:eastAsia="zh-CN"/>
        </w:rPr>
      </w:pPr>
      <w:r>
        <w:rPr>
          <w:rFonts w:hint="eastAsia"/>
          <w:color w:val="auto"/>
          <w:lang w:val="en-US" w:eastAsia="zh-CN"/>
        </w:rPr>
        <w:t>4.《财政部　国家税务总局　证监会关于个人转让上市公司限售股所得征收个人所得税有关问题的补充通知》（财税〔2010〕70号）全文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174"/>
        <w:gridCol w:w="645"/>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17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4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17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《限售股转让所得个人所得税清算申报表》</w:t>
            </w:r>
          </w:p>
        </w:tc>
        <w:tc>
          <w:tcPr>
            <w:tcW w:w="64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17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限售股交易明细记录（加盖开户证券机构印章）</w:t>
            </w:r>
          </w:p>
        </w:tc>
        <w:tc>
          <w:tcPr>
            <w:tcW w:w="64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财产原值凭证</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4</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纳税人有效身份证件</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rPr>
              <w:t>查验后</w:t>
            </w:r>
            <w:r>
              <w:rPr>
                <w:rFonts w:cs="宋体"/>
                <w:color w:val="auto"/>
                <w:kern w:val="0"/>
                <w:sz w:val="18"/>
                <w:szCs w:val="18"/>
              </w:rPr>
              <w:t>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5</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《天使投资个人所得税投资抵扣情况表》</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天使投资个人投资的初创科技型企业上市且满足投资抵扣税收优惠条件，在办理限售股转让税款清算，抵扣尚未抵扣完毕的投资额</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6</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《天使投资个人所得税投资抵扣备案表》</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天使投资个人投资的初创科技型企业上市且满足投资抵扣税收优惠条件，在办理限售股转让税款清算，抵扣尚未抵扣完毕的投资额</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7</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代理人有效身份证件</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委托代理人进行申报的报送的情况</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rPr>
              <w:t>查验后</w:t>
            </w:r>
            <w:r>
              <w:rPr>
                <w:rFonts w:cs="宋体"/>
                <w:color w:val="auto"/>
                <w:kern w:val="0"/>
                <w:sz w:val="18"/>
                <w:szCs w:val="18"/>
              </w:rPr>
              <w:t>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8</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纳税人委托代理申报的授权书</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委托代理人进行申报的报送的情况</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w:t>
            </w:r>
            <w:r>
              <w:rPr>
                <w:rFonts w:cs="宋体"/>
                <w:color w:val="auto"/>
                <w:kern w:val="0"/>
                <w:sz w:val="18"/>
                <w:szCs w:val="18"/>
              </w:rPr>
              <w:t>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99" o:spt="75" type="#_x0000_t75" style="height:101.3pt;width:378.75pt;" o:ole="t" filled="f" o:preferrelative="t" stroked="f" coordsize="21600,21600">
            <v:path/>
            <v:fill on="f" focussize="0,0"/>
            <v:stroke on="f"/>
            <v:imagedata r:id="rId11" o:title=""/>
            <o:lock v:ext="edit" aspectratio="t"/>
            <w10:wrap type="none"/>
            <w10:anchorlock/>
          </v:shape>
          <o:OLEObject Type="Embed" ProgID="Visio.Drawing.11" ShapeID="_x0000_i1099"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1.A06240《限售股转让所得个人所得税清算申报表》</w:t>
      </w:r>
    </w:p>
    <w:p>
      <w:pPr>
        <w:ind w:firstLine="472"/>
        <w:rPr>
          <w:rFonts w:hint="default"/>
          <w:color w:val="auto"/>
          <w:lang w:val="en-US" w:eastAsia="zh-CN"/>
        </w:rPr>
      </w:pPr>
      <w:r>
        <w:rPr>
          <w:rFonts w:hint="eastAsia"/>
          <w:color w:val="auto"/>
          <w:lang w:val="en-US" w:eastAsia="zh-CN"/>
        </w:rPr>
        <w:t>2.A06847《天使投资个人所得税投资抵扣情况表》(A06847《天使投资个人所得税投资抵扣情况表》（填写样例）)</w:t>
      </w:r>
    </w:p>
    <w:p>
      <w:pPr>
        <w:ind w:firstLine="472"/>
        <w:rPr>
          <w:rFonts w:hint="default"/>
          <w:color w:val="auto"/>
          <w:lang w:val="en-US" w:eastAsia="zh-CN"/>
        </w:rPr>
      </w:pPr>
      <w:r>
        <w:rPr>
          <w:rFonts w:hint="eastAsia"/>
          <w:color w:val="auto"/>
          <w:lang w:val="en-US" w:eastAsia="zh-CN"/>
        </w:rPr>
        <w:t>3.A03070《天使投资个人所得税投资抵扣备案表》(A03070《天使投资个人所得税投资抵扣备案表》（填写样例）)</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1116D50"/>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2019-10-31T06:23:27Z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