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72"/>
        <w:rPr>
          <w:color w:val="auto"/>
        </w:rPr>
      </w:pPr>
      <w:bookmarkStart w:id="1" w:name="_GoBack"/>
      <w:bookmarkEnd w:id="1"/>
    </w:p>
    <w:p>
      <w:pPr>
        <w:pStyle w:val="2"/>
        <w:rPr>
          <w:color w:val="auto"/>
        </w:rPr>
      </w:pPr>
      <w:bookmarkStart w:id="0" w:name="_Toc3403"/>
      <w:r>
        <w:rPr>
          <w:rFonts w:hint="eastAsia" w:ascii="黑体" w:hAnsi="黑体"/>
          <w:color w:val="auto"/>
        </w:rPr>
        <w:t>1.2.7发票防伪用品领购</w:t>
      </w:r>
      <w:bookmarkEnd w:id="0"/>
    </w:p>
    <w:p>
      <w:pPr>
        <w:pStyle w:val="3"/>
        <w:ind w:firstLine="552"/>
        <w:rPr>
          <w:color w:val="auto"/>
        </w:rPr>
      </w:pPr>
      <w:r>
        <w:rPr>
          <w:color w:val="auto"/>
        </w:rPr>
        <w:t>一、事项名称</w:t>
      </w:r>
    </w:p>
    <w:p>
      <w:pPr>
        <w:ind w:firstLine="472"/>
        <w:rPr>
          <w:color w:val="auto"/>
        </w:rPr>
      </w:pPr>
      <w:r>
        <w:rPr>
          <w:rFonts w:hint="eastAsia"/>
          <w:color w:val="auto"/>
        </w:rPr>
        <w:t>发票防伪用品领购</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w:t>
      </w:r>
      <w:r>
        <w:rPr>
          <w:color w:val="auto"/>
        </w:rPr>
        <w:t>省级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发票印制企业领购发票监制章、发票防伪专用品时，须填制《发票防伪用品领购申请表》，报税务机关批准后向防伪用品供应单位进行领购。</w:t>
      </w:r>
    </w:p>
    <w:p>
      <w:pPr>
        <w:ind w:firstLine="472"/>
        <w:rPr>
          <w:color w:val="auto"/>
        </w:rPr>
      </w:pPr>
      <w:r>
        <w:rPr>
          <w:rFonts w:hint="eastAsia"/>
          <w:color w:val="auto"/>
        </w:rPr>
        <w:t>发票防伪专用品经营企业须设置有关发票防伪专用品的购进、销售、库存分类明细账簿；发票印制企业必须设置包括有关普通发票防伪专用品的购进、领取、使用、库存、废次品和边角料的销毁等内容的分类明细账簿，全面反映发票防伪专用品的使用情况。</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1.《中华人民共和国发票管理办法》（中华人民共和国国务院令第587号）第九条，第十一条</w:t>
      </w:r>
    </w:p>
    <w:p>
      <w:pPr>
        <w:adjustRightInd w:val="0"/>
        <w:snapToGrid w:val="0"/>
        <w:ind w:firstLine="472"/>
        <w:rPr>
          <w:color w:val="auto"/>
        </w:rPr>
      </w:pPr>
      <w:r>
        <w:rPr>
          <w:rFonts w:hint="eastAsia"/>
          <w:color w:val="auto"/>
        </w:rPr>
        <w:t>“第九条省、自治区、直辖市税务机关对发票印制实行统一管理的原则，严格审查印制发票企业的资格，对指定为印制发票的企业发给发票准印证。</w:t>
      </w:r>
    </w:p>
    <w:p>
      <w:pPr>
        <w:adjustRightInd w:val="0"/>
        <w:snapToGrid w:val="0"/>
        <w:ind w:firstLine="472"/>
        <w:rPr>
          <w:color w:val="auto"/>
        </w:rPr>
      </w:pPr>
      <w:r>
        <w:rPr>
          <w:rFonts w:hint="eastAsia"/>
          <w:color w:val="auto"/>
        </w:rPr>
        <w:t>第十一条印制发票的企业按照税务机关的统一规定，建立发票印制管理制度和保管措施。</w:t>
      </w:r>
    </w:p>
    <w:p>
      <w:pPr>
        <w:adjustRightInd w:val="0"/>
        <w:snapToGrid w:val="0"/>
        <w:ind w:firstLine="472"/>
        <w:rPr>
          <w:color w:val="auto"/>
        </w:rPr>
      </w:pPr>
      <w:r>
        <w:rPr>
          <w:rFonts w:hint="eastAsia"/>
          <w:color w:val="auto"/>
        </w:rPr>
        <w:t>发票监制章和发票防伪专用品的使用和管理实行专人负责制度。”</w:t>
      </w:r>
    </w:p>
    <w:p>
      <w:pPr>
        <w:adjustRightInd w:val="0"/>
        <w:snapToGrid w:val="0"/>
        <w:ind w:firstLine="472"/>
        <w:rPr>
          <w:color w:val="auto"/>
        </w:rPr>
      </w:pPr>
      <w:r>
        <w:rPr>
          <w:rFonts w:hint="eastAsia"/>
          <w:color w:val="auto"/>
        </w:rPr>
        <w:t>2.《中华人民共和国发票管理办法实施细则》（国家税务总局令第37号）第七条</w:t>
      </w:r>
    </w:p>
    <w:p>
      <w:pPr>
        <w:adjustRightInd w:val="0"/>
        <w:snapToGrid w:val="0"/>
        <w:ind w:firstLine="472"/>
        <w:rPr>
          <w:color w:val="auto"/>
        </w:rPr>
      </w:pPr>
      <w:r>
        <w:rPr>
          <w:rFonts w:hint="eastAsia"/>
          <w:color w:val="auto"/>
        </w:rPr>
        <w:t>“第七条全国统一的发票防伪措施由国家税务总局确定，省税务局可以根据需要增加本地区的发票防伪措施,并向国家税务总局备案。</w:t>
      </w:r>
    </w:p>
    <w:p>
      <w:pPr>
        <w:adjustRightInd w:val="0"/>
        <w:snapToGrid w:val="0"/>
        <w:ind w:firstLine="472"/>
        <w:rPr>
          <w:color w:val="auto"/>
        </w:rPr>
      </w:pPr>
      <w:r>
        <w:rPr>
          <w:rFonts w:hint="eastAsia"/>
          <w:color w:val="auto"/>
        </w:rPr>
        <w:t>发票防伪专用品应当按照规定专库保管，不得丢失。次品、废品应当在税务机关监督下集中销毁。”</w:t>
      </w:r>
    </w:p>
    <w:p>
      <w:pPr>
        <w:adjustRightInd w:val="0"/>
        <w:snapToGrid w:val="0"/>
        <w:ind w:firstLine="472"/>
        <w:rPr>
          <w:color w:val="auto"/>
        </w:rPr>
      </w:pPr>
      <w:r>
        <w:rPr>
          <w:rFonts w:hint="eastAsia"/>
          <w:color w:val="auto"/>
        </w:rPr>
        <w:t>3.《国家税务总局关于发票防伪专用品问题的批复》（国税函发〔1994〕398号）全文</w:t>
      </w:r>
    </w:p>
    <w:p>
      <w:pPr>
        <w:adjustRightInd w:val="0"/>
        <w:snapToGrid w:val="0"/>
        <w:ind w:firstLine="472"/>
        <w:rPr>
          <w:color w:val="auto"/>
        </w:rPr>
      </w:pPr>
      <w:r>
        <w:rPr>
          <w:rFonts w:hint="eastAsia"/>
          <w:color w:val="auto"/>
        </w:rPr>
        <w:t>4.《国家税务总局关于加强普通发票防伪专用品管理的通知》（国税函〔2007〕1057号）全文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cs="微软雅黑"/>
                <w:b/>
                <w:color w:val="auto"/>
                <w:sz w:val="18"/>
                <w:szCs w:val="18"/>
              </w:rPr>
              <w:t>1</w:t>
            </w:r>
          </w:p>
        </w:tc>
        <w:tc>
          <w:tcPr>
            <w:tcW w:w="1969"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《发票防伪用品领购申请表》</w:t>
            </w:r>
          </w:p>
        </w:tc>
        <w:tc>
          <w:tcPr>
            <w:tcW w:w="850" w:type="dxa"/>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980" w:type="dxa"/>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1587" w:type="dxa"/>
            <w:shd w:val="clear" w:color="auto" w:fill="auto"/>
            <w:vAlign w:val="center"/>
          </w:tcPr>
          <w:p>
            <w:pPr>
              <w:pStyle w:val="13"/>
              <w:widowControl/>
              <w:spacing w:before="100" w:after="100"/>
              <w:jc w:val="center"/>
              <w:rPr>
                <w:rFonts w:ascii="宋体" w:hAnsi="宋体" w:eastAsia="宋体" w:cs="宋体"/>
                <w:color w:val="auto"/>
                <w:sz w:val="18"/>
                <w:szCs w:val="18"/>
              </w:rPr>
            </w:pPr>
          </w:p>
        </w:tc>
        <w:tc>
          <w:tcPr>
            <w:tcW w:w="1134" w:type="dxa"/>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税务机关归档</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ascii="宋体" w:hAnsi="宋体" w:eastAsia="宋体" w:cs="微软雅黑"/>
                <w:color w:val="auto"/>
                <w:sz w:val="18"/>
                <w:szCs w:val="18"/>
              </w:rPr>
            </w:pPr>
            <w:r>
              <w:rPr>
                <w:rFonts w:ascii="宋体" w:hAnsi="宋体" w:cs="微软雅黑"/>
                <w:b/>
                <w:color w:val="auto"/>
                <w:sz w:val="18"/>
                <w:szCs w:val="18"/>
              </w:rPr>
              <w:t>2</w:t>
            </w:r>
          </w:p>
        </w:tc>
        <w:tc>
          <w:tcPr>
            <w:tcW w:w="196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发票准印证复印件</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ascii="宋体" w:hAnsi="宋体" w:eastAsia="宋体" w:cs="微软雅黑"/>
                <w:color w:val="auto"/>
                <w:sz w:val="18"/>
                <w:szCs w:val="18"/>
              </w:rPr>
            </w:pPr>
            <w:r>
              <w:rPr>
                <w:rFonts w:ascii="宋体" w:hAnsi="宋体" w:cs="微软雅黑"/>
                <w:b/>
                <w:color w:val="auto"/>
                <w:sz w:val="18"/>
                <w:szCs w:val="18"/>
              </w:rPr>
              <w:t>3</w:t>
            </w:r>
          </w:p>
        </w:tc>
        <w:tc>
          <w:tcPr>
            <w:tcW w:w="1969"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居民身份证</w:t>
            </w:r>
          </w:p>
        </w:tc>
        <w:tc>
          <w:tcPr>
            <w:tcW w:w="850" w:type="dxa"/>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1</w:t>
            </w:r>
          </w:p>
        </w:tc>
        <w:tc>
          <w:tcPr>
            <w:tcW w:w="980" w:type="dxa"/>
            <w:shd w:val="clear" w:color="auto" w:fill="auto"/>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必报</w:t>
            </w:r>
          </w:p>
        </w:tc>
        <w:tc>
          <w:tcPr>
            <w:tcW w:w="1587" w:type="dxa"/>
            <w:shd w:val="clear" w:color="auto" w:fill="auto"/>
            <w:vAlign w:val="center"/>
          </w:tcPr>
          <w:p>
            <w:pPr>
              <w:pStyle w:val="13"/>
              <w:widowControl/>
              <w:spacing w:before="100" w:after="100"/>
              <w:jc w:val="center"/>
              <w:rPr>
                <w:rFonts w:ascii="宋体" w:hAnsi="宋体" w:eastAsia="宋体" w:cs="宋体"/>
                <w:color w:val="auto"/>
                <w:sz w:val="18"/>
                <w:szCs w:val="18"/>
              </w:rPr>
            </w:pPr>
          </w:p>
        </w:tc>
        <w:tc>
          <w:tcPr>
            <w:tcW w:w="1134" w:type="dxa"/>
            <w:vAlign w:val="center"/>
          </w:tcPr>
          <w:p>
            <w:pPr>
              <w:pStyle w:val="13"/>
              <w:widowControl/>
              <w:spacing w:before="100" w:after="100"/>
              <w:jc w:val="center"/>
              <w:rPr>
                <w:rFonts w:ascii="宋体" w:hAnsi="宋体" w:eastAsia="宋体" w:cs="宋体"/>
                <w:color w:val="auto"/>
                <w:sz w:val="18"/>
                <w:szCs w:val="18"/>
              </w:rPr>
            </w:pPr>
            <w:r>
              <w:rPr>
                <w:rFonts w:hint="eastAsia" w:ascii="宋体" w:hAnsi="宋体" w:eastAsia="宋体" w:cs="宋体"/>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r>
        <w:rPr>
          <w:color w:val="auto"/>
        </w:rPr>
        <w:object>
          <v:shape id="_x0000_i1078" o:spt="75" type="#_x0000_t75" style="height:129.75pt;width:375.05pt;" o:ole="t" filled="f" o:preferrelative="t" stroked="f" coordsize="21600,21600">
            <v:path/>
            <v:fill on="f" focussize="0,0"/>
            <v:stroke on="f" joinstyle="miter"/>
            <v:imagedata r:id="rId11" o:title=""/>
            <o:lock v:ext="edit" aspectratio="t"/>
            <w10:wrap type="none"/>
            <w10:anchorlock/>
          </v:shape>
          <o:OLEObject Type="Embed" ProgID="Visio.Drawing.11" ShapeID="_x0000_i107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1.A02031《发票防伪用品领购申请表》(A02031《发票防伪用品领购申请表》（填写样例）)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1.附报资料中通过电子税务局等渠道提交电子资料的不再报送纸质资料。</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rFonts w:hint="eastAsia"/>
          <w:color w:val="auto"/>
          <w:lang w:val="en-US" w:eastAsia="zh-CN"/>
        </w:rPr>
      </w:pPr>
      <w:r>
        <w:rPr>
          <w:rFonts w:hint="eastAsia"/>
          <w:color w:val="auto"/>
          <w:lang w:val="en-US" w:eastAsia="zh-CN"/>
        </w:rPr>
        <w:t>国家税务总局河南省税务局办理时间</w:t>
      </w:r>
    </w:p>
    <w:p>
      <w:pPr>
        <w:ind w:firstLine="472"/>
        <w:rPr>
          <w:color w:val="auto"/>
        </w:rPr>
      </w:pPr>
      <w:r>
        <w:rPr>
          <w:rFonts w:hint="eastAsia"/>
          <w:color w:val="auto"/>
          <w:lang w:val="en-US" w:eastAsia="zh-CN"/>
        </w:rPr>
        <w:t>上午8:00-12:00，下午14:30-17:30（冬）15:00-18:00（夏））</w:t>
      </w:r>
    </w:p>
    <w:p>
      <w:pPr>
        <w:pStyle w:val="3"/>
        <w:ind w:firstLine="552"/>
        <w:rPr>
          <w:color w:val="auto"/>
        </w:rPr>
      </w:pPr>
      <w:r>
        <w:rPr>
          <w:rFonts w:hint="eastAsia"/>
          <w:color w:val="auto"/>
        </w:rPr>
        <w:t>十一、办理地点</w:t>
      </w:r>
    </w:p>
    <w:p>
      <w:pPr>
        <w:ind w:firstLine="472"/>
        <w:rPr>
          <w:rFonts w:hint="eastAsia"/>
          <w:color w:val="auto"/>
          <w:lang w:val="en-US" w:eastAsia="zh-CN"/>
        </w:rPr>
      </w:pPr>
      <w:r>
        <w:rPr>
          <w:rFonts w:hint="eastAsia"/>
          <w:color w:val="auto"/>
          <w:lang w:val="en-US" w:eastAsia="zh-CN"/>
        </w:rPr>
        <w:t>国家税务总局河南省税务局征管和科技发展处</w:t>
      </w:r>
    </w:p>
    <w:p>
      <w:pPr>
        <w:ind w:firstLine="472"/>
        <w:rPr>
          <w:rFonts w:hint="eastAsia"/>
          <w:color w:val="auto"/>
        </w:rPr>
      </w:pPr>
      <w:r>
        <w:rPr>
          <w:rFonts w:hint="eastAsia"/>
          <w:color w:val="auto"/>
          <w:lang w:val="en-US" w:eastAsia="zh-CN"/>
        </w:rPr>
        <w:t>地址：郑州市金水区丰产路111号。</w:t>
      </w:r>
    </w:p>
    <w:p>
      <w:pPr>
        <w:pStyle w:val="3"/>
        <w:ind w:firstLine="552"/>
        <w:rPr>
          <w:rFonts w:hint="eastAsia"/>
          <w:color w:val="auto"/>
        </w:rPr>
      </w:pPr>
      <w:r>
        <w:rPr>
          <w:rFonts w:hint="eastAsia"/>
          <w:color w:val="auto"/>
        </w:rPr>
        <w:t>十二、办理机构</w:t>
      </w:r>
    </w:p>
    <w:p>
      <w:pPr>
        <w:ind w:firstLine="472"/>
        <w:rPr>
          <w:rFonts w:hint="eastAsia" w:eastAsia="宋体"/>
          <w:color w:val="auto"/>
          <w:lang w:val="en-US" w:eastAsia="zh-CN"/>
        </w:rPr>
      </w:pPr>
      <w:r>
        <w:rPr>
          <w:rFonts w:hint="eastAsia"/>
          <w:color w:val="auto"/>
          <w:lang w:val="en-US" w:eastAsia="zh-CN"/>
        </w:rPr>
        <w:t>国家税务总局河南省税务局</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w:t>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CD42476"/>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2019-10-31T03:42:47Z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