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auto"/>
        </w:rPr>
      </w:pPr>
      <w:bookmarkStart w:id="1" w:name="_GoBack"/>
      <w:bookmarkEnd w:id="1"/>
      <w:bookmarkStart w:id="0" w:name="_Toc5397"/>
      <w:r>
        <w:rPr>
          <w:rFonts w:hint="eastAsia" w:ascii="黑体" w:hAnsi="黑体"/>
          <w:color w:val="auto"/>
        </w:rPr>
        <w:t>1.1.7.4税务证件增补发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税务证件增补发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全省通办：是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rFonts w:hAnsi="Times New Roman" w:cs="宋体"/>
          <w:color w:val="auto"/>
          <w:kern w:val="0"/>
          <w:szCs w:val="24"/>
        </w:rPr>
      </w:pPr>
      <w:r>
        <w:rPr>
          <w:rFonts w:hint="eastAsia" w:hAnsi="Times New Roman" w:cs="宋体"/>
          <w:color w:val="auto"/>
          <w:kern w:val="0"/>
          <w:szCs w:val="24"/>
        </w:rPr>
        <w:t>纳税人、扣缴义务人遗失、损毁税务登记证件的，无需登报声明作废，可通过本事项直接办理增补发。</w:t>
      </w:r>
    </w:p>
    <w:p>
      <w:pPr>
        <w:ind w:firstLine="472"/>
        <w:rPr>
          <w:color w:val="auto"/>
        </w:rPr>
      </w:pPr>
      <w:r>
        <w:rPr>
          <w:rFonts w:hint="eastAsia" w:hAnsi="Times New Roman" w:cs="宋体"/>
          <w:color w:val="auto"/>
          <w:kern w:val="0"/>
          <w:szCs w:val="24"/>
        </w:rPr>
        <w:t>税务登记证件包括但不限于税务登记证正本、税务登记证副本、临时税务登记证正本、临时税务登记证副本、扣缴税款登记证件等，其他税务证件包括但不限于发票领购簿、委托代征证书等。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1.《中华人民共和国发票管理办法》第十五条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“依法办理税务登记的单位和个人，在领取税务登记证件后，向主管税务机关申请领购发票。”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2.《税务登记管理办法》（国家税务总局令第7号公布，国家税务总局令第36号、第44号、第48号修改）第三十七条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“纳税人、扣缴义务人遗失税务登记证件的，应当自遗失税务登记证件之日起15日内，书面报告主管税务机关，如实填写《税务登记证件遗失报告表》，并将纳税人的名称、税务登记证件名称、税务登记证件号码、税务登记证件有效期、发证机关名称在税务机关认可的报刊上作遗失声明，凭报刊上刊登的遗失声明到主管税务机关补办税务登记证件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《税务证件增补发报告表》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损毁的税务证件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税务证件损毁的需报送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object>
          <v:shape id="_x0000_i1051" o:spt="75" type="#_x0000_t75" style="height:125.6pt;width:465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none"/>
            <w10:anchorlock/>
          </v:shape>
          <o:OLEObject Type="Embed" ProgID="Visio.Drawing.11" ShapeID="_x0000_i1051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1.A01087《税务证件增补发报告表》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1.纳税人损毁税务登记证件的，处二千元以上一万元以下的罚款；情节严重的，处一万元以上五万元以下的罚款。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2.符合多证合一、两证整合的纳税人，税务登记证件遗失损毁的，提醒纳税人进行换发新的社会信用代码证。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3.纳税人对报送资料的真实性和合法性承担责任。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4.最多跑一次是在资料完整且符合法定受理条件的前提下，最多只需要到税务机关跑一次。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5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4B881A"/>
    <w:multiLevelType w:val="singleLevel"/>
    <w:tmpl w:val="BC4B881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513588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2019-10-31T03:37:37Z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