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2" w:name="_GoBack"/>
      <w:bookmarkEnd w:id="2"/>
      <w:bookmarkStart w:id="0" w:name="_Toc869"/>
      <w:r>
        <w:rPr>
          <w:rFonts w:ascii="黑体" w:hAnsi="黑体" w:cs="黑体"/>
          <w:color w:val="auto"/>
        </w:rPr>
        <w:t>1.1.</w:t>
      </w:r>
      <w:r>
        <w:rPr>
          <w:rFonts w:hint="eastAsia" w:ascii="黑体" w:hAnsi="黑体" w:cs="黑体"/>
          <w:color w:val="auto"/>
        </w:rPr>
        <w:t>3</w:t>
      </w:r>
      <w:r>
        <w:rPr>
          <w:rFonts w:ascii="黑体" w:hAnsi="黑体" w:cs="黑体"/>
          <w:color w:val="auto"/>
        </w:rPr>
        <w:t>.</w:t>
      </w:r>
      <w:r>
        <w:rPr>
          <w:rFonts w:hint="eastAsia" w:ascii="黑体" w:hAnsi="黑体" w:cs="黑体"/>
          <w:color w:val="auto"/>
        </w:rPr>
        <w:t>3银税三方（委托）划缴协议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银税三方（委托）划缴协议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</w:t>
      </w:r>
      <w:r>
        <w:rPr>
          <w:rFonts w:hint="eastAsia"/>
          <w:color w:val="auto"/>
          <w:lang w:eastAsia="zh-CN"/>
        </w:rPr>
        <w:t>是</w:t>
      </w:r>
    </w:p>
    <w:p>
      <w:pPr>
        <w:pStyle w:val="49"/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 w:eastAsia="黑体" w:asciiTheme="majorHAnsi" w:hAnsiTheme="majorHAnsi" w:cstheme="majorBidi"/>
          <w:bCs/>
          <w:color w:val="auto"/>
          <w:sz w:val="28"/>
          <w:szCs w:val="32"/>
          <w:lang w:eastAsia="zh-CN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人需要使用电子缴税系统缴纳税费的，可以与税务机关、开户银行签署委托银行代缴税款三方协议或委托划转税款协议，由税务机关向开户银行发起划缴税款验证，实现使用电子缴税系统缴纳税费、滞纳金和罚款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1.《中华人民共和国税收征收管理法》</w:t>
      </w:r>
      <w:r>
        <w:rPr>
          <w:rFonts w:hint="eastAsia"/>
          <w:color w:val="auto"/>
          <w:lang w:eastAsia="zh-CN"/>
        </w:rPr>
        <w:t>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委托银行代缴税款三方协议（委托划转税款协议书）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经办人居民身份证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查验后返还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1" w:firstLine="0" w:firstLineChars="0"/>
        <w:textAlignment w:val="auto"/>
        <w:rPr>
          <w:color w:val="auto"/>
        </w:rPr>
      </w:pPr>
      <w:r>
        <w:rPr>
          <w:rFonts w:eastAsia="楷体"/>
          <w:b w:val="0"/>
          <w:bCs w:val="0"/>
          <w:color w:val="auto"/>
          <w:sz w:val="28"/>
        </w:rPr>
        <w:object>
          <v:shape id="_x0000_i1036" o:spt="75" type="#_x0000_t75" style="height:154.1pt;width:444.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036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708" w:firstLineChars="30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无。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1.</w:t>
      </w:r>
      <w:r>
        <w:rPr>
          <w:rFonts w:hint="default"/>
          <w:color w:val="auto"/>
        </w:rPr>
        <w:t>纳税人对报送材料的真实性和合法性承担责任。</w:t>
      </w:r>
    </w:p>
    <w:p>
      <w:pPr>
        <w:ind w:firstLine="472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2.</w:t>
      </w:r>
      <w:r>
        <w:rPr>
          <w:rFonts w:hint="default"/>
          <w:color w:val="auto"/>
        </w:rPr>
        <w:t>纳税人可通过办税服务厅</w:t>
      </w:r>
      <w:r>
        <w:rPr>
          <w:rFonts w:hint="eastAsia"/>
          <w:color w:val="auto"/>
        </w:rPr>
        <w:t>、电子税务局</w:t>
      </w:r>
      <w:r>
        <w:rPr>
          <w:rFonts w:hint="default"/>
          <w:color w:val="auto"/>
        </w:rPr>
        <w:t>获取</w:t>
      </w:r>
      <w:bookmarkStart w:id="1" w:name="_Hlk16200905"/>
      <w:r>
        <w:rPr>
          <w:rFonts w:hint="eastAsia"/>
          <w:color w:val="auto"/>
        </w:rPr>
        <w:t>《委托银行代缴税款三方协议（委托划转税款协议书）》</w:t>
      </w:r>
      <w:bookmarkEnd w:id="1"/>
      <w:r>
        <w:rPr>
          <w:rFonts w:hint="default"/>
          <w:color w:val="auto"/>
        </w:rPr>
        <w:t>文本。</w:t>
      </w:r>
    </w:p>
    <w:p>
      <w:pPr>
        <w:ind w:firstLine="472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3.</w:t>
      </w:r>
      <w:r>
        <w:rPr>
          <w:rFonts w:hint="default"/>
          <w:color w:val="auto"/>
        </w:rPr>
        <w:t>纳税人使用符合电子签名法规定条件的电子签名，与手写签名或者盖章具有同等法律效力。</w:t>
      </w:r>
    </w:p>
    <w:p>
      <w:pPr>
        <w:ind w:firstLine="472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4.纳税人在办理“银税三方（委托）划缴协议”事项前，须先办理完成“存款账户账号报告”事项。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color w:val="auto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  <w:lang w:eastAsia="zh-CN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51D22BC5"/>
    <w:multiLevelType w:val="multilevel"/>
    <w:tmpl w:val="51D22BC5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EDB1219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2019-10-31T03:31:24Z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