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firstLine="552"/>
        <w:rPr>
          <w:color w:val="auto"/>
        </w:rPr>
      </w:pPr>
      <w:bookmarkStart w:id="1" w:name="_GoBack"/>
      <w:bookmarkEnd w:id="1"/>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ind w:firstLine="472"/>
        <w:rPr>
          <w:color w:val="auto"/>
        </w:rPr>
      </w:pPr>
    </w:p>
    <w:p>
      <w:pPr>
        <w:pStyle w:val="2"/>
        <w:ind w:firstLine="552"/>
        <w:rPr>
          <w:rFonts w:hint="eastAsia" w:ascii="黑体" w:hAnsi="黑体"/>
          <w:color w:val="auto"/>
        </w:rPr>
      </w:pPr>
      <w:bookmarkStart w:id="0" w:name="_Toc6590"/>
      <w:r>
        <w:rPr>
          <w:rFonts w:hint="eastAsia" w:ascii="黑体" w:hAnsi="黑体"/>
          <w:color w:val="auto"/>
        </w:rPr>
        <w:t>1.3.21.6企业集团合并财务报表报送与信息采集</w:t>
      </w:r>
      <w:bookmarkEnd w:id="0"/>
    </w:p>
    <w:p>
      <w:pPr>
        <w:pStyle w:val="3"/>
        <w:ind w:firstLine="552"/>
        <w:rPr>
          <w:color w:val="auto"/>
        </w:rPr>
      </w:pPr>
      <w:r>
        <w:rPr>
          <w:color w:val="auto"/>
        </w:rPr>
        <w:t>一、事项名称</w:t>
      </w:r>
    </w:p>
    <w:p>
      <w:pPr>
        <w:ind w:firstLine="472"/>
        <w:contextualSpacing/>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企业集团合并财务报表报送与信息采集</w:t>
      </w:r>
    </w:p>
    <w:p>
      <w:pPr>
        <w:pStyle w:val="3"/>
        <w:ind w:firstLine="552"/>
        <w:rPr>
          <w:color w:val="auto"/>
        </w:rPr>
      </w:pPr>
      <w:r>
        <w:rPr>
          <w:color w:val="auto"/>
        </w:rPr>
        <w:t>二、事项类别</w:t>
      </w:r>
    </w:p>
    <w:p>
      <w:pPr>
        <w:pStyle w:val="48"/>
        <w:numPr>
          <w:ilvl w:val="0"/>
          <w:numId w:val="3"/>
        </w:numPr>
        <w:ind w:firstLineChars="0"/>
        <w:rPr>
          <w:rFonts w:hint="eastAsia"/>
          <w:color w:val="auto"/>
        </w:rPr>
      </w:pPr>
      <w:r>
        <w:rPr>
          <w:rFonts w:hint="eastAsia"/>
          <w:color w:val="auto"/>
        </w:rPr>
        <w:t>发起方式：人工发起（纳税人）</w:t>
      </w:r>
    </w:p>
    <w:p>
      <w:pPr>
        <w:pStyle w:val="48"/>
        <w:numPr>
          <w:ilvl w:val="0"/>
          <w:numId w:val="3"/>
        </w:numPr>
        <w:ind w:firstLineChars="0"/>
        <w:rPr>
          <w:rFonts w:hint="eastAsia"/>
          <w:color w:val="auto"/>
        </w:rPr>
      </w:pPr>
      <w:r>
        <w:rPr>
          <w:rFonts w:hint="eastAsia"/>
          <w:color w:val="auto"/>
        </w:rPr>
        <w:t>办结方式：即办</w:t>
      </w:r>
    </w:p>
    <w:p>
      <w:pPr>
        <w:pStyle w:val="48"/>
        <w:numPr>
          <w:ilvl w:val="0"/>
          <w:numId w:val="3"/>
        </w:numPr>
        <w:ind w:firstLineChars="0"/>
        <w:rPr>
          <w:rFonts w:hint="eastAsia"/>
          <w:color w:val="auto"/>
        </w:rPr>
      </w:pPr>
      <w:r>
        <w:rPr>
          <w:rFonts w:hint="eastAsia"/>
          <w:color w:val="auto"/>
        </w:rPr>
        <w:t>全省通办：是</w:t>
      </w:r>
    </w:p>
    <w:p>
      <w:pPr>
        <w:pStyle w:val="48"/>
        <w:numPr>
          <w:ilvl w:val="0"/>
          <w:numId w:val="3"/>
        </w:numPr>
        <w:ind w:firstLineChars="0"/>
        <w:rPr>
          <w:rFonts w:hint="eastAsia"/>
          <w:color w:val="auto"/>
        </w:rPr>
      </w:pPr>
      <w:r>
        <w:rPr>
          <w:rFonts w:hint="eastAsia"/>
          <w:color w:val="auto"/>
        </w:rPr>
        <w:t>网上办理：是</w:t>
      </w:r>
    </w:p>
    <w:p>
      <w:pPr>
        <w:pStyle w:val="48"/>
        <w:numPr>
          <w:ilvl w:val="0"/>
          <w:numId w:val="3"/>
        </w:numPr>
        <w:ind w:firstLineChars="0"/>
        <w:rPr>
          <w:color w:val="auto"/>
        </w:rPr>
      </w:pPr>
      <w:r>
        <w:rPr>
          <w:rFonts w:hint="eastAsia"/>
          <w:color w:val="auto"/>
        </w:rPr>
        <w:t>适用层级：县(市、区)级</w:t>
      </w:r>
    </w:p>
    <w:p>
      <w:pPr>
        <w:pStyle w:val="48"/>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rFonts w:hint="eastAsia"/>
          <w:color w:val="auto"/>
          <w:szCs w:val="24"/>
        </w:rPr>
      </w:pPr>
      <w:r>
        <w:rPr>
          <w:rFonts w:hint="eastAsia"/>
          <w:color w:val="auto"/>
          <w:szCs w:val="24"/>
        </w:rPr>
        <w:t>按照会计准则、会计制度等要求编制合并财务报表的全国千户集团总部，应在每年5月31日前附报上一年度的合并财务报表。</w:t>
      </w:r>
    </w:p>
    <w:p>
      <w:pPr>
        <w:ind w:firstLine="472"/>
        <w:rPr>
          <w:color w:val="auto"/>
        </w:rPr>
      </w:pPr>
      <w:r>
        <w:rPr>
          <w:rFonts w:hint="eastAsia"/>
          <w:color w:val="auto"/>
          <w:szCs w:val="24"/>
        </w:rPr>
        <w:t>根据《国家税务总局关于完善关联申报和同期资料管理有关事项的公告》（国家税务总局公告2016年第42号），年度发生跨境关联交易，且合并该企业财务报表的最终控股企业所属企业集团已准备主体文档或者年度关联交易总额超过10亿元的企业，应当准备主体文档，并在主体文档中包含企业集团最近一个会计年度的合并财务报表。主体文档（合并财务报表）应当在企业集团最终控股企业会计年度终了之日起12个月内准备完毕，并应当自税务机关要求之日起30日内提供。</w:t>
      </w:r>
    </w:p>
    <w:p>
      <w:pPr>
        <w:pStyle w:val="3"/>
        <w:ind w:firstLine="552"/>
        <w:rPr>
          <w:color w:val="auto"/>
        </w:rPr>
      </w:pPr>
      <w:r>
        <w:rPr>
          <w:rFonts w:hint="eastAsia"/>
          <w:color w:val="auto"/>
        </w:rPr>
        <w:t>四、设定依据</w:t>
      </w:r>
    </w:p>
    <w:p>
      <w:pPr>
        <w:pStyle w:val="77"/>
        <w:ind w:firstLine="472" w:firstLineChars="200"/>
        <w:rPr>
          <w:rFonts w:ascii="宋体" w:hAnsi="宋体"/>
          <w:color w:val="auto"/>
          <w:sz w:val="24"/>
          <w:szCs w:val="24"/>
        </w:rPr>
      </w:pPr>
      <w:r>
        <w:rPr>
          <w:rFonts w:hint="eastAsia" w:ascii="宋体" w:hAnsi="宋体"/>
          <w:color w:val="auto"/>
          <w:sz w:val="24"/>
          <w:szCs w:val="24"/>
          <w:lang w:val="en-US" w:eastAsia="zh-CN"/>
        </w:rPr>
        <w:t>1.</w:t>
      </w:r>
      <w:r>
        <w:rPr>
          <w:rFonts w:hint="eastAsia" w:ascii="宋体" w:hAnsi="宋体"/>
          <w:color w:val="auto"/>
          <w:sz w:val="24"/>
          <w:szCs w:val="24"/>
        </w:rPr>
        <w:t>《财政部关于修订印发</w:t>
      </w:r>
      <w:r>
        <w:rPr>
          <w:rFonts w:ascii="宋体" w:hAnsi="宋体"/>
          <w:color w:val="auto"/>
          <w:sz w:val="24"/>
          <w:szCs w:val="24"/>
        </w:rPr>
        <w:t>2018</w:t>
      </w:r>
      <w:r>
        <w:rPr>
          <w:rFonts w:hint="eastAsia" w:ascii="宋体" w:hAnsi="宋体"/>
          <w:color w:val="auto"/>
          <w:sz w:val="24"/>
          <w:szCs w:val="24"/>
        </w:rPr>
        <w:t>年度合并财务报表格式的通知》（财会〔</w:t>
      </w:r>
      <w:r>
        <w:rPr>
          <w:rFonts w:ascii="宋体" w:hAnsi="宋体"/>
          <w:color w:val="auto"/>
          <w:sz w:val="24"/>
          <w:szCs w:val="24"/>
        </w:rPr>
        <w:t>2019</w:t>
      </w:r>
      <w:r>
        <w:rPr>
          <w:rFonts w:hint="eastAsia" w:ascii="宋体" w:hAnsi="宋体"/>
          <w:color w:val="auto"/>
          <w:sz w:val="24"/>
          <w:szCs w:val="24"/>
        </w:rPr>
        <w:t>〕1号）全文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8"/>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8"/>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Style w:val="18"/>
                <w:rFonts w:ascii="宋体" w:hAnsi="宋体" w:eastAsia="宋体" w:cs="微软雅黑"/>
                <w:b w:val="0"/>
                <w:sz w:val="18"/>
                <w:szCs w:val="18"/>
              </w:rPr>
              <w:t>1</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ascii="宋体" w:hAnsi="宋体" w:eastAsia="宋体" w:cs="宋体"/>
                <w:sz w:val="18"/>
                <w:szCs w:val="18"/>
              </w:rPr>
              <w:t>《合并利润表》</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宋体"/>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宋体"/>
                <w:sz w:val="18"/>
                <w:szCs w:val="18"/>
              </w:rPr>
              <w:t>必报</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Style w:val="18"/>
                <w:rFonts w:ascii="宋体" w:hAnsi="宋体" w:eastAsia="宋体" w:cs="微软雅黑"/>
                <w:b w:val="0"/>
                <w:sz w:val="18"/>
                <w:szCs w:val="18"/>
              </w:rPr>
              <w:t>2</w:t>
            </w:r>
          </w:p>
        </w:tc>
        <w:tc>
          <w:tcPr>
            <w:tcW w:w="2551" w:type="dxa"/>
            <w:shd w:val="clear" w:color="auto" w:fill="auto"/>
            <w:vAlign w:val="top"/>
          </w:tcPr>
          <w:p>
            <w:pPr>
              <w:pStyle w:val="13"/>
              <w:widowControl/>
              <w:spacing w:beforeAutospacing="0" w:afterAutospacing="0" w:line="280" w:lineRule="exact"/>
              <w:ind w:firstLine="0" w:firstLineChars="0"/>
              <w:rPr>
                <w:rFonts w:cs="宋体"/>
                <w:color w:val="auto"/>
                <w:kern w:val="0"/>
                <w:sz w:val="18"/>
                <w:szCs w:val="18"/>
              </w:rPr>
            </w:pPr>
            <w:r>
              <w:rPr>
                <w:rFonts w:ascii="宋体" w:hAnsi="宋体" w:eastAsia="宋体" w:cs="宋体"/>
                <w:sz w:val="18"/>
                <w:szCs w:val="18"/>
              </w:rPr>
              <w:t>《合并现金流量表》</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宋体"/>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宋体"/>
                <w:sz w:val="18"/>
                <w:szCs w:val="18"/>
              </w:rPr>
              <w:t>必报</w:t>
            </w:r>
          </w:p>
        </w:tc>
        <w:tc>
          <w:tcPr>
            <w:tcW w:w="1134" w:type="dxa"/>
            <w:shd w:val="clear" w:color="auto" w:fill="auto"/>
            <w:vAlign w:val="center"/>
          </w:tcPr>
          <w:p>
            <w:pPr>
              <w:pStyle w:val="13"/>
              <w:widowControl/>
              <w:spacing w:beforeAutospacing="0" w:afterAutospacing="0" w:line="280" w:lineRule="exact"/>
              <w:ind w:firstLine="0" w:firstLineChars="0"/>
              <w:rPr>
                <w:rFonts w:cs="宋体" w:asciiTheme="minorHAnsi" w:hAnsiTheme="minorHAnsi" w:eastAsiaTheme="minorEastAsia"/>
                <w:color w:val="auto"/>
                <w:kern w:val="0"/>
                <w:sz w:val="18"/>
                <w:szCs w:val="18"/>
                <w:lang w:val="en-US" w:eastAsia="zh-CN" w:bidi="ar-SA"/>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Style w:val="18"/>
                <w:rFonts w:ascii="宋体" w:hAnsi="宋体" w:eastAsia="宋体" w:cs="微软雅黑"/>
                <w:b w:val="0"/>
                <w:sz w:val="18"/>
                <w:szCs w:val="18"/>
              </w:rPr>
              <w:t>3</w:t>
            </w:r>
          </w:p>
        </w:tc>
        <w:tc>
          <w:tcPr>
            <w:tcW w:w="2551" w:type="dxa"/>
            <w:shd w:val="clear" w:color="auto" w:fill="auto"/>
            <w:vAlign w:val="center"/>
          </w:tcPr>
          <w:p>
            <w:pPr>
              <w:pStyle w:val="13"/>
              <w:widowControl/>
              <w:spacing w:beforeAutospacing="0" w:afterAutospacing="0" w:line="280" w:lineRule="exact"/>
              <w:ind w:firstLine="0" w:firstLineChars="0"/>
              <w:rPr>
                <w:rFonts w:hint="eastAsia" w:cs="宋体"/>
                <w:color w:val="auto"/>
                <w:kern w:val="0"/>
                <w:sz w:val="18"/>
                <w:szCs w:val="18"/>
              </w:rPr>
            </w:pPr>
            <w:r>
              <w:rPr>
                <w:rFonts w:ascii="宋体" w:hAnsi="宋体" w:eastAsia="宋体" w:cs="宋体"/>
                <w:sz w:val="18"/>
                <w:szCs w:val="18"/>
              </w:rPr>
              <w:t>《合并资产负债表》</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宋体"/>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宋体"/>
                <w:sz w:val="18"/>
                <w:szCs w:val="18"/>
              </w:rPr>
              <w:t>必报</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Style w:val="18"/>
                <w:rFonts w:ascii="宋体" w:hAnsi="宋体" w:eastAsia="宋体" w:cs="微软雅黑"/>
                <w:b w:val="0"/>
                <w:sz w:val="18"/>
                <w:szCs w:val="18"/>
              </w:rPr>
              <w:t>4</w:t>
            </w:r>
          </w:p>
        </w:tc>
        <w:tc>
          <w:tcPr>
            <w:tcW w:w="2551" w:type="dxa"/>
            <w:shd w:val="clear" w:color="auto" w:fill="auto"/>
            <w:vAlign w:val="center"/>
          </w:tcPr>
          <w:p>
            <w:pPr>
              <w:pStyle w:val="13"/>
              <w:widowControl/>
              <w:spacing w:beforeAutospacing="0" w:afterAutospacing="0" w:line="280" w:lineRule="exact"/>
              <w:ind w:firstLine="0" w:firstLineChars="0"/>
              <w:rPr>
                <w:rFonts w:hint="eastAsia" w:cs="宋体"/>
                <w:color w:val="auto"/>
                <w:kern w:val="0"/>
                <w:sz w:val="18"/>
                <w:szCs w:val="18"/>
              </w:rPr>
            </w:pPr>
            <w:r>
              <w:rPr>
                <w:rFonts w:ascii="宋体" w:hAnsi="宋体" w:eastAsia="宋体" w:cs="宋体"/>
                <w:sz w:val="18"/>
                <w:szCs w:val="18"/>
              </w:rPr>
              <w:t>《合并所有者权益变动表》</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宋体"/>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宋体"/>
                <w:sz w:val="18"/>
                <w:szCs w:val="18"/>
              </w:rPr>
              <w:t>必报</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rPr>
              <w:t>是</w:t>
            </w:r>
          </w:p>
        </w:tc>
      </w:tr>
    </w:tbl>
    <w:p>
      <w:pPr>
        <w:pStyle w:val="3"/>
        <w:ind w:firstLine="552"/>
        <w:rPr>
          <w:rFonts w:hint="eastAsia"/>
          <w:color w:val="auto"/>
        </w:rPr>
      </w:pPr>
      <w:r>
        <w:rPr>
          <w:rFonts w:hint="eastAsia"/>
          <w:color w:val="auto"/>
        </w:rPr>
        <w:t>六、办理流程</w:t>
      </w: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rFonts w:ascii="宋体" w:hAnsi="宋体" w:eastAsia="楷体" w:cs="Times New Roman"/>
          <w:b w:val="0"/>
          <w:bCs w:val="0"/>
          <w:color w:val="auto"/>
          <w:sz w:val="28"/>
        </w:rPr>
      </w:pPr>
      <w:r>
        <w:rPr>
          <w:rFonts w:ascii="宋体" w:hAnsi="宋体" w:eastAsia="楷体" w:cs="Times New Roman"/>
          <w:b w:val="0"/>
          <w:bCs w:val="0"/>
          <w:color w:val="auto"/>
          <w:sz w:val="28"/>
        </w:rPr>
        <w:object>
          <v:shape id="_x0000_i1121" o:spt="75" type="#_x0000_t75" style="height:117.75pt;width:440.25pt;" o:ole="t" filled="f" o:preferrelative="t" stroked="f" coordsize="21600,21600">
            <v:path/>
            <v:fill on="f" focussize="0,0"/>
            <v:stroke on="f"/>
            <v:imagedata r:id="rId7" o:title=""/>
            <o:lock v:ext="edit" aspectratio="t"/>
            <w10:wrap type="none"/>
            <w10:anchorlock/>
          </v:shape>
          <o:OLEObject Type="Embed" ProgID="Visio.Drawing.11" ShapeID="_x0000_i1121" DrawAspect="Content" ObjectID="_1468075725" r:id="rId6">
            <o:LockedField>false</o:LockedField>
          </o:OLEObject>
        </w:object>
      </w:r>
    </w:p>
    <w:p>
      <w:pPr>
        <w:pStyle w:val="3"/>
        <w:ind w:firstLine="552"/>
        <w:rPr>
          <w:rFonts w:hint="eastAsia"/>
          <w:color w:val="auto"/>
          <w:lang w:val="en-US" w:eastAsia="zh-CN"/>
        </w:rPr>
      </w:pPr>
      <w:r>
        <w:rPr>
          <w:rFonts w:hint="eastAsia"/>
          <w:color w:val="auto"/>
          <w:lang w:val="en-US" w:eastAsia="zh-CN"/>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contextualSpacing/>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1.A06781《合并利润表》</w:t>
      </w:r>
    </w:p>
    <w:p>
      <w:pPr>
        <w:ind w:firstLine="472"/>
        <w:contextualSpacing/>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2.A06782《合并现金流量表》</w:t>
      </w:r>
    </w:p>
    <w:p>
      <w:pPr>
        <w:ind w:firstLine="472"/>
        <w:contextualSpacing/>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3.A06780《合并资产负债表》</w:t>
      </w:r>
    </w:p>
    <w:p>
      <w:pPr>
        <w:ind w:firstLine="472"/>
        <w:contextualSpacing/>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4.A06783《合并所有者权益变动表》</w:t>
      </w:r>
    </w:p>
    <w:p>
      <w:pPr>
        <w:pStyle w:val="3"/>
        <w:ind w:firstLine="552"/>
        <w:rPr>
          <w:rFonts w:hint="eastAsia"/>
          <w:color w:val="auto"/>
        </w:rPr>
      </w:pPr>
      <w:r>
        <w:rPr>
          <w:rFonts w:hint="eastAsia"/>
          <w:color w:val="auto"/>
        </w:rPr>
        <w:t>九、注意事项</w:t>
      </w:r>
    </w:p>
    <w:p>
      <w:pPr>
        <w:rPr>
          <w:rFonts w:hint="eastAsia"/>
          <w:color w:val="auto"/>
          <w:lang w:val="en-US" w:eastAsia="zh-CN"/>
        </w:rPr>
      </w:pPr>
      <w:r>
        <w:rPr>
          <w:rFonts w:hint="eastAsia"/>
          <w:color w:val="auto"/>
          <w:lang w:val="en-US" w:eastAsia="zh-CN"/>
        </w:rPr>
        <w:t>1.纳税人报送财务报表时，可以报送纸质资料，也可以报送电子信息。</w:t>
      </w:r>
    </w:p>
    <w:p>
      <w:pPr>
        <w:rPr>
          <w:rFonts w:hint="eastAsia"/>
          <w:color w:val="auto"/>
          <w:lang w:val="en-US" w:eastAsia="zh-CN"/>
        </w:rPr>
      </w:pPr>
      <w:r>
        <w:rPr>
          <w:rFonts w:hint="eastAsia"/>
          <w:color w:val="auto"/>
          <w:lang w:val="en-US" w:eastAsia="zh-CN"/>
        </w:rPr>
        <w:t>2.企业所得税纳税人年度汇算清缴时，在年度企业所得税申报期限内报送年度财务会计报表。</w:t>
      </w:r>
    </w:p>
    <w:p>
      <w:pPr>
        <w:rPr>
          <w:rFonts w:hint="eastAsia"/>
          <w:color w:val="auto"/>
        </w:rPr>
      </w:pPr>
      <w:r>
        <w:rPr>
          <w:rFonts w:hint="eastAsia"/>
          <w:color w:val="auto"/>
          <w:lang w:val="en-US" w:eastAsia="zh-CN"/>
        </w:rPr>
        <w:t>3.</w:t>
      </w:r>
      <w:r>
        <w:rPr>
          <w:rFonts w:hint="eastAsia"/>
          <w:color w:val="auto"/>
        </w:rPr>
        <w:t>纳税人对报送资料的真实性和合法性承担责任。</w:t>
      </w:r>
    </w:p>
    <w:p>
      <w:pPr>
        <w:rPr>
          <w:rFonts w:hint="eastAsia"/>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ind w:firstLine="472"/>
        <w:rPr>
          <w:rFonts w:hint="default"/>
          <w:color w:val="auto"/>
          <w:lang w:val="en-US" w:eastAsia="zh-CN"/>
        </w:rPr>
      </w:pPr>
      <w:r>
        <w:rPr>
          <w:rFonts w:hint="eastAsia"/>
          <w:color w:val="auto"/>
          <w:lang w:val="en-US" w:eastAsia="zh-CN"/>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color w:val="auto"/>
        </w:rPr>
      </w:pPr>
      <w:r>
        <w:rPr>
          <w:color w:val="auto"/>
        </w:rPr>
        <w:br w:type="page"/>
      </w:r>
    </w:p>
    <w:p>
      <w:pPr>
        <w:ind w:left="0" w:leftChars="0" w:firstLine="0" w:firstLineChars="0"/>
        <w:rPr>
          <w:rFonts w:hint="eastAsia"/>
          <w:lang w:val="en-US" w:eastAsia="zh-CN"/>
        </w:rPr>
      </w:pPr>
    </w:p>
    <w:sectPr>
      <w:headerReference r:id="rId3" w:type="default"/>
      <w:footerReference r:id="rId4" w:type="default"/>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2"/>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5"/>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3530FFF"/>
    <w:rsid w:val="05967E4A"/>
    <w:rsid w:val="05B40DDD"/>
    <w:rsid w:val="06106A23"/>
    <w:rsid w:val="0638782F"/>
    <w:rsid w:val="06AE1BDB"/>
    <w:rsid w:val="08B15238"/>
    <w:rsid w:val="09493D2D"/>
    <w:rsid w:val="09B62072"/>
    <w:rsid w:val="0D33691F"/>
    <w:rsid w:val="0DDA3501"/>
    <w:rsid w:val="0E8625A8"/>
    <w:rsid w:val="0EC8321E"/>
    <w:rsid w:val="0EE35C6A"/>
    <w:rsid w:val="0FEE2BE1"/>
    <w:rsid w:val="10BC060D"/>
    <w:rsid w:val="11CF760D"/>
    <w:rsid w:val="17211E0E"/>
    <w:rsid w:val="17A75A69"/>
    <w:rsid w:val="17B62FF6"/>
    <w:rsid w:val="188F0B80"/>
    <w:rsid w:val="199A131B"/>
    <w:rsid w:val="1AA34BFE"/>
    <w:rsid w:val="1ADE6BF9"/>
    <w:rsid w:val="1AFF235C"/>
    <w:rsid w:val="1B573241"/>
    <w:rsid w:val="1D251F4A"/>
    <w:rsid w:val="1D960B7F"/>
    <w:rsid w:val="1EF94F46"/>
    <w:rsid w:val="21DB276B"/>
    <w:rsid w:val="225A45EF"/>
    <w:rsid w:val="281A0092"/>
    <w:rsid w:val="28A27601"/>
    <w:rsid w:val="2DDE7E2B"/>
    <w:rsid w:val="2F0131D6"/>
    <w:rsid w:val="2F4457D3"/>
    <w:rsid w:val="33111FBB"/>
    <w:rsid w:val="331C5A14"/>
    <w:rsid w:val="334451F7"/>
    <w:rsid w:val="334D732D"/>
    <w:rsid w:val="344B05C9"/>
    <w:rsid w:val="36451E83"/>
    <w:rsid w:val="36E04702"/>
    <w:rsid w:val="37707534"/>
    <w:rsid w:val="38385296"/>
    <w:rsid w:val="3956021E"/>
    <w:rsid w:val="3A85035B"/>
    <w:rsid w:val="3C8501AD"/>
    <w:rsid w:val="3D613CAD"/>
    <w:rsid w:val="3E3F009D"/>
    <w:rsid w:val="3F9839ED"/>
    <w:rsid w:val="3FA56B5B"/>
    <w:rsid w:val="400927BD"/>
    <w:rsid w:val="40172240"/>
    <w:rsid w:val="4044017F"/>
    <w:rsid w:val="40504A07"/>
    <w:rsid w:val="405637C3"/>
    <w:rsid w:val="416F27CF"/>
    <w:rsid w:val="421D2AAA"/>
    <w:rsid w:val="435A6C95"/>
    <w:rsid w:val="44150A4D"/>
    <w:rsid w:val="45265061"/>
    <w:rsid w:val="4543745C"/>
    <w:rsid w:val="45EC62DD"/>
    <w:rsid w:val="45F96008"/>
    <w:rsid w:val="46B53A61"/>
    <w:rsid w:val="48034BC9"/>
    <w:rsid w:val="481E512C"/>
    <w:rsid w:val="48686EF2"/>
    <w:rsid w:val="48AC7D03"/>
    <w:rsid w:val="49C37F7C"/>
    <w:rsid w:val="4A397F3C"/>
    <w:rsid w:val="4AFF4944"/>
    <w:rsid w:val="4F52740E"/>
    <w:rsid w:val="4F9D3E6F"/>
    <w:rsid w:val="509A5D46"/>
    <w:rsid w:val="51A90B18"/>
    <w:rsid w:val="522C2F54"/>
    <w:rsid w:val="54F7470C"/>
    <w:rsid w:val="54FD607A"/>
    <w:rsid w:val="56916021"/>
    <w:rsid w:val="586C2504"/>
    <w:rsid w:val="5A072419"/>
    <w:rsid w:val="5AE54CD3"/>
    <w:rsid w:val="5B216442"/>
    <w:rsid w:val="5D065F3F"/>
    <w:rsid w:val="5D6A3E5A"/>
    <w:rsid w:val="5D6E0C42"/>
    <w:rsid w:val="5D773E9F"/>
    <w:rsid w:val="5F8B4C46"/>
    <w:rsid w:val="5FC651F6"/>
    <w:rsid w:val="5FD74134"/>
    <w:rsid w:val="60BB1526"/>
    <w:rsid w:val="60CC3ECE"/>
    <w:rsid w:val="625E5C17"/>
    <w:rsid w:val="62B70711"/>
    <w:rsid w:val="637642DB"/>
    <w:rsid w:val="64030575"/>
    <w:rsid w:val="64805E15"/>
    <w:rsid w:val="65EC4BB9"/>
    <w:rsid w:val="663441E6"/>
    <w:rsid w:val="66695C8C"/>
    <w:rsid w:val="67AB76AD"/>
    <w:rsid w:val="680A0C49"/>
    <w:rsid w:val="695D302A"/>
    <w:rsid w:val="6A635B94"/>
    <w:rsid w:val="6AD13263"/>
    <w:rsid w:val="6BE43543"/>
    <w:rsid w:val="6D0B62B6"/>
    <w:rsid w:val="6D1A3B55"/>
    <w:rsid w:val="6DAA4EC2"/>
    <w:rsid w:val="6DEC482F"/>
    <w:rsid w:val="6E254F50"/>
    <w:rsid w:val="6F025CB3"/>
    <w:rsid w:val="6F373310"/>
    <w:rsid w:val="70E3452D"/>
    <w:rsid w:val="711A24A9"/>
    <w:rsid w:val="724C02BE"/>
    <w:rsid w:val="72826A79"/>
    <w:rsid w:val="75674E1E"/>
    <w:rsid w:val="75F923A2"/>
    <w:rsid w:val="76305414"/>
    <w:rsid w:val="76326672"/>
    <w:rsid w:val="76B7766F"/>
    <w:rsid w:val="76E532E0"/>
    <w:rsid w:val="77B525D6"/>
    <w:rsid w:val="78F309B0"/>
    <w:rsid w:val="79263D87"/>
    <w:rsid w:val="7B4C788A"/>
    <w:rsid w:val="7B7B1562"/>
    <w:rsid w:val="7BDA17C2"/>
    <w:rsid w:val="7BFC5873"/>
    <w:rsid w:val="7C393271"/>
    <w:rsid w:val="7DA8638B"/>
    <w:rsid w:val="7ED938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4"/>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9"/>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1"/>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2"/>
    <w:semiHidden/>
    <w:unhideWhenUsed/>
    <w:qFormat/>
    <w:uiPriority w:val="0"/>
    <w:pPr>
      <w:keepNext/>
      <w:keepLines/>
      <w:outlineLvl w:val="3"/>
    </w:pPr>
    <w:rPr>
      <w:rFonts w:eastAsia="楷体" w:asciiTheme="majorHAnsi" w:hAnsiTheme="majorHAnsi" w:cstheme="majorBidi"/>
      <w:bCs/>
      <w:sz w:val="28"/>
      <w:szCs w:val="28"/>
    </w:rPr>
  </w:style>
  <w:style w:type="character" w:default="1" w:styleId="17">
    <w:name w:val="Default Paragraph Font"/>
    <w:semiHidden/>
    <w:qFormat/>
    <w:uiPriority w:val="0"/>
  </w:style>
  <w:style w:type="table" w:default="1" w:styleId="15">
    <w:name w:val="Normal Table"/>
    <w:semiHidden/>
    <w:uiPriority w:val="0"/>
    <w:tblPr>
      <w:tblCellMar>
        <w:top w:w="0" w:type="dxa"/>
        <w:left w:w="108" w:type="dxa"/>
        <w:bottom w:w="0" w:type="dxa"/>
        <w:right w:w="108" w:type="dxa"/>
      </w:tblCellMar>
    </w:tblPr>
  </w:style>
  <w:style w:type="paragraph" w:styleId="6">
    <w:name w:val="Document Map"/>
    <w:basedOn w:val="1"/>
    <w:link w:val="53"/>
    <w:qFormat/>
    <w:uiPriority w:val="0"/>
    <w:rPr>
      <w:sz w:val="18"/>
      <w:szCs w:val="18"/>
    </w:rPr>
  </w:style>
  <w:style w:type="paragraph" w:styleId="7">
    <w:name w:val="annotation text"/>
    <w:basedOn w:val="1"/>
    <w:link w:val="79"/>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4"/>
    <w:uiPriority w:val="0"/>
    <w:pPr>
      <w:spacing w:line="240" w:lineRule="auto"/>
    </w:pPr>
    <w:rPr>
      <w:rFonts w:eastAsia="仿宋_GB2312"/>
      <w:sz w:val="18"/>
      <w:szCs w:val="18"/>
    </w:rPr>
  </w:style>
  <w:style w:type="paragraph" w:styleId="10">
    <w:name w:val="footer"/>
    <w:basedOn w:val="1"/>
    <w:link w:val="55"/>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6"/>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2"/>
    <w:qFormat/>
    <w:uiPriority w:val="0"/>
    <w:rPr>
      <w:b/>
      <w:bCs/>
    </w:rPr>
  </w:style>
  <w:style w:type="table" w:styleId="16">
    <w:name w:val="Table Grid"/>
    <w:basedOn w:val="1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FollowedHyperlink"/>
    <w:basedOn w:val="17"/>
    <w:qFormat/>
    <w:uiPriority w:val="0"/>
    <w:rPr>
      <w:rFonts w:ascii="Times New Roman" w:hAnsi="Times New Roman" w:eastAsia="宋体" w:cs="Times New Roman"/>
      <w:color w:val="333333"/>
      <w:u w:val="none"/>
    </w:rPr>
  </w:style>
  <w:style w:type="character" w:styleId="20">
    <w:name w:val="Emphasis"/>
    <w:basedOn w:val="17"/>
    <w:qFormat/>
    <w:uiPriority w:val="0"/>
    <w:rPr>
      <w:rFonts w:asciiTheme="minorHAnsi" w:hAnsiTheme="minorHAnsi" w:eastAsiaTheme="minorEastAsia" w:cstheme="minorBidi"/>
      <w:i/>
    </w:rPr>
  </w:style>
  <w:style w:type="character" w:styleId="21">
    <w:name w:val="HTML Definition"/>
    <w:basedOn w:val="17"/>
    <w:qFormat/>
    <w:uiPriority w:val="0"/>
    <w:rPr>
      <w:rFonts w:asciiTheme="minorHAnsi" w:hAnsiTheme="minorHAnsi" w:eastAsiaTheme="minorEastAsia" w:cstheme="minorBidi"/>
      <w:i/>
    </w:rPr>
  </w:style>
  <w:style w:type="character" w:styleId="22">
    <w:name w:val="HTML Variable"/>
    <w:basedOn w:val="17"/>
    <w:qFormat/>
    <w:uiPriority w:val="0"/>
    <w:rPr>
      <w:rFonts w:asciiTheme="minorHAnsi" w:hAnsiTheme="minorHAnsi" w:eastAsiaTheme="minorEastAsia" w:cstheme="minorBidi"/>
    </w:rPr>
  </w:style>
  <w:style w:type="character" w:styleId="23">
    <w:name w:val="Hyperlink"/>
    <w:basedOn w:val="17"/>
    <w:qFormat/>
    <w:uiPriority w:val="0"/>
    <w:rPr>
      <w:rFonts w:ascii="Times New Roman" w:hAnsi="Times New Roman" w:eastAsia="宋体" w:cs="Times New Roman"/>
      <w:color w:val="333333"/>
      <w:u w:val="none"/>
    </w:rPr>
  </w:style>
  <w:style w:type="character" w:styleId="24">
    <w:name w:val="HTML Code"/>
    <w:basedOn w:val="17"/>
    <w:qFormat/>
    <w:uiPriority w:val="0"/>
    <w:rPr>
      <w:rFonts w:ascii="Consolas" w:hAnsi="Consolas" w:eastAsia="Consolas" w:cs="Consolas"/>
      <w:sz w:val="21"/>
      <w:szCs w:val="21"/>
    </w:rPr>
  </w:style>
  <w:style w:type="character" w:styleId="25">
    <w:name w:val="annotation reference"/>
    <w:basedOn w:val="17"/>
    <w:qFormat/>
    <w:uiPriority w:val="0"/>
    <w:rPr>
      <w:rFonts w:asciiTheme="minorHAnsi" w:hAnsiTheme="minorHAnsi" w:eastAsiaTheme="minorEastAsia" w:cstheme="minorBidi"/>
      <w:sz w:val="21"/>
      <w:szCs w:val="21"/>
    </w:rPr>
  </w:style>
  <w:style w:type="character" w:styleId="26">
    <w:name w:val="HTML Cite"/>
    <w:basedOn w:val="17"/>
    <w:qFormat/>
    <w:uiPriority w:val="0"/>
    <w:rPr>
      <w:rFonts w:asciiTheme="minorHAnsi" w:hAnsiTheme="minorHAnsi" w:eastAsiaTheme="minorEastAsia" w:cstheme="minorBidi"/>
    </w:rPr>
  </w:style>
  <w:style w:type="character" w:styleId="27">
    <w:name w:val="HTML Keyboard"/>
    <w:basedOn w:val="17"/>
    <w:qFormat/>
    <w:uiPriority w:val="0"/>
    <w:rPr>
      <w:rFonts w:hint="default" w:ascii="serif" w:hAnsi="serif" w:eastAsia="serif" w:cs="serif"/>
      <w:sz w:val="21"/>
      <w:szCs w:val="21"/>
    </w:rPr>
  </w:style>
  <w:style w:type="character" w:styleId="28">
    <w:name w:val="HTML Sample"/>
    <w:basedOn w:val="17"/>
    <w:qFormat/>
    <w:uiPriority w:val="0"/>
    <w:rPr>
      <w:rFonts w:ascii="serif" w:hAnsi="serif" w:eastAsia="serif" w:cs="serif"/>
      <w:sz w:val="21"/>
      <w:szCs w:val="21"/>
    </w:rPr>
  </w:style>
  <w:style w:type="character" w:customStyle="1" w:styleId="29">
    <w:name w:val="标题 1 Char"/>
    <w:basedOn w:val="17"/>
    <w:link w:val="2"/>
    <w:qFormat/>
    <w:uiPriority w:val="9"/>
    <w:rPr>
      <w:rFonts w:eastAsia="黑体"/>
      <w:bCs/>
      <w:kern w:val="44"/>
      <w:sz w:val="28"/>
      <w:szCs w:val="44"/>
    </w:rPr>
  </w:style>
  <w:style w:type="character" w:customStyle="1" w:styleId="30">
    <w:name w:val="标题 2 Char"/>
    <w:basedOn w:val="17"/>
    <w:link w:val="3"/>
    <w:qFormat/>
    <w:uiPriority w:val="9"/>
    <w:rPr>
      <w:rFonts w:eastAsia="黑体" w:asciiTheme="majorHAnsi" w:hAnsiTheme="majorHAnsi" w:cstheme="majorBidi"/>
      <w:bCs/>
      <w:sz w:val="28"/>
      <w:szCs w:val="32"/>
    </w:rPr>
  </w:style>
  <w:style w:type="character" w:customStyle="1" w:styleId="31">
    <w:name w:val="标题 3 Char"/>
    <w:basedOn w:val="17"/>
    <w:link w:val="4"/>
    <w:qFormat/>
    <w:uiPriority w:val="0"/>
    <w:rPr>
      <w:rFonts w:eastAsia="仿宋_GB2312"/>
      <w:b/>
      <w:bCs/>
      <w:sz w:val="32"/>
      <w:szCs w:val="32"/>
    </w:rPr>
  </w:style>
  <w:style w:type="paragraph" w:customStyle="1" w:styleId="32">
    <w:name w:val="编号1"/>
    <w:link w:val="33"/>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3">
    <w:name w:val="编号1 字符"/>
    <w:basedOn w:val="34"/>
    <w:link w:val="32"/>
    <w:qFormat/>
    <w:uiPriority w:val="0"/>
    <w:rPr>
      <w:rFonts w:ascii="宋体" w:hAnsi="宋体" w:eastAsia="宋体" w:cs="Times New Roman"/>
      <w:b/>
      <w:bCs w:val="0"/>
      <w:kern w:val="44"/>
      <w:sz w:val="44"/>
      <w:szCs w:val="44"/>
    </w:rPr>
  </w:style>
  <w:style w:type="character" w:customStyle="1" w:styleId="34">
    <w:name w:val="Heading 1 Char"/>
    <w:basedOn w:val="17"/>
    <w:link w:val="2"/>
    <w:qFormat/>
    <w:locked/>
    <w:uiPriority w:val="99"/>
    <w:rPr>
      <w:rFonts w:ascii="Times New Roman" w:hAnsi="Times New Roman" w:eastAsia="黑体" w:cs="Times New Roman"/>
      <w:bCs/>
      <w:kern w:val="44"/>
      <w:sz w:val="44"/>
      <w:szCs w:val="44"/>
    </w:rPr>
  </w:style>
  <w:style w:type="paragraph" w:customStyle="1" w:styleId="35">
    <w:name w:val="编号2"/>
    <w:link w:val="36"/>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6">
    <w:name w:val="编号2 字符"/>
    <w:basedOn w:val="33"/>
    <w:link w:val="35"/>
    <w:qFormat/>
    <w:uiPriority w:val="0"/>
    <w:rPr>
      <w:rFonts w:ascii="宋体" w:hAnsi="宋体" w:eastAsia="宋体" w:cs="Times New Roman"/>
      <w:bCs/>
      <w:kern w:val="44"/>
      <w:sz w:val="32"/>
      <w:szCs w:val="44"/>
    </w:rPr>
  </w:style>
  <w:style w:type="paragraph" w:customStyle="1" w:styleId="37">
    <w:name w:val="编号3"/>
    <w:link w:val="38"/>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8">
    <w:name w:val="编号3 字符"/>
    <w:basedOn w:val="39"/>
    <w:link w:val="37"/>
    <w:qFormat/>
    <w:uiPriority w:val="0"/>
    <w:rPr>
      <w:rFonts w:eastAsia="宋体" w:asciiTheme="majorHAnsi" w:hAnsiTheme="majorHAnsi" w:cstheme="majorBidi"/>
      <w:kern w:val="44"/>
      <w:sz w:val="28"/>
      <w:szCs w:val="44"/>
    </w:rPr>
  </w:style>
  <w:style w:type="character" w:customStyle="1" w:styleId="39">
    <w:name w:val="Heading 2 Char"/>
    <w:basedOn w:val="17"/>
    <w:link w:val="3"/>
    <w:qFormat/>
    <w:locked/>
    <w:uiPriority w:val="99"/>
    <w:rPr>
      <w:rFonts w:ascii="等线 Light" w:hAnsi="等线 Light" w:eastAsia="黑体" w:cs="Times New Roman"/>
      <w:bCs/>
      <w:sz w:val="32"/>
      <w:szCs w:val="32"/>
    </w:rPr>
  </w:style>
  <w:style w:type="paragraph" w:customStyle="1" w:styleId="40">
    <w:name w:val="标题一"/>
    <w:next w:val="1"/>
    <w:link w:val="41"/>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1">
    <w:name w:val="标题一 字符"/>
    <w:basedOn w:val="34"/>
    <w:link w:val="40"/>
    <w:qFormat/>
    <w:uiPriority w:val="0"/>
    <w:rPr>
      <w:rFonts w:ascii="方正小标宋_GBK" w:hAnsi="宋体" w:eastAsia="黑体" w:cs="Times New Roman"/>
      <w:bCs w:val="0"/>
      <w:kern w:val="44"/>
      <w:sz w:val="32"/>
      <w:szCs w:val="44"/>
    </w:rPr>
  </w:style>
  <w:style w:type="paragraph" w:customStyle="1" w:styleId="42">
    <w:name w:val="标题二"/>
    <w:link w:val="43"/>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3">
    <w:name w:val="标题二 字符"/>
    <w:basedOn w:val="17"/>
    <w:link w:val="42"/>
    <w:qFormat/>
    <w:uiPriority w:val="0"/>
    <w:rPr>
      <w:rFonts w:eastAsia="楷体"/>
      <w:bCs/>
      <w:kern w:val="44"/>
      <w:sz w:val="32"/>
      <w:szCs w:val="44"/>
    </w:rPr>
  </w:style>
  <w:style w:type="character" w:customStyle="1" w:styleId="44">
    <w:name w:val="页眉 Char"/>
    <w:basedOn w:val="17"/>
    <w:link w:val="11"/>
    <w:qFormat/>
    <w:uiPriority w:val="99"/>
    <w:rPr>
      <w:rFonts w:ascii="宋体" w:hAnsi="宋体" w:eastAsia="仿宋_GB2312" w:cs="Times New Roman"/>
      <w:sz w:val="18"/>
      <w:szCs w:val="18"/>
    </w:rPr>
  </w:style>
  <w:style w:type="character" w:customStyle="1" w:styleId="45">
    <w:name w:val="页脚 Char"/>
    <w:basedOn w:val="17"/>
    <w:link w:val="10"/>
    <w:qFormat/>
    <w:uiPriority w:val="99"/>
    <w:rPr>
      <w:rFonts w:ascii="宋体" w:hAnsi="宋体" w:eastAsia="仿宋_GB2312" w:cs="Times New Roman"/>
      <w:sz w:val="18"/>
      <w:szCs w:val="18"/>
    </w:rPr>
  </w:style>
  <w:style w:type="character" w:customStyle="1" w:styleId="46">
    <w:name w:val="标题 4 Char"/>
    <w:basedOn w:val="17"/>
    <w:link w:val="5"/>
    <w:qFormat/>
    <w:uiPriority w:val="9"/>
    <w:rPr>
      <w:rFonts w:eastAsia="楷体" w:asciiTheme="majorHAnsi" w:hAnsiTheme="majorHAnsi" w:cstheme="majorBidi"/>
      <w:bCs/>
      <w:sz w:val="28"/>
      <w:szCs w:val="28"/>
    </w:rPr>
  </w:style>
  <w:style w:type="character" w:customStyle="1" w:styleId="47">
    <w:name w:val="批注框文本 Char"/>
    <w:basedOn w:val="17"/>
    <w:link w:val="9"/>
    <w:semiHidden/>
    <w:qFormat/>
    <w:uiPriority w:val="99"/>
    <w:rPr>
      <w:rFonts w:ascii="宋体" w:hAnsi="宋体" w:eastAsia="仿宋_GB2312" w:cs="Times New Roman"/>
      <w:sz w:val="18"/>
      <w:szCs w:val="18"/>
    </w:rPr>
  </w:style>
  <w:style w:type="paragraph" w:customStyle="1" w:styleId="48">
    <w:name w:val="列出段落1"/>
    <w:basedOn w:val="1"/>
    <w:qFormat/>
    <w:uiPriority w:val="34"/>
    <w:pPr>
      <w:ind w:firstLine="420"/>
    </w:pPr>
  </w:style>
  <w:style w:type="character" w:customStyle="1" w:styleId="49">
    <w:name w:val="文档结构图 Char"/>
    <w:basedOn w:val="17"/>
    <w:link w:val="6"/>
    <w:semiHidden/>
    <w:qFormat/>
    <w:uiPriority w:val="99"/>
    <w:rPr>
      <w:rFonts w:ascii="宋体" w:hAnsi="宋体" w:eastAsia="宋体" w:cs="Times New Roman"/>
      <w:sz w:val="18"/>
      <w:szCs w:val="18"/>
    </w:rPr>
  </w:style>
  <w:style w:type="paragraph" w:styleId="50">
    <w:name w:val="List Paragraph"/>
    <w:basedOn w:val="1"/>
    <w:qFormat/>
    <w:uiPriority w:val="99"/>
    <w:pPr>
      <w:ind w:firstLine="420"/>
    </w:pPr>
  </w:style>
  <w:style w:type="character" w:customStyle="1" w:styleId="51">
    <w:name w:val="Heading 3 Char"/>
    <w:basedOn w:val="17"/>
    <w:link w:val="4"/>
    <w:qFormat/>
    <w:locked/>
    <w:uiPriority w:val="99"/>
    <w:rPr>
      <w:rFonts w:ascii="Times New Roman" w:hAnsi="Times New Roman" w:eastAsia="仿宋_GB2312" w:cs="Times New Roman"/>
      <w:b/>
      <w:bCs/>
      <w:sz w:val="32"/>
      <w:szCs w:val="32"/>
    </w:rPr>
  </w:style>
  <w:style w:type="character" w:customStyle="1" w:styleId="52">
    <w:name w:val="Heading 4 Char"/>
    <w:basedOn w:val="17"/>
    <w:link w:val="5"/>
    <w:qFormat/>
    <w:locked/>
    <w:uiPriority w:val="99"/>
    <w:rPr>
      <w:rFonts w:ascii="等线 Light" w:hAnsi="等线 Light" w:eastAsia="楷体" w:cs="Times New Roman"/>
      <w:bCs/>
      <w:sz w:val="28"/>
      <w:szCs w:val="28"/>
    </w:rPr>
  </w:style>
  <w:style w:type="character" w:customStyle="1" w:styleId="53">
    <w:name w:val="Document Map Char"/>
    <w:basedOn w:val="17"/>
    <w:link w:val="6"/>
    <w:semiHidden/>
    <w:qFormat/>
    <w:locked/>
    <w:uiPriority w:val="99"/>
    <w:rPr>
      <w:rFonts w:ascii="宋体" w:hAnsi="宋体" w:eastAsia="宋体" w:cs="Times New Roman"/>
      <w:sz w:val="18"/>
      <w:szCs w:val="18"/>
    </w:rPr>
  </w:style>
  <w:style w:type="character" w:customStyle="1" w:styleId="54">
    <w:name w:val="Balloon Text Char"/>
    <w:basedOn w:val="17"/>
    <w:link w:val="9"/>
    <w:semiHidden/>
    <w:qFormat/>
    <w:locked/>
    <w:uiPriority w:val="99"/>
    <w:rPr>
      <w:rFonts w:ascii="宋体" w:hAnsi="宋体" w:eastAsia="仿宋_GB2312" w:cs="Times New Roman"/>
      <w:sz w:val="18"/>
      <w:szCs w:val="18"/>
    </w:rPr>
  </w:style>
  <w:style w:type="character" w:customStyle="1" w:styleId="55">
    <w:name w:val="Footer Char"/>
    <w:basedOn w:val="17"/>
    <w:link w:val="10"/>
    <w:qFormat/>
    <w:locked/>
    <w:uiPriority w:val="99"/>
    <w:rPr>
      <w:rFonts w:ascii="宋体" w:hAnsi="宋体" w:eastAsia="仿宋_GB2312" w:cs="Times New Roman"/>
      <w:sz w:val="18"/>
      <w:szCs w:val="18"/>
    </w:rPr>
  </w:style>
  <w:style w:type="character" w:customStyle="1" w:styleId="56">
    <w:name w:val="Header Char"/>
    <w:basedOn w:val="17"/>
    <w:link w:val="11"/>
    <w:qFormat/>
    <w:locked/>
    <w:uiPriority w:val="99"/>
    <w:rPr>
      <w:rFonts w:ascii="宋体" w:hAnsi="宋体" w:eastAsia="仿宋_GB2312" w:cs="Times New Roman"/>
      <w:sz w:val="18"/>
      <w:szCs w:val="18"/>
    </w:rPr>
  </w:style>
  <w:style w:type="character" w:customStyle="1" w:styleId="57">
    <w:name w:val="wz"/>
    <w:basedOn w:val="17"/>
    <w:qFormat/>
    <w:uiPriority w:val="0"/>
    <w:rPr>
      <w:rFonts w:ascii="Times New Roman" w:hAnsi="Times New Roman" w:eastAsia="宋体" w:cs="Times New Roman"/>
      <w:color w:val="808080"/>
    </w:rPr>
  </w:style>
  <w:style w:type="character" w:customStyle="1" w:styleId="58">
    <w:name w:val="hao1"/>
    <w:basedOn w:val="17"/>
    <w:qFormat/>
    <w:uiPriority w:val="0"/>
    <w:rPr>
      <w:rFonts w:ascii="Times New Roman" w:hAnsi="Times New Roman" w:eastAsia="宋体" w:cs="Times New Roman"/>
      <w:b/>
    </w:rPr>
  </w:style>
  <w:style w:type="character" w:customStyle="1" w:styleId="59">
    <w:name w:val="hao12"/>
    <w:basedOn w:val="17"/>
    <w:qFormat/>
    <w:uiPriority w:val="0"/>
    <w:rPr>
      <w:rFonts w:ascii="Times New Roman" w:hAnsi="Times New Roman" w:eastAsia="宋体" w:cs="Times New Roman"/>
      <w:b/>
    </w:rPr>
  </w:style>
  <w:style w:type="character" w:customStyle="1" w:styleId="60">
    <w:name w:val="gwds_nopic"/>
    <w:basedOn w:val="17"/>
    <w:qFormat/>
    <w:uiPriority w:val="0"/>
    <w:rPr>
      <w:rFonts w:ascii="Times New Roman" w:hAnsi="Times New Roman" w:eastAsia="宋体" w:cs="Times New Roman"/>
    </w:rPr>
  </w:style>
  <w:style w:type="character" w:customStyle="1" w:styleId="61">
    <w:name w:val="gwds_nopic1"/>
    <w:basedOn w:val="17"/>
    <w:qFormat/>
    <w:uiPriority w:val="0"/>
    <w:rPr>
      <w:rFonts w:ascii="Times New Roman" w:hAnsi="Times New Roman" w:eastAsia="宋体" w:cs="Times New Roman"/>
    </w:rPr>
  </w:style>
  <w:style w:type="character" w:customStyle="1" w:styleId="62">
    <w:name w:val="gwds_nopic2"/>
    <w:basedOn w:val="17"/>
    <w:qFormat/>
    <w:uiPriority w:val="0"/>
    <w:rPr>
      <w:rFonts w:ascii="Times New Roman" w:hAnsi="Times New Roman" w:eastAsia="宋体" w:cs="Times New Roman"/>
    </w:rPr>
  </w:style>
  <w:style w:type="paragraph" w:customStyle="1" w:styleId="63">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5">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6">
    <w:name w:val="fontstyle01"/>
    <w:basedOn w:val="17"/>
    <w:qFormat/>
    <w:uiPriority w:val="0"/>
    <w:rPr>
      <w:rFonts w:ascii="宋体" w:hAnsi="宋体" w:eastAsia="宋体" w:cs="宋体"/>
      <w:color w:val="000000"/>
      <w:sz w:val="32"/>
      <w:szCs w:val="32"/>
    </w:rPr>
  </w:style>
  <w:style w:type="character" w:customStyle="1" w:styleId="67">
    <w:name w:val="active3"/>
    <w:basedOn w:val="17"/>
    <w:qFormat/>
    <w:uiPriority w:val="0"/>
    <w:rPr>
      <w:rFonts w:asciiTheme="minorHAnsi" w:hAnsiTheme="minorHAnsi" w:eastAsiaTheme="minorEastAsia" w:cstheme="minorBidi"/>
      <w:shd w:val="clear" w:color="auto" w:fill="222222"/>
    </w:rPr>
  </w:style>
  <w:style w:type="character" w:customStyle="1" w:styleId="68">
    <w:name w:val="active4"/>
    <w:basedOn w:val="17"/>
    <w:qFormat/>
    <w:uiPriority w:val="0"/>
    <w:rPr>
      <w:rFonts w:asciiTheme="minorHAnsi" w:hAnsiTheme="minorHAnsi" w:eastAsiaTheme="minorEastAsia" w:cstheme="minorBidi"/>
      <w:color w:val="FFFFFF"/>
      <w:shd w:val="clear" w:color="auto" w:fill="222222"/>
    </w:rPr>
  </w:style>
  <w:style w:type="character" w:customStyle="1" w:styleId="69">
    <w:name w:val="current"/>
    <w:basedOn w:val="17"/>
    <w:qFormat/>
    <w:uiPriority w:val="0"/>
    <w:rPr>
      <w:rFonts w:asciiTheme="minorHAnsi" w:hAnsiTheme="minorHAnsi" w:eastAsiaTheme="minorEastAsia" w:cstheme="minorBidi"/>
      <w:color w:val="FFFFFF"/>
      <w:shd w:val="clear" w:color="auto" w:fill="222222"/>
    </w:rPr>
  </w:style>
  <w:style w:type="character" w:customStyle="1" w:styleId="70">
    <w:name w:val="tmpztreemove_arrow"/>
    <w:basedOn w:val="17"/>
    <w:qFormat/>
    <w:uiPriority w:val="0"/>
    <w:rPr>
      <w:rFonts w:asciiTheme="minorHAnsi" w:hAnsiTheme="minorHAnsi" w:eastAsiaTheme="minorEastAsia" w:cstheme="minorBidi"/>
    </w:rPr>
  </w:style>
  <w:style w:type="character" w:customStyle="1" w:styleId="71">
    <w:name w:val="button"/>
    <w:basedOn w:val="17"/>
    <w:qFormat/>
    <w:uiPriority w:val="0"/>
    <w:rPr>
      <w:rFonts w:asciiTheme="minorHAnsi" w:hAnsiTheme="minorHAnsi" w:eastAsiaTheme="minorEastAsia" w:cstheme="minorBidi"/>
    </w:rPr>
  </w:style>
  <w:style w:type="paragraph" w:customStyle="1" w:styleId="72">
    <w:name w:val="列出段落11"/>
    <w:basedOn w:val="1"/>
    <w:qFormat/>
    <w:uiPriority w:val="34"/>
    <w:pPr>
      <w:ind w:firstLine="420"/>
    </w:pPr>
  </w:style>
  <w:style w:type="character" w:customStyle="1" w:styleId="73">
    <w:name w:val="正文 首行缩进 Char"/>
    <w:link w:val="74"/>
    <w:qFormat/>
    <w:uiPriority w:val="99"/>
    <w:rPr>
      <w:rFonts w:ascii="Arial" w:hAnsi="Arial" w:eastAsiaTheme="minorEastAsia" w:cstheme="minorBidi"/>
      <w:sz w:val="21"/>
    </w:rPr>
  </w:style>
  <w:style w:type="paragraph" w:customStyle="1" w:styleId="74">
    <w:name w:val="正文 首行缩进"/>
    <w:basedOn w:val="1"/>
    <w:link w:val="73"/>
    <w:qFormat/>
    <w:uiPriority w:val="99"/>
    <w:pPr>
      <w:spacing w:line="360" w:lineRule="auto"/>
      <w:ind w:firstLine="420"/>
    </w:pPr>
    <w:rPr>
      <w:rFonts w:ascii="Arial" w:hAnsi="Arial" w:eastAsiaTheme="minorEastAsia" w:cstheme="minorBidi"/>
      <w:sz w:val="21"/>
    </w:rPr>
  </w:style>
  <w:style w:type="paragraph" w:customStyle="1" w:styleId="75">
    <w:name w:val="表格标题_0"/>
    <w:basedOn w:val="1"/>
    <w:link w:val="81"/>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6">
    <w:name w:val="标题 3_0"/>
    <w:basedOn w:val="1"/>
    <w:next w:val="1"/>
    <w:link w:val="80"/>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7">
    <w:name w:val="需求正文"/>
    <w:basedOn w:val="1"/>
    <w:link w:val="78"/>
    <w:qFormat/>
    <w:uiPriority w:val="0"/>
    <w:pPr>
      <w:spacing w:line="240" w:lineRule="auto"/>
      <w:ind w:firstLine="420" w:firstLineChars="0"/>
    </w:pPr>
    <w:rPr>
      <w:rFonts w:ascii="Arial" w:hAnsi="Arial"/>
      <w:sz w:val="21"/>
    </w:rPr>
  </w:style>
  <w:style w:type="character" w:customStyle="1" w:styleId="78">
    <w:name w:val="需求正文 Char"/>
    <w:link w:val="77"/>
    <w:qFormat/>
    <w:uiPriority w:val="0"/>
    <w:rPr>
      <w:rFonts w:ascii="Arial" w:hAnsi="Arial" w:eastAsiaTheme="minorEastAsia" w:cstheme="minorBidi"/>
      <w:sz w:val="21"/>
    </w:rPr>
  </w:style>
  <w:style w:type="character" w:customStyle="1" w:styleId="79">
    <w:name w:val="批注文字 Char"/>
    <w:basedOn w:val="17"/>
    <w:link w:val="7"/>
    <w:semiHidden/>
    <w:qFormat/>
    <w:uiPriority w:val="99"/>
    <w:rPr>
      <w:rFonts w:asciiTheme="minorHAnsi" w:hAnsiTheme="minorHAnsi" w:eastAsiaTheme="minorEastAsia" w:cstheme="minorBidi"/>
    </w:rPr>
  </w:style>
  <w:style w:type="character" w:customStyle="1" w:styleId="80">
    <w:name w:val="标题 3 Char_0"/>
    <w:link w:val="76"/>
    <w:qFormat/>
    <w:locked/>
    <w:uiPriority w:val="9"/>
    <w:rPr>
      <w:rFonts w:ascii="Times New Roman" w:hAnsi="Times New Roman" w:eastAsiaTheme="minorEastAsia" w:cstheme="minorBidi"/>
      <w:b/>
      <w:bCs/>
      <w:kern w:val="0"/>
      <w:sz w:val="32"/>
      <w:szCs w:val="32"/>
    </w:rPr>
  </w:style>
  <w:style w:type="character" w:customStyle="1" w:styleId="81">
    <w:name w:val="表格标题 Char"/>
    <w:link w:val="75"/>
    <w:qFormat/>
    <w:uiPriority w:val="0"/>
    <w:rPr>
      <w:rFonts w:ascii="Calibri" w:hAnsi="Calibri" w:eastAsiaTheme="minorEastAsia" w:cstheme="minorBidi"/>
      <w:b/>
      <w:kern w:val="0"/>
      <w:sz w:val="18"/>
      <w:szCs w:val="18"/>
    </w:rPr>
  </w:style>
  <w:style w:type="character" w:customStyle="1" w:styleId="82">
    <w:name w:val="批注主题 Char"/>
    <w:basedOn w:val="79"/>
    <w:link w:val="14"/>
    <w:semiHidden/>
    <w:qFormat/>
    <w:uiPriority w:val="99"/>
    <w:rPr>
      <w:rFonts w:asciiTheme="minorHAnsi" w:hAnsiTheme="minorHAnsi" w:eastAsiaTheme="minorEastAsia" w:cstheme="minorBidi"/>
      <w:b/>
      <w:bCs/>
    </w:rPr>
  </w:style>
  <w:style w:type="paragraph" w:customStyle="1" w:styleId="83">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4">
    <w:name w:val="征管规范图例表头 字符"/>
    <w:link w:val="85"/>
    <w:qFormat/>
    <w:uiPriority w:val="0"/>
    <w:rPr>
      <w:rFonts w:asciiTheme="minorHAnsi" w:hAnsiTheme="minorHAnsi" w:eastAsiaTheme="minorEastAsia" w:cstheme="minorBidi"/>
      <w:b/>
      <w:sz w:val="18"/>
    </w:rPr>
  </w:style>
  <w:style w:type="paragraph" w:customStyle="1" w:styleId="85">
    <w:name w:val="征管规范图例表头"/>
    <w:basedOn w:val="83"/>
    <w:link w:val="84"/>
    <w:qFormat/>
    <w:uiPriority w:val="0"/>
    <w:pPr>
      <w:jc w:val="center"/>
    </w:pPr>
    <w:rPr>
      <w:rFonts w:asciiTheme="minorHAnsi" w:hAnsiTheme="minorHAnsi" w:eastAsiaTheme="minorEastAsia" w:cstheme="minorBidi"/>
      <w:b/>
      <w:sz w:val="18"/>
    </w:rPr>
  </w:style>
  <w:style w:type="paragraph" w:customStyle="1" w:styleId="86">
    <w:name w:val="表格文字 居中_0"/>
    <w:basedOn w:val="1"/>
    <w:link w:val="96"/>
    <w:qFormat/>
    <w:uiPriority w:val="0"/>
    <w:pPr>
      <w:jc w:val="center"/>
    </w:pPr>
    <w:rPr>
      <w:rFonts w:ascii="Arial" w:hAnsi="Arial"/>
      <w:kern w:val="0"/>
      <w:sz w:val="18"/>
      <w:szCs w:val="24"/>
    </w:rPr>
  </w:style>
  <w:style w:type="character" w:customStyle="1" w:styleId="87">
    <w:name w:val="red2"/>
    <w:basedOn w:val="17"/>
    <w:qFormat/>
    <w:uiPriority w:val="0"/>
    <w:rPr>
      <w:rFonts w:hint="eastAsia" w:ascii="宋体" w:hAnsi="宋体" w:eastAsia="宋体" w:cs="宋体"/>
      <w:b/>
      <w:color w:val="FF0000"/>
    </w:rPr>
  </w:style>
  <w:style w:type="character" w:customStyle="1" w:styleId="88">
    <w:name w:val="tree-text"/>
    <w:basedOn w:val="17"/>
    <w:qFormat/>
    <w:uiPriority w:val="0"/>
    <w:rPr>
      <w:rFonts w:ascii="Times New Roman" w:hAnsi="Times New Roman" w:eastAsia="宋体" w:cs="Times New Roman"/>
    </w:rPr>
  </w:style>
  <w:style w:type="paragraph" w:customStyle="1" w:styleId="89">
    <w:name w:val="_Style 29"/>
    <w:basedOn w:val="1"/>
    <w:next w:val="1"/>
    <w:qFormat/>
    <w:uiPriority w:val="0"/>
    <w:pPr>
      <w:pBdr>
        <w:bottom w:val="single" w:color="auto" w:sz="6" w:space="1"/>
      </w:pBdr>
      <w:jc w:val="center"/>
    </w:pPr>
    <w:rPr>
      <w:rFonts w:ascii="Arial"/>
      <w:vanish/>
      <w:sz w:val="16"/>
    </w:rPr>
  </w:style>
  <w:style w:type="paragraph" w:customStyle="1" w:styleId="90">
    <w:name w:val="_Style 30"/>
    <w:basedOn w:val="1"/>
    <w:next w:val="1"/>
    <w:qFormat/>
    <w:uiPriority w:val="0"/>
    <w:pPr>
      <w:pBdr>
        <w:top w:val="single" w:color="auto" w:sz="6" w:space="1"/>
      </w:pBdr>
      <w:jc w:val="center"/>
    </w:pPr>
    <w:rPr>
      <w:rFonts w:ascii="Arial"/>
      <w:vanish/>
      <w:sz w:val="16"/>
    </w:rPr>
  </w:style>
  <w:style w:type="paragraph" w:customStyle="1" w:styleId="91">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2">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3">
    <w:name w:val="表格列标题_0"/>
    <w:basedOn w:val="1"/>
    <w:link w:val="95"/>
    <w:qFormat/>
    <w:uiPriority w:val="0"/>
    <w:pPr>
      <w:jc w:val="center"/>
    </w:pPr>
    <w:rPr>
      <w:rFonts w:ascii="Arial" w:hAnsi="Arial"/>
      <w:b/>
      <w:kern w:val="0"/>
      <w:sz w:val="18"/>
      <w:szCs w:val="24"/>
    </w:rPr>
  </w:style>
  <w:style w:type="paragraph" w:customStyle="1" w:styleId="94">
    <w:name w:val="需求正文_0"/>
    <w:basedOn w:val="1"/>
    <w:qFormat/>
    <w:uiPriority w:val="0"/>
    <w:pPr>
      <w:topLinePunct/>
    </w:pPr>
    <w:rPr>
      <w:kern w:val="20"/>
      <w:sz w:val="20"/>
      <w:szCs w:val="20"/>
    </w:rPr>
  </w:style>
  <w:style w:type="character" w:customStyle="1" w:styleId="95">
    <w:name w:val="表格列标题 Char"/>
    <w:link w:val="93"/>
    <w:qFormat/>
    <w:uiPriority w:val="0"/>
    <w:rPr>
      <w:rFonts w:ascii="Arial" w:hAnsi="Arial" w:eastAsia="宋体" w:cs="Times New Roman"/>
      <w:b/>
      <w:kern w:val="0"/>
      <w:sz w:val="18"/>
      <w:szCs w:val="24"/>
    </w:rPr>
  </w:style>
  <w:style w:type="character" w:customStyle="1" w:styleId="96">
    <w:name w:val="表格文字 居中 Char"/>
    <w:link w:val="86"/>
    <w:qFormat/>
    <w:uiPriority w:val="0"/>
    <w:rPr>
      <w:rFonts w:ascii="Arial" w:hAnsi="Arial" w:eastAsia="宋体" w:cs="Times New Roman"/>
      <w:kern w:val="0"/>
      <w:sz w:val="18"/>
      <w:szCs w:val="24"/>
    </w:rPr>
  </w:style>
  <w:style w:type="paragraph" w:customStyle="1" w:styleId="97">
    <w:name w:val="_Style 57"/>
    <w:basedOn w:val="1"/>
    <w:next w:val="1"/>
    <w:qFormat/>
    <w:uiPriority w:val="0"/>
    <w:pPr>
      <w:pBdr>
        <w:bottom w:val="single" w:color="auto" w:sz="6" w:space="1"/>
      </w:pBdr>
      <w:jc w:val="center"/>
    </w:pPr>
    <w:rPr>
      <w:rFonts w:ascii="Arial"/>
      <w:vanish/>
      <w:sz w:val="16"/>
    </w:rPr>
  </w:style>
  <w:style w:type="paragraph" w:customStyle="1" w:styleId="98">
    <w:name w:val="_Style 15"/>
    <w:basedOn w:val="1"/>
    <w:next w:val="1"/>
    <w:qFormat/>
    <w:uiPriority w:val="0"/>
    <w:pPr>
      <w:pBdr>
        <w:bottom w:val="single" w:color="auto" w:sz="6" w:space="1"/>
      </w:pBdr>
      <w:jc w:val="center"/>
    </w:pPr>
    <w:rPr>
      <w:rFonts w:ascii="Arial"/>
      <w:vanish/>
      <w:sz w:val="16"/>
    </w:rPr>
  </w:style>
  <w:style w:type="paragraph" w:customStyle="1" w:styleId="99">
    <w:name w:val="_Style 16"/>
    <w:basedOn w:val="1"/>
    <w:next w:val="1"/>
    <w:qFormat/>
    <w:uiPriority w:val="0"/>
    <w:pPr>
      <w:pBdr>
        <w:top w:val="single" w:color="auto" w:sz="6" w:space="1"/>
      </w:pBdr>
      <w:jc w:val="center"/>
    </w:pPr>
    <w:rPr>
      <w:rFonts w:ascii="Arial"/>
      <w:vanish/>
      <w:sz w:val="16"/>
    </w:rPr>
  </w:style>
  <w:style w:type="character" w:customStyle="1" w:styleId="100">
    <w:name w:val="hover6"/>
    <w:basedOn w:val="17"/>
    <w:qFormat/>
    <w:uiPriority w:val="0"/>
    <w:rPr>
      <w:rFonts w:asciiTheme="minorHAnsi" w:hAnsiTheme="minorHAnsi" w:eastAsiaTheme="minorEastAsia" w:cstheme="minorBidi"/>
      <w:color w:val="FFFFFF"/>
      <w:shd w:val="clear" w:color="auto" w:fill="F9AC00"/>
    </w:rPr>
  </w:style>
  <w:style w:type="paragraph" w:customStyle="1" w:styleId="101">
    <w:name w:val="一级标题"/>
    <w:basedOn w:val="2"/>
    <w:next w:val="1"/>
    <w:link w:val="103"/>
    <w:qFormat/>
    <w:uiPriority w:val="0"/>
    <w:pPr>
      <w:spacing w:before="0" w:after="0" w:line="578" w:lineRule="exact"/>
      <w:ind w:firstLine="560"/>
    </w:pPr>
    <w:rPr>
      <w:rFonts w:eastAsia="黑体"/>
      <w:bCs w:val="0"/>
      <w:sz w:val="28"/>
    </w:rPr>
  </w:style>
  <w:style w:type="paragraph" w:customStyle="1" w:styleId="102">
    <w:name w:val="二级标题"/>
    <w:basedOn w:val="2"/>
    <w:link w:val="104"/>
    <w:qFormat/>
    <w:uiPriority w:val="0"/>
    <w:pPr>
      <w:spacing w:before="0" w:after="0" w:line="578" w:lineRule="exact"/>
      <w:ind w:firstLine="560"/>
      <w:outlineLvl w:val="1"/>
    </w:pPr>
    <w:rPr>
      <w:rFonts w:eastAsia="黑体"/>
      <w:bCs w:val="0"/>
      <w:sz w:val="28"/>
    </w:rPr>
  </w:style>
  <w:style w:type="character" w:customStyle="1" w:styleId="103">
    <w:name w:val="一级标题 Char"/>
    <w:basedOn w:val="29"/>
    <w:link w:val="101"/>
    <w:qFormat/>
    <w:uiPriority w:val="0"/>
    <w:rPr>
      <w:rFonts w:eastAsia="黑体" w:asciiTheme="minorHAnsi" w:hAnsiTheme="minorHAnsi" w:cstheme="minorBidi"/>
      <w:bCs w:val="0"/>
      <w:sz w:val="28"/>
    </w:rPr>
  </w:style>
  <w:style w:type="character" w:customStyle="1" w:styleId="104">
    <w:name w:val="二级标题 Char"/>
    <w:basedOn w:val="30"/>
    <w:link w:val="102"/>
    <w:qFormat/>
    <w:uiPriority w:val="0"/>
    <w:rPr>
      <w:rFonts w:eastAsia="黑体"/>
      <w:bCs w:val="0"/>
      <w:sz w:val="28"/>
    </w:rPr>
  </w:style>
  <w:style w:type="paragraph" w:customStyle="1" w:styleId="105">
    <w:name w:val="三级标题"/>
    <w:basedOn w:val="4"/>
    <w:next w:val="1"/>
    <w:link w:val="106"/>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6">
    <w:name w:val="三级标题 Char"/>
    <w:basedOn w:val="17"/>
    <w:link w:val="105"/>
    <w:qFormat/>
    <w:uiPriority w:val="0"/>
    <w:rPr>
      <w:rFonts w:eastAsia="楷体" w:asciiTheme="minorHAnsi" w:hAnsiTheme="minorHAnsi" w:cstheme="minorBidi"/>
      <w:sz w:val="28"/>
    </w:rPr>
  </w:style>
  <w:style w:type="paragraph" w:customStyle="1" w:styleId="107">
    <w:name w:val="列出段落2"/>
    <w:basedOn w:val="1"/>
    <w:qFormat/>
    <w:uiPriority w:val="34"/>
    <w:pPr>
      <w:ind w:firstLine="420"/>
    </w:pPr>
  </w:style>
  <w:style w:type="paragraph" w:customStyle="1" w:styleId="108">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9">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12</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2019-10-31T07:31:00Z</dcterms:created>
  <dc:creator>TOM</dc:creator>
  <cp:lastModifiedBy>TOM</cp:lastModifiedBy>
  <dcterms:modified xsi:type="dcterms:W3CDTF">2019-11-01T01:13:50Z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