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23237"/>
      <w:r>
        <w:rPr>
          <w:rFonts w:hint="default" w:ascii="黑体" w:hAnsi="黑体"/>
          <w:color w:val="auto"/>
        </w:rPr>
        <w:t>14.1.3税务师事务所行政登记终止</w:t>
      </w:r>
      <w:bookmarkEnd w:id="0"/>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【事项名称】</w:t>
      </w:r>
    </w:p>
    <w:p>
      <w:pPr>
        <w:ind w:firstLine="472"/>
        <w:rPr>
          <w:rFonts w:hint="default"/>
          <w:color w:val="auto"/>
        </w:rPr>
      </w:pPr>
      <w:r>
        <w:rPr>
          <w:rFonts w:hint="eastAsia"/>
          <w:color w:val="auto"/>
        </w:rPr>
        <w:t>税务师事务所行政登记终止</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w:t>
      </w:r>
      <w:r>
        <w:rPr>
          <w:rFonts w:hint="default" w:eastAsia="黑体" w:asciiTheme="majorHAnsi" w:hAnsiTheme="majorHAnsi" w:cstheme="majorBidi"/>
          <w:bCs/>
          <w:color w:val="auto"/>
          <w:sz w:val="28"/>
          <w:lang w:val="en-US" w:eastAsia="zh-CN"/>
        </w:rPr>
        <w:t>申请条件</w:t>
      </w:r>
      <w:r>
        <w:rPr>
          <w:rFonts w:hint="default" w:eastAsia="黑体" w:asciiTheme="majorHAnsi" w:hAnsiTheme="majorHAnsi" w:cstheme="majorBidi"/>
          <w:bCs/>
          <w:color w:val="auto"/>
          <w:sz w:val="28"/>
        </w:rPr>
        <w:t>】</w:t>
      </w:r>
    </w:p>
    <w:p>
      <w:pPr>
        <w:ind w:firstLine="472"/>
        <w:rPr>
          <w:rFonts w:hint="default"/>
          <w:color w:val="auto"/>
        </w:rPr>
      </w:pPr>
      <w:r>
        <w:rPr>
          <w:rFonts w:hint="eastAsia"/>
          <w:color w:val="auto"/>
        </w:rPr>
        <w:t>税务师事务所在向市场监管部门办理注销登记前，应当向所在地省税务机关提交材料办理终止行政登记</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【设定依据】</w:t>
      </w:r>
    </w:p>
    <w:p>
      <w:pPr>
        <w:ind w:firstLine="472"/>
        <w:rPr>
          <w:rFonts w:hint="eastAsia"/>
          <w:color w:val="auto"/>
        </w:rPr>
      </w:pPr>
      <w:r>
        <w:rPr>
          <w:rFonts w:hint="eastAsia"/>
          <w:color w:val="auto"/>
        </w:rPr>
        <w:t>《国家税务总局关于发布&lt;税务师事务所行政登记规程（试行）&gt;的公告》（国家税务总局公告2017年第31号）第十条、第十一条</w:t>
      </w:r>
    </w:p>
    <w:p>
      <w:pPr>
        <w:ind w:firstLine="472"/>
        <w:rPr>
          <w:rFonts w:hint="eastAsia"/>
          <w:color w:val="auto"/>
          <w:lang w:val="en-US" w:eastAsia="zh-CN"/>
        </w:rPr>
      </w:pPr>
      <w:r>
        <w:rPr>
          <w:rFonts w:hint="eastAsia"/>
          <w:color w:val="auto"/>
          <w:lang w:val="en-US" w:eastAsia="zh-CN"/>
        </w:rPr>
        <w:t>“第十条税务师事务所注销工商登记前，应当办理终止行政登记，向所在地省税务机关提交下列材料：</w:t>
      </w:r>
    </w:p>
    <w:p>
      <w:pPr>
        <w:ind w:firstLine="472"/>
        <w:rPr>
          <w:rFonts w:hint="eastAsia"/>
          <w:color w:val="auto"/>
          <w:lang w:val="en-US" w:eastAsia="zh-CN"/>
        </w:rPr>
      </w:pPr>
      <w:r>
        <w:rPr>
          <w:rFonts w:hint="eastAsia"/>
          <w:color w:val="auto"/>
          <w:lang w:val="en-US" w:eastAsia="zh-CN"/>
        </w:rPr>
        <w:t>　　（一）《税务师事务所变更/终止行政登记表》；</w:t>
      </w:r>
    </w:p>
    <w:p>
      <w:pPr>
        <w:ind w:firstLine="472"/>
        <w:rPr>
          <w:rFonts w:hint="eastAsia"/>
          <w:color w:val="auto"/>
          <w:lang w:val="en-US" w:eastAsia="zh-CN"/>
        </w:rPr>
      </w:pPr>
      <w:r>
        <w:rPr>
          <w:rFonts w:hint="eastAsia"/>
          <w:color w:val="auto"/>
          <w:lang w:val="en-US" w:eastAsia="zh-CN"/>
        </w:rPr>
        <w:t>　　（二）《登记证书》。</w:t>
      </w:r>
    </w:p>
    <w:p>
      <w:pPr>
        <w:ind w:firstLine="472"/>
        <w:rPr>
          <w:rFonts w:hint="eastAsia"/>
          <w:color w:val="auto"/>
          <w:lang w:val="en-US" w:eastAsia="zh-CN"/>
        </w:rPr>
      </w:pPr>
      <w:r>
        <w:rPr>
          <w:rFonts w:hint="eastAsia"/>
          <w:color w:val="auto"/>
          <w:lang w:val="en-US" w:eastAsia="zh-CN"/>
        </w:rPr>
        <w:t>税务师事务所注销工商登记前未办理终止行政登记的，省税务机关公告宣布行政登记失效。</w:t>
      </w:r>
    </w:p>
    <w:p>
      <w:pPr>
        <w:ind w:firstLine="472"/>
        <w:rPr>
          <w:rFonts w:hint="eastAsia"/>
          <w:color w:val="auto"/>
          <w:lang w:val="en-US" w:eastAsia="zh-CN"/>
        </w:rPr>
      </w:pPr>
      <w:r>
        <w:rPr>
          <w:rFonts w:hint="eastAsia"/>
          <w:color w:val="auto"/>
          <w:lang w:val="en-US" w:eastAsia="zh-CN"/>
        </w:rPr>
        <w:t>　　第十一条行政相对人提交材料齐全、符合法定形式的，省税务机关即时受理；材料不齐全或者不符合法定形式的，一次性告知需要补正的全部材料。</w:t>
      </w:r>
    </w:p>
    <w:p>
      <w:pPr>
        <w:ind w:firstLine="472"/>
        <w:rPr>
          <w:rFonts w:hint="eastAsia"/>
          <w:color w:val="auto"/>
          <w:lang w:val="en-US" w:eastAsia="zh-CN"/>
        </w:rPr>
      </w:pPr>
      <w:r>
        <w:rPr>
          <w:rFonts w:hint="eastAsia"/>
          <w:color w:val="auto"/>
          <w:lang w:val="en-US" w:eastAsia="zh-CN"/>
        </w:rPr>
        <w:t>终止情形属实的，予以终止行政登记。省税务机关在门户网站、电子税务局和办税服务场所对税务师事务所终止情况进行公告，同时将《税务师事务所变更/终止行政登记表》报送国家税务总局，抄送省税务师行业协会。</w:t>
      </w:r>
    </w:p>
    <w:p>
      <w:pPr>
        <w:ind w:firstLine="472"/>
        <w:rPr>
          <w:rFonts w:hint="eastAsia"/>
          <w:color w:val="auto"/>
          <w:lang w:val="en-US" w:eastAsia="zh-CN"/>
        </w:rPr>
      </w:pPr>
      <w:r>
        <w:rPr>
          <w:rFonts w:hint="eastAsia"/>
          <w:color w:val="auto"/>
          <w:lang w:val="en-US" w:eastAsia="zh-CN"/>
        </w:rPr>
        <w:t>第十条税务师事务所注销工商登记前，应当办理终止行政登记，向所在地省税务机关提交下列材料：</w:t>
      </w:r>
    </w:p>
    <w:p>
      <w:pPr>
        <w:ind w:firstLine="472"/>
        <w:rPr>
          <w:rFonts w:hint="eastAsia"/>
          <w:color w:val="auto"/>
          <w:lang w:val="en-US" w:eastAsia="zh-CN"/>
        </w:rPr>
      </w:pPr>
      <w:r>
        <w:rPr>
          <w:rFonts w:hint="eastAsia"/>
          <w:color w:val="auto"/>
          <w:lang w:val="en-US" w:eastAsia="zh-CN"/>
        </w:rPr>
        <w:t>　　（一）《税务师事务所变更/终止行政登记表》；</w:t>
      </w:r>
    </w:p>
    <w:p>
      <w:pPr>
        <w:ind w:firstLine="472"/>
        <w:rPr>
          <w:rFonts w:hint="eastAsia"/>
          <w:color w:val="auto"/>
          <w:lang w:val="en-US" w:eastAsia="zh-CN"/>
        </w:rPr>
      </w:pPr>
      <w:r>
        <w:rPr>
          <w:rFonts w:hint="eastAsia"/>
          <w:color w:val="auto"/>
          <w:lang w:val="en-US" w:eastAsia="zh-CN"/>
        </w:rPr>
        <w:t>　　（二）《登记证书》。</w:t>
      </w:r>
    </w:p>
    <w:p>
      <w:pPr>
        <w:ind w:firstLine="472"/>
        <w:rPr>
          <w:rFonts w:hint="eastAsia"/>
          <w:color w:val="auto"/>
          <w:lang w:val="en-US" w:eastAsia="zh-CN"/>
        </w:rPr>
      </w:pPr>
      <w:r>
        <w:rPr>
          <w:rFonts w:hint="eastAsia"/>
          <w:color w:val="auto"/>
          <w:lang w:val="en-US" w:eastAsia="zh-CN"/>
        </w:rPr>
        <w:t>税务师事务所注销工商登记前未办理终止行政登记的，省税务机关公告宣布行政登记失效。</w:t>
      </w:r>
    </w:p>
    <w:p>
      <w:pPr>
        <w:ind w:firstLine="472"/>
        <w:rPr>
          <w:rFonts w:hint="eastAsia"/>
          <w:color w:val="auto"/>
          <w:lang w:val="en-US" w:eastAsia="zh-CN"/>
        </w:rPr>
      </w:pPr>
      <w:r>
        <w:rPr>
          <w:rFonts w:hint="eastAsia"/>
          <w:color w:val="auto"/>
          <w:lang w:val="en-US" w:eastAsia="zh-CN"/>
        </w:rPr>
        <w:t>　　第十一条行政相对人提交材料齐全、符合法定形式的，省税务机关即时受理；材料不齐全或者不符合法定形式的，一次性告知需要补正的全部材料。</w:t>
      </w:r>
    </w:p>
    <w:p>
      <w:pPr>
        <w:ind w:firstLine="472"/>
        <w:rPr>
          <w:rFonts w:hint="default"/>
          <w:color w:val="auto"/>
          <w:lang w:val="en-US" w:eastAsia="zh-CN"/>
        </w:rPr>
      </w:pPr>
      <w:r>
        <w:rPr>
          <w:rFonts w:hint="eastAsia"/>
          <w:color w:val="auto"/>
          <w:lang w:val="en-US" w:eastAsia="zh-CN"/>
        </w:rPr>
        <w:t>终止情形属实的，予以终止行政登记。省税务机关在门户网站、电子税务局和办税服务场所对税务师事务所终止情况进行公告，同时将《税务师事务所变更/终止行政登记表》报送国家税务总局，抄送省税务师行业协会。”</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【办理材料】</w:t>
      </w:r>
    </w:p>
    <w:tbl>
      <w:tblPr>
        <w:tblStyle w:val="15"/>
        <w:tblW w:w="8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黑体"/>
                <w:color w:val="auto"/>
                <w:sz w:val="21"/>
                <w:szCs w:val="21"/>
              </w:rPr>
            </w:pPr>
            <w:r>
              <w:rPr>
                <w:rFonts w:hint="eastAsia" w:ascii="黑体" w:hAnsi="黑体" w:eastAsia="黑体" w:cs="黑体"/>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color w:val="auto"/>
                <w:sz w:val="18"/>
                <w:szCs w:val="18"/>
              </w:rPr>
            </w:pPr>
            <w:r>
              <w:rPr>
                <w:rFonts w:hint="eastAsia" w:ascii="Times New Roman" w:hAnsi="Times New Roman" w:eastAsia="黑体" w:cs="Times New Roman"/>
                <w:color w:val="auto"/>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color w:val="auto"/>
                <w:sz w:val="18"/>
                <w:szCs w:val="18"/>
              </w:rPr>
            </w:pPr>
            <w:r>
              <w:rPr>
                <w:rFonts w:hint="eastAsia" w:ascii="黑体" w:hAnsi="黑体" w:eastAsia="黑体" w:cs="黑体"/>
                <w:color w:val="auto"/>
                <w:sz w:val="18"/>
                <w:szCs w:val="18"/>
              </w:rPr>
              <w:t>《税务师事务所变更/终止行政登记表》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color w:val="auto"/>
                <w:sz w:val="18"/>
                <w:szCs w:val="18"/>
              </w:rPr>
            </w:pPr>
            <w:r>
              <w:rPr>
                <w:rFonts w:hint="eastAsia" w:ascii="Times New Roman" w:hAnsi="Times New Roman" w:eastAsia="黑体" w:cs="Times New Roman"/>
                <w:color w:val="auto"/>
                <w:sz w:val="18"/>
                <w:szCs w:val="18"/>
              </w:rPr>
              <w:t>2</w:t>
            </w:r>
            <w:r>
              <w:rPr>
                <w:rFonts w:hint="eastAsia" w:ascii="黑体" w:hAnsi="黑体" w:eastAsia="黑体" w:cs="Microsoft Himalaya"/>
                <w:color w:val="auto"/>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color w:val="auto"/>
                <w:sz w:val="18"/>
                <w:szCs w:val="18"/>
              </w:rPr>
            </w:pPr>
            <w:r>
              <w:rPr>
                <w:rFonts w:hint="eastAsia" w:ascii="Times New Roman" w:hAnsi="Times New Roman" w:eastAsia="黑体" w:cs="Times New Roman"/>
                <w:color w:val="auto"/>
                <w:sz w:val="18"/>
                <w:szCs w:val="18"/>
              </w:rPr>
              <w:t>2</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黑体"/>
                <w:color w:val="auto"/>
                <w:sz w:val="18"/>
                <w:szCs w:val="18"/>
              </w:rPr>
            </w:pPr>
            <w:r>
              <w:rPr>
                <w:rFonts w:hint="eastAsia" w:ascii="黑体" w:hAnsi="黑体" w:eastAsia="黑体" w:cs="黑体"/>
                <w:color w:val="auto"/>
                <w:sz w:val="18"/>
                <w:szCs w:val="18"/>
              </w:rPr>
              <w:t>《税务师事务所行政登记证书》</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color w:val="auto"/>
                <w:sz w:val="18"/>
                <w:szCs w:val="18"/>
              </w:rPr>
            </w:pPr>
            <w:r>
              <w:rPr>
                <w:rFonts w:hint="eastAsia" w:ascii="Times New Roman" w:hAnsi="Times New Roman" w:eastAsia="黑体" w:cs="Times New Roman"/>
                <w:color w:val="auto"/>
                <w:sz w:val="18"/>
                <w:szCs w:val="18"/>
              </w:rPr>
              <w:t>1</w:t>
            </w:r>
            <w:r>
              <w:rPr>
                <w:rFonts w:hint="eastAsia" w:ascii="黑体" w:hAnsi="黑体" w:eastAsia="黑体" w:cs="Microsoft Himalaya"/>
                <w:color w:val="auto"/>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color w:val="auto"/>
                <w:sz w:val="18"/>
                <w:szCs w:val="18"/>
              </w:rPr>
            </w:pPr>
          </w:p>
        </w:tc>
      </w:tr>
    </w:tbl>
    <w:p>
      <w:pPr>
        <w:pStyle w:val="3"/>
        <w:wordWrap w:val="0"/>
        <w:spacing w:line="360" w:lineRule="auto"/>
        <w:ind w:firstLine="552" w:firstLineChars="200"/>
        <w:rPr>
          <w:rFonts w:hint="default" w:eastAsia="黑体" w:asciiTheme="majorHAnsi" w:hAnsiTheme="majorHAnsi" w:cstheme="majorBidi"/>
          <w:b w:val="0"/>
          <w:color w:val="auto"/>
          <w:sz w:val="28"/>
        </w:rPr>
      </w:pPr>
      <w:r>
        <w:rPr>
          <w:rFonts w:hint="default" w:eastAsia="黑体" w:asciiTheme="majorHAnsi" w:hAnsiTheme="majorHAnsi" w:cstheme="majorBidi"/>
          <w:bCs/>
          <w:color w:val="auto"/>
          <w:sz w:val="28"/>
        </w:rPr>
        <w:t>【办理地点】</w:t>
      </w:r>
    </w:p>
    <w:p>
      <w:pPr>
        <w:ind w:firstLine="472"/>
        <w:rPr>
          <w:rFonts w:hint="default"/>
          <w:color w:val="auto"/>
        </w:rPr>
      </w:pPr>
      <w:r>
        <w:rPr>
          <w:rFonts w:hint="eastAsia"/>
          <w:color w:val="auto"/>
        </w:rPr>
        <w:t>国家税务总局河南省税务局纳税服务处（地址：郑州市金水区丰产路111号）</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【办理机构】</w:t>
      </w:r>
    </w:p>
    <w:p>
      <w:pPr>
        <w:ind w:firstLine="472"/>
        <w:rPr>
          <w:rFonts w:hint="default"/>
          <w:color w:val="auto"/>
        </w:rPr>
      </w:pPr>
      <w:r>
        <w:rPr>
          <w:rFonts w:hint="eastAsia"/>
          <w:color w:val="auto"/>
        </w:rPr>
        <w:t>国家税务总局河南省税务局</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【收费标准】</w:t>
      </w:r>
    </w:p>
    <w:p>
      <w:pPr>
        <w:ind w:firstLine="472"/>
        <w:rPr>
          <w:rFonts w:hint="eastAsia"/>
          <w:color w:val="auto"/>
        </w:rPr>
      </w:pPr>
      <w:r>
        <w:rPr>
          <w:rFonts w:hint="eastAsia"/>
          <w:color w:val="auto"/>
        </w:rPr>
        <w:t>不收费</w:t>
      </w:r>
    </w:p>
    <w:p>
      <w:pPr>
        <w:pStyle w:val="3"/>
        <w:wordWrap w:val="0"/>
        <w:spacing w:line="360" w:lineRule="auto"/>
        <w:ind w:firstLine="552"/>
        <w:rPr>
          <w:rFonts w:eastAsia="黑体" w:asciiTheme="majorHAnsi" w:hAnsiTheme="majorHAnsi" w:cstheme="majorBidi"/>
          <w:bCs/>
          <w:color w:val="auto"/>
          <w:sz w:val="28"/>
          <w:szCs w:val="32"/>
        </w:rPr>
      </w:pPr>
      <w:r>
        <w:rPr>
          <w:rFonts w:eastAsia="黑体" w:asciiTheme="majorHAnsi" w:hAnsiTheme="majorHAnsi" w:cstheme="majorBidi"/>
          <w:bCs/>
          <w:color w:val="auto"/>
          <w:sz w:val="28"/>
          <w:szCs w:val="32"/>
        </w:rPr>
        <w:t>【办理</w:t>
      </w:r>
      <w:r>
        <w:rPr>
          <w:rFonts w:hint="default" w:eastAsia="黑体" w:asciiTheme="majorHAnsi" w:hAnsiTheme="majorHAnsi" w:cstheme="majorBidi"/>
          <w:bCs/>
          <w:color w:val="auto"/>
          <w:sz w:val="28"/>
          <w:szCs w:val="32"/>
          <w:lang w:val="en-US" w:eastAsia="zh-CN"/>
        </w:rPr>
        <w:t>时限</w:t>
      </w:r>
      <w:r>
        <w:rPr>
          <w:rFonts w:eastAsia="黑体" w:asciiTheme="majorHAnsi" w:hAnsiTheme="majorHAnsi" w:cstheme="majorBidi"/>
          <w:bCs/>
          <w:color w:val="auto"/>
          <w:sz w:val="28"/>
          <w:szCs w:val="32"/>
        </w:rPr>
        <w:t>】</w:t>
      </w:r>
    </w:p>
    <w:p>
      <w:pPr>
        <w:ind w:firstLine="472"/>
        <w:rPr>
          <w:rFonts w:hint="default"/>
          <w:color w:val="auto"/>
        </w:rPr>
      </w:pPr>
      <w:r>
        <w:rPr>
          <w:rFonts w:hint="eastAsia"/>
          <w:color w:val="auto"/>
        </w:rPr>
        <w:t>省税务机关受理后及时办理税务师事务所终止行政登记</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【办理时间】</w:t>
      </w:r>
    </w:p>
    <w:p>
      <w:pPr>
        <w:ind w:firstLine="472"/>
        <w:rPr>
          <w:rFonts w:hint="default"/>
          <w:color w:val="auto"/>
        </w:rPr>
      </w:pPr>
      <w:r>
        <w:rPr>
          <w:rFonts w:hint="eastAsia"/>
          <w:color w:val="auto"/>
        </w:rPr>
        <w:t>上午8:00-12:00，下午14:30-17:30（冬）15:00-18:00（夏）</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【联系电话】</w:t>
      </w:r>
    </w:p>
    <w:p>
      <w:pPr>
        <w:ind w:firstLine="472"/>
        <w:rPr>
          <w:rFonts w:hint="eastAsia"/>
          <w:color w:val="auto"/>
        </w:rPr>
      </w:pPr>
      <w:r>
        <w:rPr>
          <w:rFonts w:hint="eastAsia"/>
          <w:color w:val="auto"/>
        </w:rPr>
        <w:t>0371-12366</w: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【办理流程】</w:t>
      </w:r>
    </w:p>
    <w:p>
      <w:pPr>
        <w:wordWrap w:val="0"/>
        <w:spacing w:line="360" w:lineRule="auto"/>
        <w:ind w:firstLine="0" w:firstLineChars="0"/>
        <w:rPr>
          <w:rFonts w:hint="default" w:ascii="Calibri" w:hAnsi="Calibri" w:eastAsia="宋体" w:cs="黑体"/>
          <w:color w:val="auto"/>
          <w:sz w:val="21"/>
          <w:szCs w:val="22"/>
        </w:rPr>
      </w:pPr>
      <w:r>
        <w:rPr>
          <w:rFonts w:hint="eastAsia" w:ascii="Times New Roman" w:hAnsi="Times New Roman" w:eastAsia="宋体" w:cs="Times New Roman"/>
          <w:color w:val="auto"/>
          <w:sz w:val="24"/>
        </w:rPr>
        <w:object>
          <v:shape id="_x0000_i1204" o:spt="75" type="#_x0000_t75" style="height:147.75pt;width:390.75pt;" o:ole="t" filled="f" o:preferrelative="t" stroked="f" coordsize="21600,21600">
            <v:path/>
            <v:fill on="f" focussize="0,0"/>
            <v:stroke on="f" joinstyle="miter"/>
            <v:imagedata r:id="rId11" o:title=""/>
            <o:lock v:ext="edit" aspectratio="t"/>
            <w10:wrap type="none"/>
            <w10:anchorlock/>
          </v:shape>
          <o:OLEObject Type="Embed" ProgID="Visio.Drawing.11" ShapeID="_x0000_i1204" DrawAspect="Content" ObjectID="_1468075725" r:id="rId10">
            <o:LockedField>false</o:LockedField>
          </o:OLEObject>
        </w:object>
      </w:r>
    </w:p>
    <w:p>
      <w:pPr>
        <w:pStyle w:val="3"/>
        <w:wordWrap w:val="0"/>
        <w:spacing w:line="360" w:lineRule="auto"/>
        <w:ind w:firstLine="552" w:firstLineChars="200"/>
        <w:rPr>
          <w:rFonts w:hint="default" w:eastAsia="黑体" w:asciiTheme="majorHAnsi" w:hAnsiTheme="majorHAnsi" w:cstheme="majorBidi"/>
          <w:bCs/>
          <w:color w:val="auto"/>
          <w:sz w:val="28"/>
        </w:rPr>
      </w:pPr>
      <w:r>
        <w:rPr>
          <w:rFonts w:hint="default" w:eastAsia="黑体" w:asciiTheme="majorHAnsi" w:hAnsiTheme="majorHAnsi" w:cstheme="majorBidi"/>
          <w:bCs/>
          <w:color w:val="auto"/>
          <w:sz w:val="28"/>
        </w:rPr>
        <w:t>【注意事项】</w:t>
      </w:r>
    </w:p>
    <w:p>
      <w:pPr>
        <w:ind w:firstLine="472"/>
        <w:rPr>
          <w:rFonts w:hint="default"/>
          <w:color w:val="auto"/>
        </w:rPr>
      </w:pPr>
      <w:r>
        <w:rPr>
          <w:rFonts w:hint="eastAsia"/>
          <w:color w:val="auto"/>
        </w:rPr>
        <w:t>1.行政相对</w:t>
      </w:r>
      <w:r>
        <w:rPr>
          <w:rFonts w:hint="default"/>
          <w:color w:val="auto"/>
        </w:rPr>
        <w:t>人对报送材料的真实性和合法性承担责任。</w:t>
      </w:r>
    </w:p>
    <w:p>
      <w:pPr>
        <w:ind w:firstLine="472"/>
        <w:rPr>
          <w:rFonts w:hint="default"/>
          <w:color w:val="auto"/>
        </w:rPr>
      </w:pPr>
      <w:r>
        <w:rPr>
          <w:rFonts w:hint="eastAsia"/>
          <w:color w:val="auto"/>
        </w:rPr>
        <w:t>2.</w:t>
      </w:r>
      <w:r>
        <w:rPr>
          <w:rFonts w:hint="default"/>
          <w:color w:val="auto"/>
        </w:rPr>
        <w:t>文书表单可在</w:t>
      </w:r>
      <w:r>
        <w:rPr>
          <w:rFonts w:hint="eastAsia"/>
          <w:color w:val="auto"/>
        </w:rPr>
        <w:t>国家税务总局河南省税务局网站“下载中心”栏目</w:t>
      </w:r>
      <w:r>
        <w:rPr>
          <w:rFonts w:hint="default"/>
          <w:color w:val="auto"/>
        </w:rPr>
        <w:t>查询下载或到办税服务厅领取。</w:t>
      </w:r>
    </w:p>
    <w:p>
      <w:pPr>
        <w:ind w:firstLine="472"/>
        <w:rPr>
          <w:rFonts w:hint="default"/>
          <w:color w:val="auto"/>
        </w:rPr>
      </w:pPr>
      <w:r>
        <w:rPr>
          <w:rFonts w:hint="eastAsia"/>
          <w:color w:val="auto"/>
        </w:rPr>
        <w:t>3.税务师事务所应在向市场监管部门办理注销登记前向所在地省税务机关提交材料办理终止行政登记。税务师事务所在向市场监管部门办理注销登记前没有办理终止行政登记的，由省税务机关宣布《税务师事务所行政登记证书》失效。</w:t>
      </w:r>
    </w:p>
    <w:p>
      <w:pPr>
        <w:ind w:firstLine="472"/>
        <w:rPr>
          <w:rFonts w:hint="default"/>
          <w:color w:val="auto"/>
        </w:rPr>
      </w:pPr>
      <w:r>
        <w:rPr>
          <w:rFonts w:hint="eastAsia"/>
          <w:color w:val="auto"/>
        </w:rPr>
        <w:t>4.税务师事务所分所的行政登记终止参照本事项办理。</w:t>
      </w:r>
    </w:p>
    <w:p>
      <w:pPr>
        <w:rPr>
          <w:color w:val="auto"/>
        </w:rPr>
      </w:pPr>
    </w:p>
    <w:p>
      <w:pPr>
        <w:rPr>
          <w:rFonts w:hint="eastAsia"/>
          <w:color w:val="auto"/>
          <w:lang w:val="en-US" w:eastAsia="zh-CN"/>
        </w:rPr>
      </w:pPr>
      <w:r>
        <w:rPr>
          <w:rFonts w:hint="eastAsia"/>
          <w:color w:val="auto"/>
          <w:lang w:val="en-US" w:eastAsia="zh-CN"/>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CCC4332"/>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2019-10-31T05:22:24Z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