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19623"/>
      <w:r>
        <w:rPr>
          <w:rFonts w:hint="eastAsia" w:ascii="黑体" w:hAnsi="黑体"/>
          <w:color w:val="auto"/>
        </w:rPr>
        <w:t>1.3.1.1增值税预缴申报</w:t>
      </w:r>
      <w:bookmarkEnd w:id="0"/>
    </w:p>
    <w:p>
      <w:pPr>
        <w:pStyle w:val="3"/>
        <w:ind w:firstLine="552"/>
        <w:rPr>
          <w:color w:val="auto"/>
        </w:rPr>
      </w:pPr>
      <w:r>
        <w:rPr>
          <w:rFonts w:hint="eastAsia"/>
          <w:color w:val="auto"/>
        </w:rPr>
        <w:t>一、事项名称</w:t>
      </w:r>
    </w:p>
    <w:p>
      <w:pPr>
        <w:ind w:firstLine="472"/>
        <w:rPr>
          <w:color w:val="auto"/>
        </w:rPr>
      </w:pPr>
      <w:r>
        <w:rPr>
          <w:rFonts w:hint="eastAsia"/>
          <w:color w:val="auto"/>
        </w:rPr>
        <w:t>增值税预缴申报</w:t>
      </w:r>
    </w:p>
    <w:p>
      <w:pPr>
        <w:pStyle w:val="3"/>
        <w:ind w:firstLine="552"/>
        <w:rPr>
          <w:color w:val="auto"/>
        </w:rPr>
      </w:pPr>
      <w:r>
        <w:rPr>
          <w:rFonts w:hint="eastAsia"/>
          <w:color w:val="auto"/>
        </w:rPr>
        <w:t>二、事项类别</w:t>
      </w:r>
    </w:p>
    <w:p>
      <w:pPr>
        <w:pStyle w:val="49"/>
        <w:numPr>
          <w:ilvl w:val="0"/>
          <w:numId w:val="3"/>
        </w:numPr>
        <w:ind w:firstLineChars="0"/>
        <w:rPr>
          <w:color w:val="auto"/>
        </w:rPr>
      </w:pPr>
      <w:r>
        <w:rPr>
          <w:rFonts w:hint="eastAsia"/>
          <w:color w:val="auto"/>
        </w:rPr>
        <w:t>发起方式：人工发起</w:t>
      </w:r>
      <w:r>
        <w:rPr>
          <w:color w:val="auto"/>
        </w:rPr>
        <w:t>（</w:t>
      </w:r>
      <w:r>
        <w:rPr>
          <w:rFonts w:hint="eastAsia"/>
          <w:color w:val="auto"/>
        </w:rPr>
        <w:t>纳税人）</w:t>
      </w:r>
    </w:p>
    <w:p>
      <w:pPr>
        <w:pStyle w:val="49"/>
        <w:numPr>
          <w:ilvl w:val="0"/>
          <w:numId w:val="3"/>
        </w:numPr>
        <w:ind w:firstLineChars="0"/>
        <w:rPr>
          <w:color w:val="auto"/>
        </w:rPr>
      </w:pPr>
      <w:r>
        <w:rPr>
          <w:rFonts w:hint="eastAsia"/>
          <w:color w:val="auto"/>
        </w:rPr>
        <w:t>办结方式：即办</w:t>
      </w:r>
    </w:p>
    <w:p>
      <w:pPr>
        <w:pStyle w:val="49"/>
        <w:numPr>
          <w:ilvl w:val="0"/>
          <w:numId w:val="3"/>
        </w:numPr>
        <w:ind w:firstLineChars="0"/>
        <w:rPr>
          <w:color w:val="auto"/>
        </w:rPr>
      </w:pPr>
      <w:r>
        <w:rPr>
          <w:rFonts w:hint="eastAsia"/>
          <w:color w:val="auto"/>
        </w:rPr>
        <w:t>全省通办：否</w:t>
      </w:r>
    </w:p>
    <w:p>
      <w:pPr>
        <w:pStyle w:val="49"/>
        <w:numPr>
          <w:ilvl w:val="0"/>
          <w:numId w:val="3"/>
        </w:numPr>
        <w:ind w:firstLineChars="0"/>
        <w:rPr>
          <w:color w:val="auto"/>
        </w:rPr>
      </w:pPr>
      <w:r>
        <w:rPr>
          <w:rFonts w:hint="eastAsia"/>
          <w:color w:val="auto"/>
        </w:rPr>
        <w:t>网上办理：是</w:t>
      </w:r>
    </w:p>
    <w:p>
      <w:pPr>
        <w:pStyle w:val="49"/>
        <w:numPr>
          <w:ilvl w:val="0"/>
          <w:numId w:val="3"/>
        </w:numPr>
        <w:ind w:firstLineChars="0"/>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rFonts w:hint="eastAsia"/>
          <w:color w:val="auto"/>
        </w:rPr>
        <w:t>三、办理条件</w:t>
      </w:r>
    </w:p>
    <w:p>
      <w:pPr>
        <w:ind w:firstLine="472"/>
        <w:rPr>
          <w:color w:val="auto"/>
        </w:rPr>
      </w:pPr>
      <w:r>
        <w:rPr>
          <w:rFonts w:hint="eastAsia"/>
          <w:color w:val="auto"/>
        </w:rPr>
        <w:t>纳税人（不含其他个人）跨地（市、州）提供建筑服务、房地产开发企业预售自行开发的房地产项目、纳税人（不含其他个人）出租与机构所在地不在同一县（市）的不动产等按规定需要在项目所在地或不动产所在地主管税务机关预缴税款的，需填报《增值税预缴税款表》及其他相关资料，向税务机关进行纳税申报。</w:t>
      </w:r>
    </w:p>
    <w:p>
      <w:pPr>
        <w:ind w:firstLine="472"/>
        <w:rPr>
          <w:rFonts w:hint="eastAsia" w:eastAsia="宋体"/>
          <w:color w:val="auto"/>
          <w:lang w:eastAsia="zh-CN"/>
        </w:rPr>
      </w:pPr>
      <w:r>
        <w:rPr>
          <w:rFonts w:hint="eastAsia"/>
          <w:color w:val="auto"/>
        </w:rPr>
        <w:t>自2019年1月1日至2021年12月31日，按照现行规定应当预缴增值税税款的小规模纳税人，凡在预缴地实现的月销售额未超过10万元的，当期无需预缴税款。</w:t>
      </w:r>
    </w:p>
    <w:p>
      <w:pPr>
        <w:pStyle w:val="3"/>
        <w:ind w:firstLine="552"/>
        <w:rPr>
          <w:color w:val="auto"/>
        </w:rPr>
      </w:pPr>
      <w:r>
        <w:rPr>
          <w:rFonts w:hint="eastAsia"/>
          <w:color w:val="auto"/>
        </w:rPr>
        <w:t>四、设定依据</w:t>
      </w:r>
    </w:p>
    <w:p>
      <w:pPr>
        <w:wordWrap w:val="0"/>
        <w:spacing w:line="240" w:lineRule="auto"/>
        <w:ind w:firstLine="472"/>
        <w:rPr>
          <w:color w:val="auto"/>
        </w:rPr>
      </w:pPr>
      <w:r>
        <w:rPr>
          <w:color w:val="auto"/>
        </w:rPr>
        <w:t>《中华人民共和国税收征收管理法》第二十五条第一款</w:t>
      </w:r>
    </w:p>
    <w:p>
      <w:pPr>
        <w:wordWrap w:val="0"/>
        <w:spacing w:line="240" w:lineRule="auto"/>
        <w:ind w:firstLine="472"/>
        <w:rPr>
          <w:color w:val="auto"/>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1</w:t>
            </w:r>
          </w:p>
        </w:tc>
        <w:tc>
          <w:tcPr>
            <w:tcW w:w="2551" w:type="dxa"/>
            <w:vAlign w:val="center"/>
          </w:tcPr>
          <w:p>
            <w:pPr>
              <w:pStyle w:val="13"/>
              <w:widowControl/>
              <w:spacing w:before="100" w:beforeAutospacing="0" w:after="100" w:afterAutospacing="0" w:line="280" w:lineRule="exact"/>
              <w:rPr>
                <w:rFonts w:cs="宋体"/>
                <w:color w:val="auto"/>
                <w:sz w:val="18"/>
                <w:szCs w:val="18"/>
              </w:rPr>
            </w:pPr>
            <w:r>
              <w:rPr>
                <w:rFonts w:hint="eastAsia" w:ascii="宋体" w:hAnsi="宋体" w:eastAsia="宋体"/>
                <w:color w:val="auto"/>
                <w:sz w:val="18"/>
                <w:szCs w:val="18"/>
              </w:rPr>
              <w:t>《增值税预缴税款表》</w:t>
            </w:r>
          </w:p>
        </w:tc>
        <w:tc>
          <w:tcPr>
            <w:tcW w:w="709" w:type="dxa"/>
            <w:vAlign w:val="center"/>
          </w:tcPr>
          <w:p>
            <w:pPr>
              <w:pStyle w:val="13"/>
              <w:widowControl/>
              <w:spacing w:before="100" w:beforeAutospacing="0" w:after="100" w:afterAutospacing="0" w:line="280" w:lineRule="exact"/>
              <w:ind w:firstLine="352"/>
              <w:rPr>
                <w:rFonts w:cs="宋体"/>
                <w:color w:val="auto"/>
                <w:sz w:val="18"/>
                <w:szCs w:val="18"/>
              </w:rPr>
            </w:pPr>
            <w:r>
              <w:rPr>
                <w:rStyle w:val="17"/>
                <w:rFonts w:hint="eastAsia" w:ascii="宋体" w:hAnsi="宋体" w:eastAsia="宋体" w:cs="微软雅黑"/>
                <w:b w:val="0"/>
                <w:color w:val="auto"/>
                <w:sz w:val="18"/>
                <w:szCs w:val="18"/>
              </w:rPr>
              <w:t>2</w:t>
            </w:r>
          </w:p>
        </w:tc>
        <w:tc>
          <w:tcPr>
            <w:tcW w:w="992"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vAlign w:val="center"/>
          </w:tcPr>
          <w:p>
            <w:pPr>
              <w:pStyle w:val="13"/>
              <w:widowControl/>
              <w:spacing w:before="100" w:beforeAutospacing="0" w:after="100" w:afterAutospacing="0" w:line="280" w:lineRule="exact"/>
              <w:ind w:firstLine="352"/>
              <w:jc w:val="center"/>
              <w:rPr>
                <w:rFonts w:cs="宋体"/>
                <w:color w:val="auto"/>
                <w:sz w:val="18"/>
                <w:szCs w:val="18"/>
              </w:rPr>
            </w:pPr>
            <w:r>
              <w:rPr>
                <w:rFonts w:hint="eastAsia" w:ascii="宋体" w:hAnsi="宋体" w:eastAsia="宋体" w:cs="微软雅黑"/>
                <w:color w:val="auto"/>
                <w:sz w:val="18"/>
                <w:szCs w:val="18"/>
              </w:rPr>
              <w:t>纳税人跨县（市、区）提供建筑服务</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2</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与发包方签订的建筑合同复印件（加盖纳税人公章）</w:t>
            </w:r>
          </w:p>
        </w:tc>
        <w:tc>
          <w:tcPr>
            <w:tcW w:w="709" w:type="dxa"/>
            <w:vAlign w:val="center"/>
          </w:tcPr>
          <w:p>
            <w:pPr>
              <w:pStyle w:val="13"/>
              <w:widowControl/>
              <w:spacing w:before="100" w:beforeAutospacing="0" w:after="100" w:afterAutospacing="0" w:line="280" w:lineRule="exact"/>
              <w:ind w:firstLine="352"/>
              <w:rPr>
                <w:rFonts w:cs="宋体"/>
                <w:color w:val="auto"/>
                <w:sz w:val="18"/>
                <w:szCs w:val="18"/>
              </w:rPr>
            </w:pPr>
            <w:r>
              <w:rPr>
                <w:rStyle w:val="17"/>
                <w:rFonts w:hint="eastAsia" w:ascii="宋体" w:hAnsi="宋体" w:eastAsia="宋体" w:cs="微软雅黑"/>
                <w:b w:val="0"/>
                <w:color w:val="auto"/>
                <w:sz w:val="18"/>
                <w:szCs w:val="18"/>
              </w:rPr>
              <w:t>1</w:t>
            </w:r>
          </w:p>
        </w:tc>
        <w:tc>
          <w:tcPr>
            <w:tcW w:w="992"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vAlign w:val="center"/>
          </w:tcPr>
          <w:p>
            <w:pPr>
              <w:pStyle w:val="13"/>
              <w:widowControl/>
              <w:spacing w:before="100" w:beforeAutospacing="0" w:after="100" w:afterAutospacing="0" w:line="280" w:lineRule="exact"/>
              <w:ind w:firstLine="352"/>
              <w:jc w:val="center"/>
              <w:rPr>
                <w:rFonts w:cs="宋体"/>
                <w:color w:val="auto"/>
                <w:sz w:val="18"/>
                <w:szCs w:val="18"/>
              </w:rPr>
            </w:pPr>
            <w:r>
              <w:rPr>
                <w:rFonts w:hint="eastAsia" w:ascii="宋体" w:hAnsi="宋体" w:eastAsia="宋体" w:cs="微软雅黑"/>
                <w:color w:val="auto"/>
                <w:sz w:val="18"/>
                <w:szCs w:val="18"/>
              </w:rPr>
              <w:t>纳税人跨县（市、区）提供建筑服务</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3</w:t>
            </w:r>
          </w:p>
        </w:tc>
        <w:tc>
          <w:tcPr>
            <w:tcW w:w="2551" w:type="dxa"/>
            <w:vAlign w:val="center"/>
          </w:tcPr>
          <w:p>
            <w:pPr>
              <w:pStyle w:val="13"/>
              <w:widowControl/>
              <w:spacing w:before="100" w:beforeAutospacing="0" w:after="100" w:afterAutospacing="0" w:line="280" w:lineRule="exact"/>
              <w:rPr>
                <w:rFonts w:cs="宋体"/>
                <w:color w:val="auto"/>
                <w:sz w:val="18"/>
                <w:szCs w:val="18"/>
              </w:rPr>
            </w:pPr>
            <w:r>
              <w:rPr>
                <w:rFonts w:hint="eastAsia" w:ascii="宋体" w:hAnsi="宋体" w:eastAsia="宋体" w:cs="微软雅黑"/>
                <w:color w:val="auto"/>
                <w:sz w:val="18"/>
                <w:szCs w:val="18"/>
              </w:rPr>
              <w:t>与分包方签订的分包合同复印件（加盖纳税人公章）</w:t>
            </w:r>
          </w:p>
        </w:tc>
        <w:tc>
          <w:tcPr>
            <w:tcW w:w="709" w:type="dxa"/>
            <w:vAlign w:val="center"/>
          </w:tcPr>
          <w:p>
            <w:pPr>
              <w:pStyle w:val="13"/>
              <w:widowControl/>
              <w:spacing w:before="100" w:beforeAutospacing="0" w:after="100" w:afterAutospacing="0" w:line="280" w:lineRule="exact"/>
              <w:ind w:firstLine="352"/>
              <w:rPr>
                <w:rFonts w:cs="宋体"/>
                <w:color w:val="auto"/>
                <w:sz w:val="18"/>
                <w:szCs w:val="18"/>
              </w:rPr>
            </w:pPr>
            <w:r>
              <w:rPr>
                <w:rStyle w:val="17"/>
                <w:rFonts w:hint="eastAsia" w:ascii="宋体" w:hAnsi="宋体" w:eastAsia="宋体" w:cs="微软雅黑"/>
                <w:b w:val="0"/>
                <w:color w:val="auto"/>
                <w:sz w:val="18"/>
                <w:szCs w:val="18"/>
              </w:rPr>
              <w:t>1</w:t>
            </w:r>
          </w:p>
        </w:tc>
        <w:tc>
          <w:tcPr>
            <w:tcW w:w="992"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vAlign w:val="center"/>
          </w:tcPr>
          <w:p>
            <w:pPr>
              <w:pStyle w:val="13"/>
              <w:widowControl/>
              <w:spacing w:before="100" w:beforeAutospacing="0" w:after="100" w:afterAutospacing="0" w:line="280" w:lineRule="exact"/>
              <w:ind w:firstLine="352"/>
              <w:jc w:val="center"/>
              <w:rPr>
                <w:rFonts w:cs="宋体"/>
                <w:color w:val="auto"/>
                <w:sz w:val="18"/>
                <w:szCs w:val="18"/>
              </w:rPr>
            </w:pPr>
            <w:r>
              <w:rPr>
                <w:rFonts w:hint="eastAsia" w:ascii="宋体" w:hAnsi="宋体" w:eastAsia="宋体" w:cs="微软雅黑"/>
                <w:color w:val="auto"/>
                <w:sz w:val="18"/>
                <w:szCs w:val="18"/>
              </w:rPr>
              <w:t>纳税人跨县（市、区）提供建筑服务</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tcBorders>
              <w:bottom w:val="single" w:color="auto" w:sz="12" w:space="0"/>
            </w:tcBorders>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4</w:t>
            </w:r>
          </w:p>
        </w:tc>
        <w:tc>
          <w:tcPr>
            <w:tcW w:w="2551" w:type="dxa"/>
            <w:tcBorders>
              <w:bottom w:val="single" w:color="auto" w:sz="12" w:space="0"/>
            </w:tcBorders>
            <w:vAlign w:val="center"/>
          </w:tcPr>
          <w:p>
            <w:pPr>
              <w:pStyle w:val="13"/>
              <w:widowControl/>
              <w:spacing w:before="100" w:beforeAutospacing="0" w:after="100" w:afterAutospacing="0" w:line="280" w:lineRule="exact"/>
              <w:rPr>
                <w:rFonts w:cs="宋体"/>
                <w:color w:val="auto"/>
                <w:sz w:val="18"/>
                <w:szCs w:val="18"/>
              </w:rPr>
            </w:pPr>
            <w:r>
              <w:rPr>
                <w:rFonts w:hint="eastAsia" w:ascii="宋体" w:hAnsi="宋体" w:eastAsia="宋体" w:cs="微软雅黑"/>
                <w:color w:val="auto"/>
                <w:sz w:val="18"/>
                <w:szCs w:val="18"/>
              </w:rPr>
              <w:t>从分包方取得的发票复印件（加盖纳税人公章）</w:t>
            </w:r>
          </w:p>
        </w:tc>
        <w:tc>
          <w:tcPr>
            <w:tcW w:w="709" w:type="dxa"/>
            <w:tcBorders>
              <w:bottom w:val="single" w:color="auto" w:sz="12" w:space="0"/>
            </w:tcBorders>
            <w:vAlign w:val="center"/>
          </w:tcPr>
          <w:p>
            <w:pPr>
              <w:pStyle w:val="13"/>
              <w:widowControl/>
              <w:spacing w:before="100" w:beforeAutospacing="0" w:after="100" w:afterAutospacing="0" w:line="280" w:lineRule="exact"/>
              <w:ind w:firstLine="352"/>
              <w:rPr>
                <w:rFonts w:cs="宋体"/>
                <w:color w:val="auto"/>
                <w:sz w:val="18"/>
                <w:szCs w:val="18"/>
              </w:rPr>
            </w:pPr>
            <w:r>
              <w:rPr>
                <w:rFonts w:hint="eastAsia" w:ascii="宋体" w:hAnsi="宋体" w:eastAsia="宋体" w:cs="微软雅黑"/>
                <w:color w:val="auto"/>
                <w:sz w:val="18"/>
                <w:szCs w:val="18"/>
              </w:rPr>
              <w:t>1</w:t>
            </w:r>
          </w:p>
        </w:tc>
        <w:tc>
          <w:tcPr>
            <w:tcW w:w="992" w:type="dxa"/>
            <w:tcBorders>
              <w:bottom w:val="single" w:color="auto" w:sz="12" w:space="0"/>
            </w:tcBorders>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tcBorders>
              <w:bottom w:val="single" w:color="auto" w:sz="12" w:space="0"/>
            </w:tcBorders>
            <w:vAlign w:val="center"/>
          </w:tcPr>
          <w:p>
            <w:pPr>
              <w:pStyle w:val="13"/>
              <w:widowControl/>
              <w:spacing w:before="100" w:beforeAutospacing="0" w:after="100" w:afterAutospacing="0" w:line="280" w:lineRule="exact"/>
              <w:ind w:firstLine="352"/>
              <w:jc w:val="center"/>
              <w:rPr>
                <w:rFonts w:cs="宋体"/>
                <w:color w:val="auto"/>
                <w:sz w:val="18"/>
                <w:szCs w:val="18"/>
              </w:rPr>
            </w:pPr>
            <w:r>
              <w:rPr>
                <w:rFonts w:hint="eastAsia" w:ascii="宋体" w:hAnsi="宋体" w:eastAsia="宋体" w:cs="微软雅黑"/>
                <w:color w:val="auto"/>
                <w:sz w:val="18"/>
                <w:szCs w:val="18"/>
              </w:rPr>
              <w:t>纳税人跨县（市、区）提供建筑服务</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六、办理流程</w:t>
      </w:r>
    </w:p>
    <w:p>
      <w:pPr>
        <w:spacing w:line="240" w:lineRule="auto"/>
        <w:ind w:left="472" w:firstLine="0" w:firstLineChars="0"/>
        <w:rPr>
          <w:color w:val="auto"/>
        </w:rPr>
      </w:pPr>
    </w:p>
    <w:p>
      <w:pPr>
        <w:spacing w:line="240" w:lineRule="auto"/>
        <w:ind w:left="472" w:firstLine="0" w:firstLineChars="0"/>
        <w:rPr>
          <w:color w:val="auto"/>
        </w:rPr>
      </w:pPr>
      <w:r>
        <w:rPr>
          <w:color w:val="auto"/>
        </w:rPr>
        <w:object>
          <v:shape id="_x0000_i1083" o:spt="75" type="#_x0000_t75" style="height:94.6pt;width:370.9pt;" o:ole="t" filled="f" o:preferrelative="t" stroked="f" coordsize="21600,21600">
            <v:path/>
            <v:fill on="f" focussize="0,0"/>
            <v:stroke on="f" joinstyle="miter"/>
            <v:imagedata r:id="rId11" o:title=""/>
            <o:lock v:ext="edit" aspectratio="f"/>
            <w10:wrap type="none"/>
            <w10:anchorlock/>
          </v:shape>
          <o:OLEObject Type="Embed" ProgID="Visio.Drawing.11" ShapeID="_x0000_i1083"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color w:val="auto"/>
        </w:rPr>
        <w:t>1.</w:t>
      </w:r>
      <w:r>
        <w:rPr>
          <w:rFonts w:hint="eastAsia"/>
          <w:color w:val="auto"/>
        </w:rPr>
        <w:t>.A06735《增值税预缴税款表》</w:t>
      </w:r>
    </w:p>
    <w:p>
      <w:pPr>
        <w:pStyle w:val="3"/>
        <w:ind w:firstLine="552"/>
        <w:rPr>
          <w:color w:val="auto"/>
        </w:rPr>
      </w:pPr>
      <w:r>
        <w:rPr>
          <w:rFonts w:hint="eastAsia"/>
          <w:color w:val="auto"/>
        </w:rPr>
        <w:t>九、注意事项</w:t>
      </w:r>
    </w:p>
    <w:p>
      <w:pPr>
        <w:ind w:firstLine="472"/>
        <w:rPr>
          <w:color w:val="auto"/>
        </w:rPr>
      </w:pPr>
      <w:r>
        <w:rPr>
          <w:rFonts w:hint="eastAsia"/>
          <w:color w:val="auto"/>
        </w:rPr>
        <w:t>1.申报完成后，需办理增值税小规模纳税人票表比对业务。</w:t>
      </w:r>
    </w:p>
    <w:p>
      <w:pPr>
        <w:ind w:firstLine="472"/>
        <w:rPr>
          <w:color w:val="auto"/>
        </w:rPr>
      </w:pPr>
      <w:r>
        <w:rPr>
          <w:rFonts w:hint="eastAsia"/>
          <w:color w:val="auto"/>
        </w:rPr>
        <w:t>2.如需调整前期的申报或对前期申报进行补充申报，则通过申报错误更正业务进行办理；如属于纳税评估自查补报，则通过纳税评估通知书进行办理。</w:t>
      </w:r>
    </w:p>
    <w:p>
      <w:pPr>
        <w:ind w:firstLine="472"/>
        <w:rPr>
          <w:color w:val="auto"/>
        </w:rPr>
      </w:pPr>
      <w:r>
        <w:rPr>
          <w:rFonts w:hint="eastAsia"/>
          <w:color w:val="auto"/>
        </w:rPr>
        <w:t>3.纳税人按照规定从取得的全部价款和价外费用中扣除支付的分包款，应当取得符合法律、行政法规和国家税务总局规定的合法有效凭证，否则不得扣除。上述凭证是指：</w:t>
      </w:r>
    </w:p>
    <w:p>
      <w:pPr>
        <w:ind w:firstLine="472"/>
        <w:rPr>
          <w:color w:val="auto"/>
        </w:rPr>
      </w:pPr>
      <w:r>
        <w:rPr>
          <w:rFonts w:hint="eastAsia"/>
          <w:color w:val="auto"/>
        </w:rPr>
        <w:t>（1）从分包方取得的2016年4月30日前开具的建筑业营业税发票。上述建筑业营业税发票在2016年6月30日前可作为预缴税款的扣除凭证。</w:t>
      </w:r>
    </w:p>
    <w:p>
      <w:pPr>
        <w:ind w:firstLine="472"/>
        <w:rPr>
          <w:color w:val="auto"/>
        </w:rPr>
      </w:pPr>
      <w:r>
        <w:rPr>
          <w:rFonts w:hint="eastAsia"/>
          <w:color w:val="auto"/>
        </w:rPr>
        <w:t>（2）从分包方取得的2016年5月1日后开具的，备注栏注明建筑服务发生地所在县（市、区）、项目名称的增值税发票。</w:t>
      </w:r>
    </w:p>
    <w:p>
      <w:pPr>
        <w:ind w:firstLine="472"/>
        <w:rPr>
          <w:color w:val="auto"/>
        </w:rPr>
      </w:pPr>
      <w:r>
        <w:rPr>
          <w:rFonts w:hint="eastAsia"/>
          <w:color w:val="auto"/>
        </w:rPr>
        <w:t>（3）国家税务总局规定的其他凭证。</w:t>
      </w:r>
    </w:p>
    <w:p>
      <w:pPr>
        <w:ind w:firstLine="472"/>
        <w:rPr>
          <w:rFonts w:hint="eastAsia" w:eastAsia="宋体"/>
          <w:color w:val="auto"/>
          <w:lang w:eastAsia="zh-CN"/>
        </w:rPr>
      </w:pPr>
      <w:r>
        <w:rPr>
          <w:rFonts w:hint="eastAsia"/>
          <w:color w:val="auto"/>
        </w:rPr>
        <w:t>4.纳税人（不含其他个人）跨县（市）提供建筑服务：</w:t>
      </w:r>
    </w:p>
    <w:p>
      <w:pPr>
        <w:ind w:firstLine="472"/>
        <w:rPr>
          <w:color w:val="auto"/>
        </w:rPr>
      </w:pPr>
      <w:r>
        <w:rPr>
          <w:rFonts w:hint="eastAsia"/>
          <w:color w:val="auto"/>
        </w:rPr>
        <w:t>（1）向建筑服务发生地主管税务机关预缴的增值税税款，可以在当期增值税应纳税额中抵减，抵减不完的，结转下期继续抵减。纳税人以预缴税款抵减应纳税额，应以完税凭证作为合法有效凭证。</w:t>
      </w:r>
    </w:p>
    <w:p>
      <w:pPr>
        <w:ind w:firstLine="472"/>
        <w:rPr>
          <w:color w:val="auto"/>
        </w:rPr>
      </w:pPr>
      <w:r>
        <w:rPr>
          <w:rFonts w:hint="eastAsia"/>
          <w:color w:val="auto"/>
        </w:rPr>
        <w:t>（2）不能自行开具增值税发票的小规模纳税人，可向建筑服务发生地主管税务机关按照其取得的全部价款和价外费用申请代开增值税发票。</w:t>
      </w:r>
    </w:p>
    <w:p>
      <w:pPr>
        <w:ind w:firstLine="472"/>
        <w:rPr>
          <w:rFonts w:hint="eastAsia" w:eastAsia="宋体"/>
          <w:color w:val="auto"/>
          <w:lang w:eastAsia="zh-CN"/>
        </w:rPr>
      </w:pPr>
      <w:r>
        <w:rPr>
          <w:rFonts w:hint="eastAsia"/>
          <w:color w:val="auto"/>
        </w:rPr>
        <w:t>5.纳税人（不含其他个人）出租与机构所在地不在同一县（市）的不动产：</w:t>
      </w:r>
    </w:p>
    <w:p>
      <w:pPr>
        <w:ind w:firstLine="472"/>
        <w:rPr>
          <w:color w:val="auto"/>
        </w:rPr>
      </w:pPr>
      <w:r>
        <w:rPr>
          <w:rFonts w:hint="eastAsia"/>
          <w:color w:val="auto"/>
        </w:rPr>
        <w:t>（1）应在取得租金的次月纳税申报期或不动产所在地主管税务机关核定的纳税期限预缴税款。</w:t>
      </w:r>
    </w:p>
    <w:p>
      <w:pPr>
        <w:ind w:firstLine="472"/>
        <w:rPr>
          <w:color w:val="auto"/>
        </w:rPr>
      </w:pPr>
      <w:r>
        <w:rPr>
          <w:rFonts w:hint="eastAsia"/>
          <w:color w:val="auto"/>
        </w:rPr>
        <w:t>（2）向不动产所在地主管税务机关预缴的增值税款，可以在当期增值税应纳税额中抵减，抵减不完的，结转下期继续抵减。纳税人以预缴税款抵减应纳税额，应以完税凭证作为合法有效凭证。</w:t>
      </w:r>
    </w:p>
    <w:p>
      <w:pPr>
        <w:ind w:firstLine="472"/>
        <w:rPr>
          <w:color w:val="auto"/>
        </w:rPr>
      </w:pPr>
      <w:r>
        <w:rPr>
          <w:rFonts w:hint="eastAsia"/>
          <w:color w:val="auto"/>
        </w:rPr>
        <w:t>（3）不能自行开具增值税发票的小规模纳税人，可向不动产所在地主管税务机关申请代开增值税发票。</w:t>
      </w:r>
    </w:p>
    <w:p>
      <w:pPr>
        <w:ind w:firstLine="472"/>
        <w:rPr>
          <w:rFonts w:hint="eastAsia" w:eastAsia="宋体"/>
          <w:color w:val="auto"/>
          <w:lang w:eastAsia="zh-CN"/>
        </w:rPr>
      </w:pPr>
      <w:r>
        <w:rPr>
          <w:rFonts w:hint="eastAsia"/>
          <w:color w:val="auto"/>
        </w:rPr>
        <w:t>6.房地产开发企业预售自行开发的房地产项目：</w:t>
      </w:r>
    </w:p>
    <w:p>
      <w:pPr>
        <w:ind w:firstLine="472"/>
        <w:rPr>
          <w:color w:val="auto"/>
        </w:rPr>
      </w:pPr>
      <w:r>
        <w:rPr>
          <w:rFonts w:hint="eastAsia"/>
          <w:color w:val="auto"/>
        </w:rPr>
        <w:t>（1）纳税人应在取得预收款的次月纳税申报期向主管税务机关预缴税款。</w:t>
      </w:r>
    </w:p>
    <w:p>
      <w:pPr>
        <w:ind w:firstLine="472"/>
        <w:rPr>
          <w:color w:val="auto"/>
        </w:rPr>
      </w:pPr>
      <w:r>
        <w:rPr>
          <w:rFonts w:hint="eastAsia"/>
          <w:color w:val="auto"/>
        </w:rPr>
        <w:t>（2）向税务机关预缴的增值税税款，可以在当期增值税应纳税额中抵减，抵减不完的，结转下期继续抵减。纳税人以预缴税款抵减应纳税额，应以完税凭证作为合法有效凭证。</w:t>
      </w:r>
    </w:p>
    <w:p>
      <w:pPr>
        <w:ind w:firstLine="472"/>
        <w:rPr>
          <w:color w:val="auto"/>
        </w:rPr>
      </w:pPr>
      <w:r>
        <w:rPr>
          <w:rFonts w:hint="eastAsia"/>
          <w:color w:val="auto"/>
        </w:rPr>
        <w:t>（3）不能自行开具增值税发票的小规模纳税人，可向项目所在地主管税务机关申请代开增值税发票。</w:t>
      </w:r>
    </w:p>
    <w:p>
      <w:pPr>
        <w:ind w:firstLine="472"/>
        <w:rPr>
          <w:color w:val="auto"/>
        </w:rPr>
      </w:pPr>
      <w:r>
        <w:rPr>
          <w:rFonts w:hint="eastAsia"/>
          <w:color w:val="auto"/>
        </w:rPr>
        <w:t>7.纳税人对报送资料的真实性和合法性承担责任。</w:t>
      </w:r>
    </w:p>
    <w:p>
      <w:pPr>
        <w:ind w:firstLine="472"/>
        <w:jc w:val="left"/>
        <w:rPr>
          <w:color w:val="auto"/>
        </w:rPr>
      </w:pPr>
      <w:r>
        <w:rPr>
          <w:rFonts w:hint="eastAsia"/>
          <w:color w:val="auto"/>
        </w:rPr>
        <w:t>8</w:t>
      </w:r>
      <w:r>
        <w:rPr>
          <w:color w:val="auto"/>
        </w:rPr>
        <w:t>.</w:t>
      </w:r>
      <w:r>
        <w:rPr>
          <w:rFonts w:hint="eastAsia"/>
          <w:color w:val="auto"/>
        </w:rPr>
        <w:t>最多跑一次是在资料完整且符合法定受理条件的前提下，最多只需要到税务机关跑一次。</w:t>
      </w:r>
    </w:p>
    <w:p>
      <w:pPr>
        <w:ind w:firstLine="472"/>
        <w:jc w:val="left"/>
        <w:rPr>
          <w:color w:val="auto"/>
        </w:rPr>
      </w:pPr>
      <w:r>
        <w:rPr>
          <w:rFonts w:hint="eastAsia"/>
          <w:color w:val="auto"/>
        </w:rPr>
        <w:t>9.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91348"/>
    <w:multiLevelType w:val="multilevel"/>
    <w:tmpl w:val="1F791348"/>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2F653A2"/>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2019-10-31T03:43:45Z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