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cs="Times New Roman"/>
          <w:color w:val="auto"/>
        </w:rPr>
      </w:pPr>
      <w:bookmarkStart w:id="1" w:name="_GoBack"/>
      <w:bookmarkEnd w:id="1"/>
      <w:bookmarkStart w:id="0" w:name="_Toc1365"/>
      <w:r>
        <w:rPr>
          <w:rFonts w:hint="eastAsia" w:ascii="黑体" w:hAnsi="黑体" w:cs="黑体"/>
          <w:color w:val="auto"/>
        </w:rPr>
        <w:t>2</w:t>
      </w:r>
      <w:r>
        <w:rPr>
          <w:rFonts w:ascii="黑体" w:hAnsi="黑体" w:cs="黑体"/>
          <w:color w:val="auto"/>
        </w:rPr>
        <w:t>.1.15</w:t>
      </w:r>
      <w:r>
        <w:rPr>
          <w:rFonts w:hint="eastAsia"/>
          <w:color w:val="auto"/>
        </w:rPr>
        <w:t>股权转让电子台账信息采集</w:t>
      </w:r>
      <w:bookmarkEnd w:id="0"/>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一、事项名称</w:t>
      </w:r>
    </w:p>
    <w:p>
      <w:pPr>
        <w:ind w:firstLine="472"/>
        <w:rPr>
          <w:rFonts w:hint="eastAsia" w:eastAsia="宋体" w:cs="Times New Roman"/>
          <w:color w:val="auto"/>
        </w:rPr>
      </w:pPr>
      <w:r>
        <w:rPr>
          <w:rFonts w:hint="eastAsia"/>
          <w:color w:val="auto"/>
        </w:rPr>
        <w:t>股权转让电子台账信息采集</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ascii="等线 Light" w:hAnsi="等线 Light" w:eastAsia="黑体" w:cs="Times New Roman"/>
          <w:bCs/>
          <w:color w:val="auto"/>
          <w:kern w:val="2"/>
          <w:sz w:val="28"/>
          <w:szCs w:val="32"/>
          <w:lang w:val="en-US" w:eastAsia="zh-CN" w:bidi="ar-SA"/>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纳税人进行个人股权转让，依法完成申报纳税工作后，税务机关应当进行相关信息采集，建立股权转让个人所得税电子台账，将个人股东的相关信息录入征管信息系统，强化对每次股权转让间股权转让收入和股权原值的逻辑审核，对股权转让实施链条式动态管理。</w:t>
      </w:r>
    </w:p>
    <w:p>
      <w:pPr>
        <w:pStyle w:val="3"/>
        <w:ind w:firstLine="552"/>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ind w:firstLine="472"/>
        <w:rPr>
          <w:rFonts w:hint="eastAsia" w:eastAsia="宋体"/>
          <w:color w:val="auto"/>
          <w:lang w:eastAsia="zh-CN"/>
        </w:rPr>
      </w:pPr>
      <w:r>
        <w:rPr>
          <w:rFonts w:hint="eastAsia"/>
          <w:color w:val="auto"/>
          <w:lang w:val="en-US" w:eastAsia="zh-CN"/>
        </w:rPr>
        <w:t>1.</w:t>
      </w:r>
      <w:r>
        <w:rPr>
          <w:rFonts w:hint="eastAsia"/>
          <w:color w:val="auto"/>
        </w:rPr>
        <w:t>国家税务总局关于印发《税收征管操作规范》的通知</w:t>
      </w:r>
      <w:r>
        <w:rPr>
          <w:color w:val="auto"/>
        </w:rPr>
        <w:t>（税总发【2019】75号）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Arial"/>
                <w:color w:val="auto"/>
                <w:sz w:val="18"/>
                <w:szCs w:val="18"/>
              </w:rPr>
              <w:t>《个人所得税自行纳税申报表（A表）》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个人股权转让方自行申报股权转让所得时</w:t>
            </w: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Arial"/>
                <w:color w:val="auto"/>
                <w:sz w:val="18"/>
                <w:szCs w:val="18"/>
              </w:rPr>
              <w:t>《</w:t>
            </w:r>
            <w:r>
              <w:rPr>
                <w:rFonts w:hint="eastAsia" w:cs="Arial"/>
                <w:color w:val="auto"/>
                <w:sz w:val="18"/>
                <w:szCs w:val="18"/>
              </w:rPr>
              <w:t>个人所得税扣缴申报表</w:t>
            </w:r>
            <w:r>
              <w:rPr>
                <w:rFonts w:cs="Arial"/>
                <w:color w:val="auto"/>
                <w:sz w:val="18"/>
                <w:szCs w:val="18"/>
              </w:rPr>
              <w:t>》</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个人股权转让受让方扣缴转让方股权转让所得时</w:t>
            </w: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Arial"/>
                <w:color w:val="auto"/>
                <w:sz w:val="18"/>
                <w:szCs w:val="18"/>
              </w:rPr>
              <w:t>股东变更情况说明</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Arial"/>
                <w:color w:val="auto"/>
                <w:sz w:val="18"/>
                <w:szCs w:val="18"/>
              </w:rPr>
              <w:t>股权转让合同（协议）</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Arial"/>
                <w:color w:val="auto"/>
                <w:sz w:val="18"/>
                <w:szCs w:val="18"/>
              </w:rPr>
              <w:t>股权转让双方身份证明</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6</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Arial"/>
                <w:color w:val="auto"/>
                <w:sz w:val="18"/>
                <w:szCs w:val="18"/>
              </w:rPr>
              <w:t>计税依据明显偏低但有正当理由的证明材料</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计税依据明显偏低但有正当理由的</w:t>
            </w: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7</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Arial"/>
                <w:color w:val="auto"/>
                <w:sz w:val="18"/>
                <w:szCs w:val="18"/>
              </w:rPr>
              <w:t>具有法定资质的中介机构出具的净资产或土地房产等资产价值评估报告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被投资企业的土地使用权、房屋、房地产企业未销售房产、知识产权、探矿权、采矿权、股权等资产占企业总资产比例超过20%的</w:t>
            </w: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2"/>
        <w:rPr>
          <w:color w:val="auto"/>
        </w:rPr>
      </w:pPr>
    </w:p>
    <w:p>
      <w:pPr>
        <w:pStyle w:val="3"/>
        <w:ind w:firstLine="552"/>
        <w:rPr>
          <w:rFonts w:hint="eastAsia" w:eastAsia="黑体"/>
          <w:color w:val="auto"/>
          <w:lang w:val="en-US" w:eastAsia="zh-CN"/>
        </w:rPr>
      </w:pPr>
      <w:r>
        <w:rPr>
          <w:rFonts w:hint="eastAsia"/>
          <w:color w:val="auto"/>
        </w:rPr>
        <w:t>五</w:t>
      </w:r>
      <w:r>
        <w:rPr>
          <w:color w:val="auto"/>
        </w:rPr>
        <w:t>、办理</w:t>
      </w:r>
      <w:r>
        <w:rPr>
          <w:rFonts w:hint="eastAsia"/>
          <w:color w:val="auto"/>
          <w:lang w:val="en-US" w:eastAsia="zh-CN"/>
        </w:rPr>
        <w:t>流程</w:t>
      </w:r>
    </w:p>
    <w:p>
      <w:pPr>
        <w:numPr>
          <w:ilvl w:val="0"/>
          <w:numId w:val="0"/>
        </w:numPr>
        <w:spacing w:line="240" w:lineRule="auto"/>
        <w:ind w:firstLine="552"/>
        <w:jc w:val="center"/>
        <w:rPr>
          <w:color w:val="auto"/>
        </w:rPr>
      </w:pPr>
    </w:p>
    <w:p>
      <w:pPr>
        <w:numPr>
          <w:ilvl w:val="0"/>
          <w:numId w:val="0"/>
        </w:numPr>
        <w:spacing w:line="240" w:lineRule="auto"/>
        <w:ind w:firstLine="552" w:firstLineChars="0"/>
        <w:jc w:val="center"/>
        <w:rPr>
          <w:color w:val="auto"/>
        </w:rPr>
      </w:pPr>
      <w:r>
        <w:rPr>
          <w:color w:val="auto"/>
        </w:rPr>
        <w:object>
          <v:shape id="_x0000_i1146" o:spt="75" type="#_x0000_t75" style="height:103.6pt;width:417.45pt;" o:ole="t" filled="f" o:preferrelative="t" stroked="f" coordsize="21600,21600">
            <v:path/>
            <v:fill on="f" focussize="0,0"/>
            <v:stroke on="f"/>
            <v:imagedata r:id="rId11" o:title=""/>
            <o:lock v:ext="edit" aspectratio="f"/>
            <w10:wrap type="none"/>
            <w10:anchorlock/>
          </v:shape>
          <o:OLEObject Type="Embed" ProgID="Visio.Drawing.11" ShapeID="_x0000_i1146" DrawAspect="Content" ObjectID="_1468075725" r:id="rId10">
            <o:LockedField>false</o:LockedField>
          </o:OLEObject>
        </w:object>
      </w:r>
    </w:p>
    <w:p>
      <w:pPr>
        <w:numPr>
          <w:ilvl w:val="0"/>
          <w:numId w:val="0"/>
        </w:numPr>
        <w:spacing w:line="240" w:lineRule="auto"/>
        <w:ind w:firstLine="552"/>
        <w:jc w:val="center"/>
        <w:rPr>
          <w:rStyle w:val="16"/>
          <w:bCs w:val="0"/>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eastAsia="宋体"/>
          <w:color w:val="auto"/>
          <w:lang w:eastAsia="zh-CN"/>
        </w:rPr>
      </w:pPr>
      <w:r>
        <w:rPr>
          <w:rFonts w:hint="eastAsia"/>
          <w:color w:val="auto"/>
        </w:rPr>
        <w:t>1.</w:t>
      </w:r>
      <w:r>
        <w:rPr>
          <w:rFonts w:hint="eastAsia"/>
          <w:color w:val="auto"/>
          <w:lang w:val="en-US" w:eastAsia="zh-CN"/>
        </w:rPr>
        <w:t>A06442</w:t>
      </w:r>
      <w:r>
        <w:rPr>
          <w:rFonts w:hint="eastAsia"/>
          <w:color w:val="auto"/>
        </w:rPr>
        <w:t>《个人所得税自行纳税申报表（A表）》</w:t>
      </w:r>
      <w:r>
        <w:rPr>
          <w:rFonts w:hint="eastAsia"/>
          <w:color w:val="auto"/>
          <w:lang w:eastAsia="zh-CN"/>
        </w:rPr>
        <w:t>（</w:t>
      </w:r>
      <w:r>
        <w:rPr>
          <w:rFonts w:hint="eastAsia"/>
          <w:color w:val="auto"/>
          <w:lang w:val="en-US" w:eastAsia="zh-CN"/>
        </w:rPr>
        <w:t>A06442</w:t>
      </w:r>
      <w:r>
        <w:rPr>
          <w:rFonts w:hint="eastAsia"/>
          <w:color w:val="auto"/>
          <w:lang w:eastAsia="zh-CN"/>
        </w:rPr>
        <w:t>《个人所得税自行纳税申报表（A表）》（填写样例））</w:t>
      </w:r>
    </w:p>
    <w:p>
      <w:pPr>
        <w:ind w:firstLine="471" w:firstLineChars="0"/>
        <w:rPr>
          <w:rFonts w:hint="eastAsia"/>
          <w:color w:val="auto"/>
        </w:rPr>
      </w:pPr>
      <w:r>
        <w:rPr>
          <w:rFonts w:hint="eastAsia"/>
          <w:color w:val="auto"/>
          <w:lang w:val="en-US" w:eastAsia="zh-CN"/>
        </w:rPr>
        <w:t>2</w:t>
      </w:r>
      <w:r>
        <w:rPr>
          <w:rFonts w:hint="eastAsia"/>
          <w:color w:val="auto"/>
        </w:rPr>
        <w:t>.A06868《个人所得税扣缴申报表》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1.上述资料若为个人所得税自行申报或代扣代缴事项已经报送的资料，应当直接采用，不必在本事项重复报送。</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jc w:val="left"/>
        <w:rPr>
          <w:rFonts w:hint="eastAsia" w:eastAsia="宋体"/>
          <w:color w:val="auto"/>
          <w:lang w:eastAsia="zh-CN"/>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ind w:firstLine="480"/>
        <w:rPr>
          <w:color w:val="auto"/>
        </w:rPr>
      </w:pPr>
    </w:p>
    <w:p>
      <w:pPr>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CD473B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2019-10-31T04:55:33Z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