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5998"/>
      <w:r>
        <w:rPr>
          <w:rFonts w:hint="eastAsia" w:ascii="黑体" w:hAnsi="黑体"/>
          <w:color w:val="auto"/>
        </w:rPr>
        <w:t>1.3.6城镇土地使用税房产税申报</w:t>
      </w:r>
      <w:bookmarkEnd w:id="0"/>
    </w:p>
    <w:p>
      <w:pPr>
        <w:pStyle w:val="3"/>
        <w:ind w:firstLine="552"/>
        <w:rPr>
          <w:color w:val="auto"/>
        </w:rPr>
      </w:pPr>
      <w:r>
        <w:rPr>
          <w:color w:val="auto"/>
        </w:rPr>
        <w:t>一、事项名称</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城镇土地使用税房产税申报</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pStyle w:val="47"/>
        <w:ind w:firstLineChars="0"/>
        <w:rPr>
          <w:color w:val="auto"/>
        </w:rPr>
      </w:pPr>
      <w:r>
        <w:rPr>
          <w:rFonts w:hint="eastAsia"/>
          <w:bCs/>
          <w:color w:val="auto"/>
        </w:rPr>
        <w:t>1.</w:t>
      </w:r>
      <w:r>
        <w:rPr>
          <w:rFonts w:hint="eastAsia"/>
          <w:color w:val="auto"/>
        </w:rPr>
        <w:t>产权所有人、经营管理单位、承典人、房产代管人或者使用人，应依照税收法律、法规、规章及其他有、县城、建制镇和工矿区征收。房产税由产权所有人缴纳。产权属于全民所有的，由经营管理关规定，在规定的纳税期限内，填报《城镇土地使用税</w:t>
      </w:r>
      <w:r>
        <w:rPr>
          <w:color w:val="auto"/>
        </w:rPr>
        <w:t>房产税纳税申报表》和要求的相关资料向税务机关进行纳税申报。</w:t>
      </w:r>
    </w:p>
    <w:p>
      <w:pPr>
        <w:pStyle w:val="47"/>
        <w:ind w:firstLineChars="0"/>
        <w:rPr>
          <w:color w:val="auto"/>
        </w:rPr>
      </w:pPr>
      <w:r>
        <w:rPr>
          <w:rFonts w:hint="eastAsia"/>
          <w:bCs/>
          <w:color w:val="auto"/>
        </w:rPr>
        <w:t>2.</w:t>
      </w:r>
      <w:r>
        <w:rPr>
          <w:rFonts w:hint="eastAsia"/>
          <w:color w:val="auto"/>
        </w:rPr>
        <w:t>房产税在城市的单位缴纳。产权出典的，由承典人缴纳。产权所有人、承典人不在房产所在地的，或者产权未确定及租典纠纷未解决的，由房产代管人或者使用人缴纳。产权所有人、经营管理单位、承典人、房产代管人或者使用人，统称为纳税义务人。自</w:t>
      </w:r>
      <w:r>
        <w:rPr>
          <w:color w:val="auto"/>
        </w:rPr>
        <w:t>2009年1月1日起，外商投资企业、外国企业和组织以及外籍个人，依照《中华人民共和国房产税暂行条例》缴纳房产税。房产税按年征收、分期缴纳。纳税期限由省、自治区、直辖市人民政府规定。营业税改征增值税后，房产出</w:t>
      </w:r>
      <w:r>
        <w:rPr>
          <w:rFonts w:hint="eastAsia"/>
          <w:color w:val="auto"/>
        </w:rPr>
        <w:t>租的，计征房产税的租金收入不含增值税；免征增值税的，确定计税依据时，租金收入不扣减增值税额；税务机关核定房产税出租的计税价格或收入不含增值税。</w:t>
      </w:r>
    </w:p>
    <w:p>
      <w:pPr>
        <w:pStyle w:val="47"/>
        <w:ind w:firstLineChars="0"/>
        <w:rPr>
          <w:color w:val="auto"/>
        </w:rPr>
      </w:pPr>
      <w:r>
        <w:rPr>
          <w:color w:val="auto"/>
        </w:rPr>
        <w:t>3.在城市、县城、建制镇、工矿区范围内使用土地的单位和个人应当依照税收法律、法规、规章及其他有关规定，在规定的纳税期限内，填报《城镇土地使用税房产税纳税申报表》向税务机关进行纳税申报缴纳城镇土地使用税。</w:t>
      </w:r>
    </w:p>
    <w:p>
      <w:pPr>
        <w:pStyle w:val="47"/>
        <w:ind w:firstLineChars="0"/>
        <w:rPr>
          <w:color w:val="auto"/>
        </w:rPr>
      </w:pPr>
      <w:r>
        <w:rPr>
          <w:rFonts w:hint="eastAsia"/>
          <w:color w:val="auto"/>
        </w:rPr>
        <w:t>单位，包括国有企业、集体企业、私营企业、股份制企业、外商投资企业、外国企业以及其他企业和事业单位、社会团体、国家机关、军队以及其他单位；个人，包括个体工商户以及其他个人。土地使用税按年计算、分期缴纳。缴纳期限由省、自治区、直辖市人民政府确定。</w:t>
      </w:r>
    </w:p>
    <w:p>
      <w:pPr>
        <w:pStyle w:val="47"/>
        <w:ind w:firstLineChars="0"/>
        <w:rPr>
          <w:color w:val="auto"/>
        </w:rPr>
      </w:pPr>
      <w:r>
        <w:rPr>
          <w:color w:val="auto"/>
        </w:rPr>
        <w:t>4.自2019年1月1日至2021年12月31日，对增值税小规模纳税人按50%的税额幅度减征房产税、城镇土地使用税。纳税人可以叠加享受以前出台的优惠政策和增值税小规模纳税人优惠政策，增值税小规模纳税人优惠政策在计算应纳税额、其他政策减免税额之后叠加。</w:t>
      </w:r>
    </w:p>
    <w:p>
      <w:pPr>
        <w:pStyle w:val="3"/>
        <w:ind w:firstLine="552"/>
        <w:rPr>
          <w:color w:val="auto"/>
        </w:rPr>
      </w:pPr>
      <w:r>
        <w:rPr>
          <w:rFonts w:hint="eastAsia"/>
          <w:color w:val="auto"/>
        </w:rPr>
        <w:t>四、设定依据</w:t>
      </w:r>
    </w:p>
    <w:p>
      <w:pPr>
        <w:ind w:firstLine="472"/>
        <w:rPr>
          <w:color w:val="auto"/>
        </w:rPr>
      </w:pPr>
      <w:r>
        <w:rPr>
          <w:color w:val="auto"/>
        </w:rPr>
        <w:t>1.《中华人民共和国税收征收管理法》第二十五条第一款</w:t>
      </w:r>
    </w:p>
    <w:p>
      <w:pPr>
        <w:ind w:firstLine="472"/>
        <w:rPr>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color w:val="auto"/>
        </w:rPr>
      </w:pPr>
      <w:r>
        <w:rPr>
          <w:color w:val="auto"/>
        </w:rPr>
        <w:t>2.《中华人民共和国城镇土地使用税暂行条例》第一条</w:t>
      </w:r>
    </w:p>
    <w:p>
      <w:pPr>
        <w:ind w:firstLine="472"/>
        <w:rPr>
          <w:color w:val="auto"/>
        </w:rPr>
      </w:pPr>
      <w:r>
        <w:rPr>
          <w:color w:val="auto"/>
        </w:rPr>
        <w:t>“第一条　为了合理利用城镇土地，调节土地级差收入，提高土地使用效益，加强土地管理，制定本条例。”</w:t>
      </w:r>
    </w:p>
    <w:p>
      <w:pPr>
        <w:ind w:firstLine="472"/>
        <w:rPr>
          <w:color w:val="auto"/>
        </w:rPr>
      </w:pPr>
      <w:r>
        <w:rPr>
          <w:color w:val="auto"/>
        </w:rPr>
        <w:t>3.《中华人民共和国城镇土地使用税暂行条例》第二条　</w:t>
      </w:r>
    </w:p>
    <w:p>
      <w:pPr>
        <w:ind w:firstLine="472"/>
        <w:rPr>
          <w:color w:val="auto"/>
        </w:rPr>
      </w:pPr>
      <w:r>
        <w:rPr>
          <w:rFonts w:hint="eastAsia"/>
          <w:color w:val="auto"/>
        </w:rPr>
        <w:t>“在城市、县城、建制镇、工矿区范围内使用土地的单位和个人，为城镇土地使用税</w:t>
      </w:r>
      <w:r>
        <w:rPr>
          <w:color w:val="auto"/>
        </w:rPr>
        <w:t>(以下简称土地使用税)的纳税人，应当依照本条例的规定缴纳土地使用税。</w:t>
      </w:r>
    </w:p>
    <w:p>
      <w:pPr>
        <w:ind w:firstLine="472"/>
        <w:rPr>
          <w:color w:val="auto"/>
        </w:rPr>
      </w:pPr>
      <w:r>
        <w:rPr>
          <w:rFonts w:hint="eastAsia"/>
          <w:color w:val="auto"/>
        </w:rPr>
        <w:t>前款所称单位，包括国有企业、集体企业、私营企业、股份制企业、外商投资企业、外国企业以及其他企业和事业单位、社会团体、国家机关、军队以及其他单位；所称个人，包括个体工商户以及其他个人。”</w:t>
      </w:r>
    </w:p>
    <w:p>
      <w:pPr>
        <w:ind w:firstLine="472"/>
        <w:rPr>
          <w:color w:val="auto"/>
        </w:rPr>
      </w:pPr>
      <w:r>
        <w:rPr>
          <w:color w:val="auto"/>
        </w:rPr>
        <w:t>4.《中华人民共和国城镇土地使用税暂行条例》第八条　</w:t>
      </w:r>
    </w:p>
    <w:p>
      <w:pPr>
        <w:ind w:firstLine="472"/>
        <w:rPr>
          <w:color w:val="auto"/>
        </w:rPr>
      </w:pPr>
      <w:r>
        <w:rPr>
          <w:rFonts w:hint="eastAsia"/>
          <w:color w:val="auto"/>
        </w:rPr>
        <w:t>“土地使用税按年计算、分期缴纳。缴纳期限由省、自治区、直辖市人民政府确定。”</w:t>
      </w:r>
    </w:p>
    <w:p>
      <w:pPr>
        <w:ind w:firstLine="472"/>
        <w:rPr>
          <w:color w:val="auto"/>
        </w:rPr>
      </w:pPr>
      <w:r>
        <w:rPr>
          <w:color w:val="auto"/>
        </w:rPr>
        <w:t>5.《中华人民共和国房产税暂行条例》第一条</w:t>
      </w:r>
    </w:p>
    <w:p>
      <w:pPr>
        <w:ind w:firstLine="472"/>
        <w:rPr>
          <w:color w:val="auto"/>
        </w:rPr>
      </w:pPr>
      <w:r>
        <w:rPr>
          <w:rFonts w:hint="eastAsia"/>
          <w:color w:val="auto"/>
        </w:rPr>
        <w:t>“房产税在城市、县城、建制镇和工矿区征收。”</w:t>
      </w:r>
    </w:p>
    <w:p>
      <w:pPr>
        <w:ind w:firstLine="472"/>
        <w:rPr>
          <w:color w:val="auto"/>
        </w:rPr>
      </w:pPr>
      <w:r>
        <w:rPr>
          <w:color w:val="auto"/>
        </w:rPr>
        <w:t>6.《中华人民共和国房产税暂行条例》第二条　</w:t>
      </w:r>
    </w:p>
    <w:p>
      <w:pPr>
        <w:ind w:firstLine="472"/>
        <w:rPr>
          <w:color w:val="auto"/>
        </w:rPr>
      </w:pPr>
      <w:r>
        <w:rPr>
          <w:rFonts w:hint="eastAsia"/>
          <w:color w:val="auto"/>
        </w:rPr>
        <w:t>“房产税由产权所有人缴纳。产权属于全民所有的，由经营管理的单位缴纳。产权出典的，由承典人缴纳。产权所有人、承典人不在房产所在地的，或者产权未确定及租典纠纷未解决的，由房产代管人或者使用人缴纳。</w:t>
      </w:r>
    </w:p>
    <w:p>
      <w:pPr>
        <w:ind w:firstLine="0" w:firstLineChars="0"/>
        <w:rPr>
          <w:color w:val="auto"/>
        </w:rPr>
      </w:pPr>
      <w:r>
        <w:rPr>
          <w:color w:val="auto"/>
        </w:rPr>
        <w:t>前款列举的产权所有人、经营管理单位、承典人、房产代管人或者使用人，统称为纳税义务人（以下简称纳税人）。”</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s="宋体"/>
                <w:color w:val="auto"/>
                <w:kern w:val="0"/>
                <w:sz w:val="18"/>
                <w:szCs w:val="18"/>
              </w:rPr>
              <w:t>《城镇土地使用税房产税纳税申报表》</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条件报送</w:t>
            </w:r>
          </w:p>
        </w:tc>
        <w:tc>
          <w:tcPr>
            <w:tcW w:w="1134"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免填单，签字确认</w:t>
            </w:r>
          </w:p>
        </w:tc>
        <w:tc>
          <w:tcPr>
            <w:tcW w:w="1134" w:type="dxa"/>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s="微软雅黑"/>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s="宋体"/>
                <w:color w:val="auto"/>
                <w:kern w:val="0"/>
                <w:sz w:val="18"/>
                <w:szCs w:val="18"/>
              </w:rPr>
              <w:t>《城镇土地使用税房产税税源明细表》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首次申报或税源信息发生变化时</w:t>
            </w:r>
          </w:p>
        </w:tc>
        <w:tc>
          <w:tcPr>
            <w:tcW w:w="1134" w:type="dxa"/>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s="微软雅黑"/>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widowControl/>
              <w:spacing w:line="280" w:lineRule="exact"/>
              <w:ind w:firstLine="0" w:firstLineChars="0"/>
              <w:rPr>
                <w:rFonts w:cs="宋体"/>
                <w:color w:val="auto"/>
                <w:kern w:val="0"/>
                <w:sz w:val="18"/>
                <w:szCs w:val="18"/>
              </w:rPr>
            </w:pPr>
            <w:r>
              <w:rPr>
                <w:rFonts w:hint="eastAsia"/>
                <w:color w:val="auto"/>
                <w:sz w:val="18"/>
                <w:szCs w:val="18"/>
              </w:rPr>
              <w:t>《城镇土地使用税房产税减免税明细申报表》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不支持免填服务的税务机关所辖的城镇土地使用税、房产税纳税</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人享受税收减免的</w:t>
            </w:r>
          </w:p>
        </w:tc>
        <w:tc>
          <w:tcPr>
            <w:tcW w:w="1134" w:type="dxa"/>
            <w:vAlign w:val="center"/>
          </w:tcPr>
          <w:p>
            <w:pPr>
              <w:pStyle w:val="13"/>
              <w:widowControl/>
              <w:spacing w:before="100" w:beforeAutospacing="0" w:after="10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olor w:val="auto"/>
                <w:sz w:val="18"/>
                <w:szCs w:val="18"/>
              </w:rPr>
            </w:pPr>
            <w:r>
              <w:rPr>
                <w:rStyle w:val="17"/>
                <w:rFonts w:hint="eastAsia" w:ascii="宋体" w:hAnsi="宋体" w:eastAsia="宋体" w:cs="微软雅黑"/>
                <w:color w:val="auto"/>
                <w:sz w:val="18"/>
                <w:szCs w:val="18"/>
              </w:rPr>
              <w:t>4</w:t>
            </w:r>
          </w:p>
        </w:tc>
        <w:tc>
          <w:tcPr>
            <w:tcW w:w="2551" w:type="dxa"/>
            <w:shd w:val="clear" w:color="auto" w:fill="auto"/>
            <w:vAlign w:val="center"/>
          </w:tcPr>
          <w:p>
            <w:pPr>
              <w:widowControl/>
              <w:spacing w:line="280" w:lineRule="exact"/>
              <w:ind w:firstLine="0" w:firstLineChars="0"/>
              <w:jc w:val="left"/>
              <w:rPr>
                <w:color w:val="auto"/>
                <w:sz w:val="18"/>
                <w:szCs w:val="18"/>
              </w:rPr>
            </w:pPr>
            <w:r>
              <w:rPr>
                <w:rFonts w:hint="eastAsia"/>
                <w:color w:val="auto"/>
                <w:sz w:val="18"/>
                <w:szCs w:val="18"/>
              </w:rPr>
              <w:t>不动产权证（房屋产权证、土地使用权证）或购房合同、发票等证明房地产权属的材料、房屋租赁合同原件</w:t>
            </w:r>
            <w:r>
              <w:rPr>
                <w:color w:val="auto"/>
                <w:sz w:val="18"/>
                <w:szCs w:val="18"/>
              </w:rPr>
              <w:t>及复印件</w:t>
            </w:r>
          </w:p>
        </w:tc>
        <w:tc>
          <w:tcPr>
            <w:tcW w:w="709"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color w:val="auto"/>
                <w:sz w:val="18"/>
                <w:szCs w:val="18"/>
              </w:rPr>
            </w:pPr>
            <w:r>
              <w:rPr>
                <w:rFonts w:hint="eastAsia" w:cs="宋体"/>
                <w:color w:val="auto"/>
                <w:kern w:val="0"/>
                <w:sz w:val="18"/>
                <w:szCs w:val="18"/>
              </w:rPr>
              <w:t>首次进行纳税申报的纳税人，或纳税人的税源发生变化时</w:t>
            </w:r>
          </w:p>
        </w:tc>
        <w:tc>
          <w:tcPr>
            <w:tcW w:w="1134" w:type="dxa"/>
            <w:vAlign w:val="center"/>
          </w:tcPr>
          <w:p>
            <w:pPr>
              <w:pStyle w:val="13"/>
              <w:widowControl/>
              <w:spacing w:before="100" w:beforeAutospacing="0" w:after="100" w:afterAutospacing="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查验后返还、税务机关留存复印件</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48" o:spid="_x0000_s1048" o:spt="75" type="#_x0000_t75" style="position:absolute;left:0pt;margin-left:8.6pt;margin-top:16.6pt;height:104.45pt;width:439.3pt;mso-wrap-distance-bottom:0pt;mso-wrap-distance-left:9pt;mso-wrap-distance-right:9pt;mso-wrap-distance-top:0pt;z-index:251728896;mso-width-relative:page;mso-height-relative:page;" o:ole="t" filled="f" o:preferrelative="t" stroked="f" coordsize="21600,21600">
            <v:path/>
            <v:fill on="f" focussize="0,0"/>
            <v:stroke on="f" joinstyle="miter"/>
            <v:imagedata r:id="rId10" o:title=""/>
            <o:lock v:ext="edit" aspectratio="f"/>
            <w10:wrap type="square"/>
          </v:shape>
          <o:OLEObject Type="Embed" ProgID="Visio.Drawing.11" ShapeID="_x0000_s1048" DrawAspect="Content" ObjectID="_1468075725">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color w:val="auto"/>
        </w:rPr>
        <w:t>1．</w:t>
      </w:r>
      <w:r>
        <w:rPr>
          <w:rFonts w:hint="eastAsia"/>
          <w:color w:val="auto"/>
        </w:rPr>
        <w:t>《城镇土地使用税</w:t>
      </w:r>
      <w:r>
        <w:rPr>
          <w:color w:val="auto"/>
        </w:rPr>
        <w:t>房产税纳税申报表》</w:t>
      </w:r>
    </w:p>
    <w:p>
      <w:pPr>
        <w:ind w:firstLine="472"/>
        <w:rPr>
          <w:color w:val="auto"/>
        </w:rPr>
      </w:pPr>
      <w:r>
        <w:rPr>
          <w:rFonts w:hint="eastAsia"/>
          <w:color w:val="auto"/>
        </w:rPr>
        <w:t>2.《城镇土地使用税</w:t>
      </w:r>
      <w:r>
        <w:rPr>
          <w:color w:val="auto"/>
        </w:rPr>
        <w:t>房产税税源明细表》</w:t>
      </w:r>
    </w:p>
    <w:p>
      <w:pPr>
        <w:ind w:firstLine="472"/>
        <w:rPr>
          <w:rFonts w:hint="eastAsia"/>
          <w:color w:val="auto"/>
        </w:rPr>
      </w:pPr>
      <w:r>
        <w:rPr>
          <w:rFonts w:hint="eastAsia"/>
          <w:color w:val="auto"/>
        </w:rPr>
        <w:t>3.《城镇土地使用税</w:t>
      </w:r>
      <w:r>
        <w:rPr>
          <w:color w:val="auto"/>
        </w:rPr>
        <w:t>房产税减免税明细申报表》</w:t>
      </w:r>
    </w:p>
    <w:p>
      <w:pPr>
        <w:ind w:firstLine="552"/>
        <w:rPr>
          <w:rFonts w:eastAsia="黑体" w:asciiTheme="majorHAnsi" w:hAnsiTheme="majorHAnsi" w:cstheme="majorBidi"/>
          <w:bCs/>
          <w:color w:val="auto"/>
          <w:sz w:val="28"/>
          <w:szCs w:val="32"/>
        </w:rPr>
      </w:pPr>
      <w:r>
        <w:rPr>
          <w:rFonts w:hint="eastAsia" w:eastAsia="黑体" w:asciiTheme="majorHAnsi" w:hAnsiTheme="majorHAnsi" w:cstheme="majorBidi"/>
          <w:bCs/>
          <w:color w:val="auto"/>
          <w:sz w:val="28"/>
          <w:szCs w:val="32"/>
        </w:rPr>
        <w:t>九、注意事项</w:t>
      </w:r>
    </w:p>
    <w:p>
      <w:pPr>
        <w:ind w:firstLine="472"/>
        <w:rPr>
          <w:rFonts w:hint="eastAsia" w:eastAsia="宋体"/>
          <w:color w:val="auto"/>
          <w:lang w:eastAsia="zh-CN"/>
        </w:rPr>
      </w:pPr>
      <w:r>
        <w:rPr>
          <w:color w:val="auto"/>
        </w:rPr>
        <w:t>1．纳税人申报应重点关注数据逻辑关系是否正确。如税源明细表和申报表间的逻辑关系，以及从价计征和从租计征房产税税源明细的逻辑关系等。</w:t>
      </w:r>
    </w:p>
    <w:p>
      <w:pPr>
        <w:ind w:firstLine="472"/>
        <w:rPr>
          <w:color w:val="auto"/>
        </w:rPr>
      </w:pPr>
      <w:r>
        <w:rPr>
          <w:rFonts w:hint="eastAsia"/>
          <w:bCs/>
          <w:color w:val="auto"/>
        </w:rPr>
        <w:t>2</w:t>
      </w:r>
      <w:r>
        <w:rPr>
          <w:color w:val="auto"/>
        </w:rPr>
        <w:t>.纳税人首次进行房产税、城镇土地使用税申报时，应录入房产、土地相关信息。</w:t>
      </w:r>
    </w:p>
    <w:p>
      <w:pPr>
        <w:ind w:firstLine="472"/>
        <w:rPr>
          <w:color w:val="auto"/>
        </w:rPr>
      </w:pPr>
      <w:r>
        <w:rPr>
          <w:rFonts w:hint="eastAsia"/>
          <w:bCs/>
          <w:color w:val="auto"/>
        </w:rPr>
        <w:t>3</w:t>
      </w:r>
      <w:r>
        <w:rPr>
          <w:color w:val="auto"/>
        </w:rPr>
        <w:t>.根据应补税额判断是否需要缴款开票；对于应补税额大于零的，办理“缴款开票”业务。</w:t>
      </w:r>
    </w:p>
    <w:p>
      <w:pPr>
        <w:ind w:firstLine="472"/>
        <w:rPr>
          <w:color w:val="auto"/>
        </w:rPr>
      </w:pPr>
      <w:r>
        <w:rPr>
          <w:color w:val="auto"/>
        </w:rPr>
        <w:t>4.纳税人既有应退税款又有欠缴税款的，可以办理“抵缴欠税”业务。</w:t>
      </w:r>
    </w:p>
    <w:p>
      <w:pPr>
        <w:ind w:firstLine="472"/>
        <w:rPr>
          <w:color w:val="auto"/>
        </w:rPr>
      </w:pPr>
      <w:r>
        <w:rPr>
          <w:color w:val="auto"/>
        </w:rPr>
        <w:t>5.纳税人对报送资料的真实性和合法性承担责任。</w:t>
      </w:r>
    </w:p>
    <w:p>
      <w:pPr>
        <w:ind w:firstLine="472"/>
        <w:rPr>
          <w:color w:val="auto"/>
        </w:rPr>
      </w:pPr>
      <w:r>
        <w:rPr>
          <w:color w:val="auto"/>
        </w:rPr>
        <w:t>6.最多跑一次是在资料完整且符合法定受理条件的前提下，最多只需要到税务机关跑一次。</w:t>
      </w:r>
    </w:p>
    <w:p>
      <w:pPr>
        <w:ind w:firstLine="472"/>
        <w:rPr>
          <w:color w:val="auto"/>
        </w:rPr>
      </w:pPr>
      <w:r>
        <w:rPr>
          <w:rFonts w:hint="eastAsia"/>
          <w:color w:val="auto"/>
        </w:rPr>
        <w:t>7.</w:t>
      </w:r>
      <w:r>
        <w:rPr>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C524F6F"/>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2019-10-31T06:23:51Z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