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4137"/>
      <w:r>
        <w:rPr>
          <w:rFonts w:hint="eastAsia" w:ascii="黑体" w:hAnsi="黑体"/>
          <w:color w:val="auto"/>
        </w:rPr>
        <w:t>1.2.1.10发票担保</w:t>
      </w:r>
      <w:bookmarkEnd w:id="0"/>
    </w:p>
    <w:p>
      <w:pPr>
        <w:pStyle w:val="3"/>
        <w:ind w:firstLine="552"/>
        <w:rPr>
          <w:color w:val="auto"/>
        </w:rPr>
      </w:pPr>
      <w:r>
        <w:rPr>
          <w:color w:val="auto"/>
        </w:rPr>
        <w:t>一、事项名称</w:t>
      </w:r>
    </w:p>
    <w:p>
      <w:pPr>
        <w:ind w:firstLine="472"/>
        <w:rPr>
          <w:color w:val="auto"/>
        </w:rPr>
      </w:pPr>
      <w:r>
        <w:rPr>
          <w:rFonts w:hint="eastAsia"/>
          <w:color w:val="auto"/>
        </w:rPr>
        <w:t>发票担保</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办结方式：限时办结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最多跑一次：否</w:t>
      </w:r>
    </w:p>
    <w:p>
      <w:pPr>
        <w:pStyle w:val="3"/>
        <w:ind w:firstLine="552"/>
        <w:rPr>
          <w:color w:val="auto"/>
        </w:rPr>
      </w:pPr>
      <w:r>
        <w:rPr>
          <w:rFonts w:hint="eastAsia"/>
          <w:color w:val="auto"/>
        </w:rPr>
        <w:t>三、办理条件</w:t>
      </w:r>
    </w:p>
    <w:p>
      <w:pPr>
        <w:ind w:firstLine="472"/>
        <w:rPr>
          <w:color w:val="auto"/>
        </w:rPr>
      </w:pPr>
      <w:r>
        <w:rPr>
          <w:rFonts w:hint="eastAsia"/>
          <w:color w:val="auto"/>
        </w:rPr>
        <w:t>税务机关对外省、自治区、直辖市来本辖区从事临时经营活动的单位和个人申请领用发票的，税务机关可以要求其提供保证人或者根据所领用发票的票面限额及数量缴纳不超过１万元的保证金，并限期缴销发票。</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1.《中华人民共和国发票管理办法》（中华人民共和国国务院令第587号）第十八条</w:t>
      </w:r>
    </w:p>
    <w:p>
      <w:pPr>
        <w:adjustRightInd w:val="0"/>
        <w:snapToGrid w:val="0"/>
        <w:ind w:firstLine="472"/>
        <w:rPr>
          <w:color w:val="auto"/>
        </w:rPr>
      </w:pPr>
      <w:r>
        <w:rPr>
          <w:rFonts w:hint="eastAsia"/>
          <w:color w:val="auto"/>
        </w:rPr>
        <w:t>“临时到本省、自治区、直辖市行政区域以外从事经营活动的单位或者个人，应当凭所在地税务机关的证明，向经营地税务机关申请领购经营地的发票。</w:t>
      </w:r>
    </w:p>
    <w:p>
      <w:pPr>
        <w:adjustRightInd w:val="0"/>
        <w:snapToGrid w:val="0"/>
        <w:ind w:firstLine="472"/>
        <w:rPr>
          <w:color w:val="auto"/>
        </w:rPr>
      </w:pPr>
      <w:r>
        <w:rPr>
          <w:rFonts w:hint="eastAsia"/>
          <w:color w:val="auto"/>
        </w:rPr>
        <w:t>临时在本省、自治区、直辖市以内跨市、县从事经营活动领购发票的办法，由省、自治区、直辖市税务机关规定。”</w:t>
      </w:r>
    </w:p>
    <w:p>
      <w:pPr>
        <w:adjustRightInd w:val="0"/>
        <w:snapToGrid w:val="0"/>
        <w:ind w:firstLine="472"/>
        <w:rPr>
          <w:color w:val="auto"/>
        </w:rPr>
      </w:pPr>
      <w:r>
        <w:rPr>
          <w:rFonts w:hint="eastAsia"/>
          <w:color w:val="auto"/>
        </w:rPr>
        <w:t>2.《中华人民共和国发票管理办法实施细则》（国家税务总局令第37号）第二十一条，第二十二条，第二十三条</w:t>
      </w:r>
    </w:p>
    <w:p>
      <w:pPr>
        <w:adjustRightInd w:val="0"/>
        <w:snapToGrid w:val="0"/>
        <w:ind w:firstLine="472"/>
        <w:rPr>
          <w:color w:val="auto"/>
        </w:rPr>
      </w:pPr>
      <w:r>
        <w:rPr>
          <w:rFonts w:hint="eastAsia"/>
          <w:color w:val="auto"/>
        </w:rPr>
        <w:t>“第二十一条《办法》第十八条所称保证人，是指在中国境内具有担保能力的公民、法人或者其他经济组织。</w:t>
      </w:r>
    </w:p>
    <w:p>
      <w:pPr>
        <w:adjustRightInd w:val="0"/>
        <w:snapToGrid w:val="0"/>
        <w:ind w:firstLine="472"/>
        <w:rPr>
          <w:color w:val="auto"/>
        </w:rPr>
      </w:pPr>
      <w:r>
        <w:rPr>
          <w:rFonts w:hint="eastAsia"/>
          <w:color w:val="auto"/>
        </w:rPr>
        <w:t>保证人同意为领购发票的单位和个人提供担保的，应当填写担保书。担保书内容包括：担保对象、范围、期限和责任以及其他有关事项。</w:t>
      </w:r>
    </w:p>
    <w:p>
      <w:pPr>
        <w:adjustRightInd w:val="0"/>
        <w:snapToGrid w:val="0"/>
        <w:ind w:firstLine="472"/>
        <w:rPr>
          <w:color w:val="auto"/>
        </w:rPr>
      </w:pPr>
      <w:r>
        <w:rPr>
          <w:rFonts w:hint="eastAsia"/>
          <w:color w:val="auto"/>
        </w:rPr>
        <w:t>担保书须经购票人、保证人和税务机关签字盖章后方为有效。</w:t>
      </w:r>
    </w:p>
    <w:p>
      <w:pPr>
        <w:adjustRightInd w:val="0"/>
        <w:snapToGrid w:val="0"/>
        <w:ind w:firstLine="472"/>
        <w:rPr>
          <w:color w:val="auto"/>
        </w:rPr>
      </w:pPr>
      <w:r>
        <w:rPr>
          <w:rFonts w:hint="eastAsia"/>
          <w:color w:val="auto"/>
        </w:rPr>
        <w:t>第二十二条《办法》第十八条第二款所称由保证人或者以保证金承担法律责任，是指由保证人缴纳罚款或者以保证金缴纳罚款。</w:t>
      </w:r>
    </w:p>
    <w:p>
      <w:pPr>
        <w:adjustRightInd w:val="0"/>
        <w:snapToGrid w:val="0"/>
        <w:ind w:firstLine="472"/>
        <w:rPr>
          <w:color w:val="auto"/>
        </w:rPr>
      </w:pPr>
      <w:r>
        <w:rPr>
          <w:rFonts w:hint="eastAsia"/>
          <w:color w:val="auto"/>
        </w:rPr>
        <w:t>第二十三条提供保证人或者交纳保证金的具体范围由省税务局规定。”</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before="100" w:after="100" w:line="280" w:lineRule="exact"/>
              <w:ind w:firstLine="0" w:firstLineChars="0"/>
              <w:jc w:val="center"/>
              <w:rPr>
                <w:rFonts w:cs="宋体"/>
                <w:color w:val="auto"/>
                <w:sz w:val="18"/>
                <w:szCs w:val="18"/>
              </w:rPr>
            </w:pPr>
            <w:r>
              <w:rPr>
                <w:rFonts w:hint="eastAsia" w:cs="微软雅黑"/>
                <w:color w:val="auto"/>
                <w:kern w:val="0"/>
                <w:sz w:val="18"/>
                <w:szCs w:val="18"/>
              </w:rPr>
              <w:t>1</w:t>
            </w:r>
          </w:p>
        </w:tc>
        <w:tc>
          <w:tcPr>
            <w:tcW w:w="1969" w:type="dxa"/>
            <w:shd w:val="clear" w:color="auto" w:fill="auto"/>
            <w:vAlign w:val="center"/>
          </w:tcPr>
          <w:p>
            <w:pPr>
              <w:widowControl/>
              <w:spacing w:before="100" w:after="100" w:line="280" w:lineRule="exact"/>
              <w:ind w:firstLine="0" w:firstLineChars="0"/>
              <w:jc w:val="left"/>
              <w:rPr>
                <w:rFonts w:cs="宋体"/>
                <w:color w:val="auto"/>
                <w:kern w:val="0"/>
                <w:sz w:val="18"/>
                <w:szCs w:val="18"/>
              </w:rPr>
            </w:pPr>
            <w:r>
              <w:rPr>
                <w:rFonts w:hint="eastAsia"/>
                <w:color w:val="auto"/>
                <w:kern w:val="0"/>
                <w:sz w:val="18"/>
                <w:szCs w:val="18"/>
              </w:rPr>
              <w:t>担保</w:t>
            </w:r>
            <w:r>
              <w:rPr>
                <w:color w:val="auto"/>
                <w:kern w:val="0"/>
                <w:sz w:val="18"/>
                <w:szCs w:val="18"/>
              </w:rPr>
              <w:t>书</w:t>
            </w:r>
          </w:p>
        </w:tc>
        <w:tc>
          <w:tcPr>
            <w:tcW w:w="850" w:type="dxa"/>
            <w:shd w:val="clear" w:color="auto" w:fill="auto"/>
            <w:vAlign w:val="center"/>
          </w:tcPr>
          <w:p>
            <w:pPr>
              <w:widowControl/>
              <w:spacing w:before="100" w:after="100" w:line="280" w:lineRule="exact"/>
              <w:ind w:firstLine="352" w:firstLineChars="0"/>
              <w:rPr>
                <w:rFonts w:cs="宋体"/>
                <w:color w:val="auto"/>
                <w:kern w:val="0"/>
                <w:sz w:val="18"/>
                <w:szCs w:val="18"/>
              </w:rPr>
            </w:pPr>
            <w:r>
              <w:rPr>
                <w:rFonts w:hint="eastAsia" w:cs="微软雅黑"/>
                <w:b/>
                <w:color w:val="auto"/>
                <w:kern w:val="0"/>
                <w:sz w:val="18"/>
                <w:szCs w:val="18"/>
              </w:rPr>
              <w:t>1</w:t>
            </w:r>
          </w:p>
        </w:tc>
        <w:tc>
          <w:tcPr>
            <w:tcW w:w="980" w:type="dxa"/>
            <w:shd w:val="clear" w:color="auto" w:fill="auto"/>
            <w:vAlign w:val="center"/>
          </w:tcPr>
          <w:p>
            <w:pPr>
              <w:widowControl/>
              <w:spacing w:before="100" w:after="100" w:line="280" w:lineRule="exact"/>
              <w:ind w:firstLine="0" w:firstLineChars="0"/>
              <w:jc w:val="center"/>
              <w:rPr>
                <w:rFonts w:cs="宋体"/>
                <w:color w:val="auto"/>
                <w:kern w:val="0"/>
                <w:sz w:val="18"/>
                <w:szCs w:val="18"/>
              </w:rPr>
            </w:pPr>
            <w:r>
              <w:rPr>
                <w:rFonts w:hint="eastAsia" w:cs="微软雅黑"/>
                <w:color w:val="auto"/>
                <w:kern w:val="0"/>
                <w:sz w:val="18"/>
                <w:szCs w:val="18"/>
              </w:rPr>
              <w:t>条件报</w:t>
            </w:r>
            <w:r>
              <w:rPr>
                <w:rFonts w:cs="微软雅黑"/>
                <w:color w:val="auto"/>
                <w:kern w:val="0"/>
                <w:sz w:val="18"/>
                <w:szCs w:val="18"/>
              </w:rPr>
              <w:t>送</w:t>
            </w:r>
          </w:p>
        </w:tc>
        <w:tc>
          <w:tcPr>
            <w:tcW w:w="1587" w:type="dxa"/>
            <w:shd w:val="clear" w:color="auto" w:fill="auto"/>
            <w:vAlign w:val="center"/>
          </w:tcPr>
          <w:p>
            <w:pPr>
              <w:widowControl/>
              <w:spacing w:before="100" w:after="100" w:line="280" w:lineRule="exact"/>
              <w:ind w:firstLine="352" w:firstLineChars="0"/>
              <w:jc w:val="center"/>
              <w:rPr>
                <w:rFonts w:cs="宋体"/>
                <w:color w:val="auto"/>
                <w:kern w:val="0"/>
                <w:sz w:val="18"/>
                <w:szCs w:val="18"/>
              </w:rPr>
            </w:pPr>
            <w:r>
              <w:rPr>
                <w:rFonts w:hint="eastAsia" w:cs="微软雅黑"/>
                <w:color w:val="auto"/>
                <w:kern w:val="0"/>
                <w:sz w:val="18"/>
                <w:szCs w:val="18"/>
              </w:rPr>
              <w:t>提供</w:t>
            </w:r>
            <w:r>
              <w:rPr>
                <w:rFonts w:cs="微软雅黑"/>
                <w:color w:val="auto"/>
                <w:kern w:val="0"/>
                <w:sz w:val="18"/>
                <w:szCs w:val="18"/>
              </w:rPr>
              <w:t>保证人的情况</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65" o:spt="75" type="#_x0000_t75" style="height:99pt;width:328.5pt;" o:ole="t" filled="f" o:preferrelative="t" stroked="f" coordsize="21600,21600">
            <v:path/>
            <v:fill on="f" focussize="0,0"/>
            <v:stroke on="f" joinstyle="miter"/>
            <v:imagedata r:id="rId11" o:title=""/>
            <o:lock v:ext="edit" aspectratio="f"/>
            <w10:wrap type="none"/>
            <w10:anchorlock/>
          </v:shape>
          <o:OLEObject Type="Embed" ProgID="Visio.Drawing.11" ShapeID="_x0000_i106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资料齐全、符合法定形式的，税务机关受理后限时办结。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CAE6942"/>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2019-10-31T03:40:17Z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