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9072"/>
      <w:r>
        <w:rPr>
          <w:rFonts w:hint="eastAsia" w:ascii="黑体" w:hAnsi="黑体" w:cs="黑体"/>
          <w:color w:val="auto"/>
        </w:rPr>
        <w:t>1.2.1.8</w:t>
      </w:r>
      <w:r>
        <w:rPr>
          <w:rFonts w:hint="eastAsia"/>
          <w:color w:val="auto"/>
        </w:rPr>
        <w:t>发票退票</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bCs w:val="0"/>
          <w:color w:val="auto"/>
          <w:kern w:val="2"/>
          <w:sz w:val="24"/>
          <w:szCs w:val="22"/>
        </w:rPr>
      </w:pPr>
      <w:r>
        <w:rPr>
          <w:rFonts w:hint="eastAsia" w:ascii="宋体" w:hAnsi="宋体" w:eastAsia="宋体" w:cs="Times New Roman"/>
          <w:bCs w:val="0"/>
          <w:color w:val="auto"/>
          <w:kern w:val="2"/>
          <w:sz w:val="24"/>
          <w:szCs w:val="22"/>
        </w:rPr>
        <w:t>发票退票</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纳税人因发票印制质量、发票发放错误、纳税人领票信息电子数据丢失、税控设备故障等原因需要将已领用的空白发票退回的，税务机关为纳税人办理退票。</w:t>
      </w:r>
    </w:p>
    <w:p>
      <w:pPr>
        <w:pStyle w:val="3"/>
        <w:ind w:firstLine="552"/>
        <w:rPr>
          <w:color w:val="auto"/>
        </w:rPr>
      </w:pPr>
      <w:r>
        <w:rPr>
          <w:rFonts w:hint="eastAsia"/>
          <w:color w:val="auto"/>
        </w:rPr>
        <w:t>四、设定依据</w:t>
      </w:r>
    </w:p>
    <w:p>
      <w:pPr>
        <w:ind w:firstLine="472"/>
        <w:rPr>
          <w:color w:val="auto"/>
        </w:rPr>
      </w:pPr>
      <w:r>
        <w:rPr>
          <w:rFonts w:hint="eastAsia"/>
          <w:color w:val="auto"/>
        </w:rPr>
        <w:t>1.《国家税务总局关于发布第二批取消简并涉税文书报表的公告》（国家税务总局公告2014年第30号）附件</w:t>
      </w:r>
    </w:p>
    <w:p>
      <w:pPr>
        <w:ind w:firstLine="472"/>
        <w:rPr>
          <w:color w:val="auto"/>
        </w:rPr>
      </w:pPr>
      <w:r>
        <w:rPr>
          <w:rFonts w:hint="eastAsia"/>
          <w:color w:val="auto"/>
        </w:rPr>
        <w:t>2.《国家税务总局关于印发〈全国税务机关纳税服务规范〉的通知》（税总发〔2014〕154号）附件</w:t>
      </w:r>
    </w:p>
    <w:p>
      <w:pPr>
        <w:ind w:firstLine="472"/>
        <w:rPr>
          <w:color w:val="auto"/>
        </w:rPr>
      </w:pPr>
      <w:r>
        <w:rPr>
          <w:rFonts w:hint="eastAsia"/>
          <w:color w:val="auto"/>
        </w:rPr>
        <w:t>3.《国家税务总局关于推行通过增值税电子发票系统开具的增值税电子普通发票有关问题的公告》（国家税务总局公告2015年第84号）全文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012"/>
        <w:gridCol w:w="1350"/>
        <w:gridCol w:w="10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01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350"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040"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s="微软雅黑"/>
                <w:color w:val="auto"/>
                <w:sz w:val="18"/>
                <w:szCs w:val="18"/>
              </w:rPr>
              <w:t>《发票领用簿》</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01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p>
        </w:tc>
        <w:tc>
          <w:tcPr>
            <w:tcW w:w="1350"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调整后返还</w:t>
            </w:r>
          </w:p>
        </w:tc>
        <w:tc>
          <w:tcPr>
            <w:tcW w:w="1040"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s="微软雅黑"/>
                <w:color w:val="auto"/>
                <w:sz w:val="18"/>
                <w:szCs w:val="18"/>
              </w:rPr>
              <w:t>未使用的空白发票</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01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p>
        </w:tc>
        <w:tc>
          <w:tcPr>
            <w:tcW w:w="1350"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040"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3</w:t>
            </w:r>
          </w:p>
        </w:tc>
        <w:tc>
          <w:tcPr>
            <w:tcW w:w="2551"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s="微软雅黑"/>
                <w:color w:val="auto"/>
                <w:sz w:val="18"/>
                <w:szCs w:val="18"/>
              </w:rPr>
              <w:t>税控设备</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01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领用增值税专用发票、增值税普通发票、增值税电子发票或机动车销售统一发票等发票时提供</w:t>
            </w:r>
          </w:p>
        </w:tc>
        <w:tc>
          <w:tcPr>
            <w:tcW w:w="1350"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调整后返还</w:t>
            </w:r>
          </w:p>
        </w:tc>
        <w:tc>
          <w:tcPr>
            <w:tcW w:w="1040"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numPr>
          <w:ilvl w:val="0"/>
          <w:numId w:val="4"/>
        </w:numPr>
        <w:spacing w:line="240" w:lineRule="auto"/>
        <w:ind w:firstLine="552"/>
        <w:rPr>
          <w:color w:val="auto"/>
        </w:rPr>
      </w:pPr>
      <w:r>
        <w:rPr>
          <w:color w:val="auto"/>
        </w:rPr>
        <w:t>办理流程</w:t>
      </w:r>
    </w:p>
    <w:p>
      <w:pPr>
        <w:spacing w:line="240" w:lineRule="auto"/>
        <w:ind w:left="472" w:hanging="472" w:hangingChars="200"/>
        <w:rPr>
          <w:color w:val="auto"/>
        </w:rPr>
      </w:pPr>
      <w:r>
        <w:rPr>
          <w:color w:val="auto"/>
        </w:rPr>
        <w:object>
          <v:shape id="_x0000_i1063" o:spt="75" type="#_x0000_t75" style="height:133.95pt;width:443.7pt;" o:ole="t" filled="f" o:preferrelative="t" stroked="f" coordsize="21600,21600">
            <v:path/>
            <v:fill on="f" focussize="0,0"/>
            <v:stroke on="f" joinstyle="miter"/>
            <v:imagedata r:id="rId11" o:title=""/>
            <o:lock v:ext="edit" aspectratio="t"/>
            <w10:wrap type="none"/>
            <w10:anchorlock/>
          </v:shape>
          <o:OLEObject Type="Embed" ProgID="Visio.Drawing.11" ShapeID="_x0000_i1063" DrawAspect="Content" ObjectID="_1468075725" r:id="rId10">
            <o:LockedField>false</o:LockedField>
          </o:OLEObject>
        </w:object>
      </w:r>
    </w:p>
    <w:p>
      <w:pPr>
        <w:pStyle w:val="3"/>
        <w:ind w:firstLine="552"/>
        <w:rPr>
          <w:rFonts w:hint="eastAsia"/>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1.A02009《发票领用簿》</w:t>
      </w:r>
    </w:p>
    <w:p>
      <w:pPr>
        <w:pStyle w:val="3"/>
        <w:ind w:firstLine="552"/>
        <w:rPr>
          <w:color w:val="auto"/>
        </w:rPr>
      </w:pPr>
      <w:r>
        <w:rPr>
          <w:rFonts w:hint="eastAsia"/>
          <w:color w:val="auto"/>
        </w:rPr>
        <w:t>九、注意事项</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1.纳税服务部门经办人核对清点相关发票。</w:t>
      </w:r>
    </w:p>
    <w:p>
      <w:pPr>
        <w:ind w:firstLine="472"/>
        <w:rPr>
          <w:color w:val="auto"/>
        </w:rPr>
      </w:pPr>
      <w:r>
        <w:rPr>
          <w:rFonts w:hint="eastAsia" w:cs="微软雅黑"/>
          <w:color w:val="auto"/>
          <w:kern w:val="0"/>
          <w:szCs w:val="24"/>
        </w:rPr>
        <w:t>2.</w:t>
      </w:r>
      <w:r>
        <w:rPr>
          <w:rFonts w:hint="eastAsia"/>
          <w:color w:val="auto"/>
        </w:rPr>
        <w:t>纳税人对报送资料的真实性和合法性承担责任。</w:t>
      </w:r>
    </w:p>
    <w:p>
      <w:pPr>
        <w:ind w:firstLine="472"/>
        <w:rPr>
          <w:color w:val="auto"/>
        </w:rPr>
      </w:pPr>
      <w:r>
        <w:rPr>
          <w:rFonts w:hint="eastAsia"/>
          <w:color w:val="auto"/>
        </w:rPr>
        <w:t>3.最多跑一次是在资料完整且符合法定受理条件的前提下，最多只需要到税务机关跑一次。</w:t>
      </w:r>
    </w:p>
    <w:p>
      <w:pPr>
        <w:ind w:firstLine="472"/>
        <w:rPr>
          <w:rFonts w:cs="微软雅黑"/>
          <w:color w:val="auto"/>
          <w:kern w:val="0"/>
          <w:szCs w:val="24"/>
        </w:rPr>
      </w:pPr>
      <w:r>
        <w:rPr>
          <w:rFonts w:hint="eastAsia" w:cs="微软雅黑"/>
          <w:color w:val="auto"/>
          <w:kern w:val="0"/>
          <w:szCs w:val="24"/>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44C7B6"/>
    <w:multiLevelType w:val="singleLevel"/>
    <w:tmpl w:val="A244C7B6"/>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C865B7C"/>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2019-10-31T03:39:54Z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