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4408"/>
      <w:r>
        <w:rPr>
          <w:rFonts w:hint="eastAsia" w:ascii="黑体" w:hAnsi="黑体"/>
          <w:color w:val="auto"/>
        </w:rPr>
        <w:t>2.6.3.1逾期增值税抵扣凭证抵扣申请</w:t>
      </w:r>
      <w:bookmarkEnd w:id="0"/>
    </w:p>
    <w:p>
      <w:pPr>
        <w:pStyle w:val="3"/>
        <w:numPr>
          <w:ilvl w:val="0"/>
          <w:numId w:val="3"/>
        </w:numPr>
        <w:ind w:firstLine="552"/>
        <w:rPr>
          <w:rFonts w:hint="eastAsia"/>
          <w:color w:val="auto"/>
        </w:rPr>
      </w:pPr>
      <w:r>
        <w:rPr>
          <w:rFonts w:hint="eastAsia"/>
          <w:color w:val="auto"/>
        </w:rPr>
        <w:t>事项名称</w:t>
      </w:r>
    </w:p>
    <w:p>
      <w:pPr>
        <w:numPr>
          <w:ilvl w:val="0"/>
          <w:numId w:val="0"/>
        </w:numPr>
        <w:ind w:firstLine="472" w:firstLineChars="200"/>
        <w:rPr>
          <w:color w:val="auto"/>
        </w:rPr>
      </w:pPr>
      <w:r>
        <w:rPr>
          <w:rFonts w:hint="eastAsia"/>
          <w:color w:val="auto"/>
        </w:rPr>
        <w:t>逾期增值税抵扣凭证抵扣申请</w:t>
      </w:r>
    </w:p>
    <w:p>
      <w:pPr>
        <w:pStyle w:val="3"/>
        <w:ind w:firstLine="552"/>
        <w:rPr>
          <w:color w:val="auto"/>
        </w:rPr>
      </w:pPr>
      <w:r>
        <w:rPr>
          <w:rFonts w:hint="eastAsia"/>
          <w:color w:val="auto"/>
        </w:rPr>
        <w:t>二、事项类别</w:t>
      </w:r>
    </w:p>
    <w:p>
      <w:pPr>
        <w:numPr>
          <w:ilvl w:val="0"/>
          <w:numId w:val="4"/>
        </w:numPr>
        <w:ind w:left="0" w:firstLine="480"/>
        <w:rPr>
          <w:color w:val="auto"/>
        </w:rPr>
      </w:pPr>
      <w:r>
        <w:rPr>
          <w:rFonts w:hint="eastAsia"/>
          <w:color w:val="auto"/>
        </w:rPr>
        <w:t>发起方式：人工</w:t>
      </w:r>
      <w:r>
        <w:rPr>
          <w:color w:val="auto"/>
        </w:rPr>
        <w:t>发起（</w:t>
      </w:r>
      <w:r>
        <w:rPr>
          <w:rFonts w:hint="eastAsia"/>
          <w:color w:val="auto"/>
        </w:rPr>
        <w:t>纳税人）</w:t>
      </w:r>
    </w:p>
    <w:p>
      <w:pPr>
        <w:numPr>
          <w:ilvl w:val="0"/>
          <w:numId w:val="4"/>
        </w:numPr>
        <w:ind w:left="0" w:firstLine="480"/>
        <w:rPr>
          <w:color w:val="auto"/>
        </w:rPr>
      </w:pPr>
      <w:r>
        <w:rPr>
          <w:rFonts w:hint="eastAsia"/>
          <w:color w:val="auto"/>
        </w:rPr>
        <w:t>办结方式：限时办结</w:t>
      </w:r>
    </w:p>
    <w:p>
      <w:pPr>
        <w:numPr>
          <w:ilvl w:val="0"/>
          <w:numId w:val="4"/>
        </w:numPr>
        <w:ind w:left="0" w:firstLine="480"/>
        <w:rPr>
          <w:color w:val="auto"/>
        </w:rPr>
      </w:pPr>
      <w:r>
        <w:rPr>
          <w:rFonts w:hint="eastAsia"/>
          <w:color w:val="auto"/>
        </w:rPr>
        <w:t>全省通办：否</w:t>
      </w:r>
    </w:p>
    <w:p>
      <w:pPr>
        <w:numPr>
          <w:ilvl w:val="0"/>
          <w:numId w:val="4"/>
        </w:numPr>
        <w:ind w:left="0" w:firstLine="480"/>
        <w:rPr>
          <w:color w:val="auto"/>
        </w:rPr>
      </w:pPr>
      <w:r>
        <w:rPr>
          <w:rFonts w:hint="eastAsia"/>
          <w:color w:val="auto"/>
        </w:rPr>
        <w:t>网上办理：是</w:t>
      </w:r>
    </w:p>
    <w:p>
      <w:pPr>
        <w:numPr>
          <w:ilvl w:val="0"/>
          <w:numId w:val="4"/>
        </w:numPr>
        <w:ind w:left="0" w:firstLine="480"/>
        <w:rPr>
          <w:color w:val="auto"/>
        </w:rPr>
      </w:pPr>
      <w:r>
        <w:rPr>
          <w:rFonts w:hint="eastAsia"/>
          <w:color w:val="auto"/>
        </w:rPr>
        <w:t>适用层级：省、市、县(市、区)级</w:t>
      </w:r>
    </w:p>
    <w:p>
      <w:pPr>
        <w:pStyle w:val="47"/>
        <w:numPr>
          <w:ilvl w:val="0"/>
          <w:numId w:val="5"/>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rFonts w:hint="eastAsia"/>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自2018年1月1日起，逾期增值税扣税凭证继续抵扣事项由省级税务机关核准。增值税一般纳税人发生真实交易但由于客观原因造成2007年1月1日以后开具的增值税扣税凭证（包括增值税专用发票、海关进口增值税专用缴款书和机动车销售统一发票）未能按照规定期限办理认证、确认或者稽核比对的，经主管税务机关核实、逐级上报，由省税务局认证并稽核比对后，对比对相符的增值税扣税凭证，允许纳税人继续抵扣其进项税额。所称客观原因，包括如下类型：</w:t>
      </w:r>
    </w:p>
    <w:p>
      <w:pPr>
        <w:ind w:firstLine="472"/>
        <w:rPr>
          <w:rFonts w:hint="eastAsia"/>
          <w:color w:val="auto"/>
        </w:rPr>
      </w:pPr>
      <w:r>
        <w:rPr>
          <w:rFonts w:hint="eastAsia"/>
          <w:color w:val="auto"/>
        </w:rPr>
        <w:t>1．因自然灾害、社会突发事件等不可抗力因素造成增值税扣税凭证逾期；</w:t>
      </w:r>
    </w:p>
    <w:p>
      <w:pPr>
        <w:ind w:firstLine="472"/>
        <w:rPr>
          <w:rFonts w:hint="eastAsia"/>
          <w:color w:val="auto"/>
        </w:rPr>
      </w:pPr>
      <w:r>
        <w:rPr>
          <w:rFonts w:hint="eastAsia"/>
          <w:color w:val="auto"/>
        </w:rPr>
        <w:t>2．增值税扣税凭证被盗、抢，或者因邮寄丢失、误递导致逾期；</w:t>
      </w:r>
    </w:p>
    <w:p>
      <w:pPr>
        <w:ind w:firstLine="472"/>
        <w:rPr>
          <w:rFonts w:hint="eastAsia"/>
          <w:color w:val="auto"/>
        </w:rPr>
      </w:pPr>
      <w:r>
        <w:rPr>
          <w:rFonts w:hint="eastAsia"/>
          <w:color w:val="auto"/>
        </w:rPr>
        <w:t>3．有关司法、行政机关在办理业务或者检查中，扣押增值税扣税凭证，纳税人不能正常履行申报义务，或者税务机关信息系统、网络故障，未能及时处理纳税人网上认证数据等导致增值税扣税凭证逾期；</w:t>
      </w:r>
    </w:p>
    <w:p>
      <w:pPr>
        <w:ind w:firstLine="472"/>
        <w:rPr>
          <w:rFonts w:hint="eastAsia"/>
          <w:color w:val="auto"/>
        </w:rPr>
      </w:pPr>
      <w:r>
        <w:rPr>
          <w:rFonts w:hint="eastAsia"/>
          <w:color w:val="auto"/>
        </w:rPr>
        <w:t>4．买卖双方因经济纠纷，未能及时传递增值税扣税凭证，或者纳税人变更纳税地点，注销旧户和重新办理税务登记的时间过长，导致增值税扣税凭证逾期；</w:t>
      </w:r>
    </w:p>
    <w:p>
      <w:pPr>
        <w:ind w:firstLine="472"/>
        <w:rPr>
          <w:rFonts w:hint="eastAsia"/>
          <w:color w:val="auto"/>
        </w:rPr>
      </w:pPr>
      <w:r>
        <w:rPr>
          <w:rFonts w:hint="eastAsia"/>
          <w:color w:val="auto"/>
        </w:rPr>
        <w:t>5．由于企业办税人员伤亡、突发危重疾病或者擅自离职，未能办理交接手续，导致增值税扣税凭证逾期；</w:t>
      </w:r>
    </w:p>
    <w:p>
      <w:pPr>
        <w:ind w:firstLine="472"/>
        <w:rPr>
          <w:rFonts w:hint="eastAsia"/>
          <w:color w:val="auto"/>
        </w:rPr>
      </w:pPr>
      <w:r>
        <w:rPr>
          <w:rFonts w:hint="eastAsia"/>
          <w:color w:val="auto"/>
        </w:rPr>
        <w:t>6．国家税务总局规定的其他情形。</w:t>
      </w:r>
    </w:p>
    <w:p>
      <w:pPr>
        <w:ind w:firstLine="472"/>
        <w:rPr>
          <w:color w:val="auto"/>
        </w:rPr>
      </w:pPr>
      <w:r>
        <w:rPr>
          <w:rFonts w:hint="eastAsia"/>
          <w:color w:val="auto"/>
        </w:rPr>
        <w:t>增值税一般纳税人对除因上述客观原因以外的其他原因造成增值税扣税凭证逾期的，仍应按照增值税扣税凭证抵扣期限有关规定执行，不得逾期抵扣。</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1.《国家税务总局关于逾期增值税扣税凭证抵扣问题的公告》（国家税务总局公告2011年第50号）全文</w:t>
      </w:r>
    </w:p>
    <w:p>
      <w:pPr>
        <w:ind w:firstLine="472"/>
        <w:rPr>
          <w:rFonts w:hint="eastAsia" w:eastAsia="宋体"/>
          <w:color w:val="auto"/>
          <w:lang w:eastAsia="zh-CN"/>
        </w:rPr>
      </w:pPr>
      <w:r>
        <w:rPr>
          <w:rFonts w:hint="eastAsia"/>
          <w:color w:val="auto"/>
        </w:rPr>
        <w:t>2.《国家税务总局关于贯彻落实&lt;国务院关于取消非行政许可审批事项的决定&gt;的通知》（税总发〔2015〕74号）附件2</w:t>
      </w:r>
      <w:r>
        <w:rPr>
          <w:rFonts w:hint="eastAsia"/>
          <w:color w:val="auto"/>
          <w:lang w:eastAsia="zh-CN"/>
        </w:rPr>
        <w:t>全文</w:t>
      </w:r>
    </w:p>
    <w:p>
      <w:pPr>
        <w:ind w:firstLine="472"/>
        <w:rPr>
          <w:rFonts w:hint="eastAsia"/>
          <w:color w:val="auto"/>
        </w:rPr>
      </w:pPr>
      <w:r>
        <w:rPr>
          <w:rFonts w:hint="eastAsia"/>
          <w:color w:val="auto"/>
        </w:rPr>
        <w:t>3.《国家税务总局关于纳税人认定或登记为一般纳税人前进项税额抵扣问题的公告》（国家税务总局公告2015年第59号）第二条第（二）项</w:t>
      </w:r>
    </w:p>
    <w:p>
      <w:pPr>
        <w:ind w:firstLine="472"/>
        <w:rPr>
          <w:rFonts w:hint="eastAsia" w:eastAsia="宋体"/>
          <w:color w:val="auto"/>
          <w:lang w:val="en-US" w:eastAsia="zh-CN"/>
        </w:rPr>
      </w:pPr>
      <w:r>
        <w:rPr>
          <w:rFonts w:hint="default"/>
          <w:color w:val="auto"/>
          <w:lang w:val="en-US" w:eastAsia="zh-CN"/>
        </w:rPr>
        <w:t>“纳税人取得的海关进口增值税专用缴款书，按照《国家税务总局关于逾期增值税扣税凭证抵扣问题的公告》（国家税务总局公告2011年第50号）规定的程序，经国家税务总局稽核比对相符后抵扣进项税额。”</w:t>
      </w:r>
    </w:p>
    <w:p>
      <w:pPr>
        <w:ind w:firstLine="472"/>
        <w:rPr>
          <w:rFonts w:hint="eastAsia"/>
          <w:color w:val="auto"/>
        </w:rPr>
      </w:pPr>
      <w:r>
        <w:rPr>
          <w:rFonts w:hint="eastAsia"/>
          <w:color w:val="auto"/>
        </w:rPr>
        <w:t>4.《国家税务总局关于停止使用货物运输业增值税专用发票有关问题的公告》（国家税务总局公告2015年第99号）全文</w:t>
      </w:r>
    </w:p>
    <w:p>
      <w:pPr>
        <w:ind w:firstLine="472"/>
        <w:rPr>
          <w:rFonts w:hint="eastAsia"/>
          <w:color w:val="auto"/>
        </w:rPr>
      </w:pPr>
      <w:r>
        <w:rPr>
          <w:rFonts w:hint="eastAsia"/>
          <w:color w:val="auto"/>
        </w:rPr>
        <w:t>5.《国家税务总局关于进一步优化增值税消费税有关涉税事项办理程序的公告》（国家税务总局公告2017年第36号）第一条，第三条</w:t>
      </w:r>
    </w:p>
    <w:p>
      <w:pPr>
        <w:ind w:firstLine="472"/>
        <w:rPr>
          <w:rFonts w:hint="default"/>
          <w:color w:val="auto"/>
          <w:lang w:val="en-US" w:eastAsia="zh-CN"/>
        </w:rPr>
      </w:pPr>
      <w:r>
        <w:rPr>
          <w:rFonts w:hint="default"/>
          <w:color w:val="auto"/>
          <w:lang w:val="en-US" w:eastAsia="zh-CN"/>
        </w:rPr>
        <w:t>“自2018年1月1日起，逾期增值税扣税凭证继续抵扣事项由省国税局核准。允许继续抵扣的客观原因类型及报送资料等要求，按照修改后的《国家税务总局关于逾期增值税扣税凭证抵扣问题的公告》（国家税务总局公告2011年第50号）执行。</w:t>
      </w:r>
    </w:p>
    <w:p>
      <w:pPr>
        <w:ind w:firstLine="472"/>
        <w:rPr>
          <w:rFonts w:hint="default"/>
          <w:color w:val="auto"/>
          <w:lang w:val="en-US" w:eastAsia="zh-CN"/>
        </w:rPr>
      </w:pPr>
      <w:r>
        <w:rPr>
          <w:rFonts w:hint="default"/>
          <w:color w:val="auto"/>
          <w:lang w:val="en-US" w:eastAsia="zh-CN"/>
        </w:rPr>
        <w:t>各省国税局应在修改后的国家税务总局公告2011年第50号附件《逾期增值税扣税凭证抵扣管理办法》（以下简称《管理办法》）相关规定基础上，按照进一步深化税务系统“放管服”改革、优化税收环境的要求，以方便纳税人、利于税收管理为原则，进一步细化流程、明确时限、简化资料、改进服务。”</w:t>
      </w:r>
    </w:p>
    <w:p>
      <w:pPr>
        <w:ind w:firstLine="472"/>
        <w:rPr>
          <w:rFonts w:hint="default"/>
          <w:color w:val="auto"/>
          <w:lang w:val="en-US" w:eastAsia="zh-CN"/>
        </w:rPr>
      </w:pPr>
      <w:r>
        <w:rPr>
          <w:rFonts w:hint="default"/>
          <w:color w:val="auto"/>
          <w:lang w:val="en-US" w:eastAsia="zh-CN"/>
        </w:rPr>
        <w:t>“对《国家税务总局关于逾期增值税扣税凭证抵扣问题的公告》（国家税务总局公告2011年第50号）作如下修改：</w:t>
      </w:r>
    </w:p>
    <w:p>
      <w:pPr>
        <w:ind w:firstLine="472"/>
        <w:rPr>
          <w:rFonts w:hint="default"/>
          <w:color w:val="auto"/>
          <w:lang w:val="en-US" w:eastAsia="zh-CN"/>
        </w:rPr>
      </w:pPr>
      <w:r>
        <w:rPr>
          <w:rFonts w:hint="default"/>
          <w:color w:val="auto"/>
          <w:lang w:val="en-US" w:eastAsia="zh-CN"/>
        </w:rPr>
        <w:t>（一）第一条第一款修改为：“增值税一般纳税人发生真实交易但由于客观原因造成增值税扣税凭证（包括增值税专用发票、海关进口增值税专用缴款书和机动车销售统一发票）未能按照规定期限办理认证、确认或者稽核比对的，经主管税务机关核实、逐级上报，由省国税局认证并稽核比对后，对比对相符的增值税扣税凭证，允许纳税人继续抵扣其进项税额”。</w:t>
      </w:r>
    </w:p>
    <w:p>
      <w:pPr>
        <w:ind w:firstLine="472"/>
        <w:rPr>
          <w:rFonts w:hint="default"/>
          <w:color w:val="auto"/>
          <w:lang w:val="en-US" w:eastAsia="zh-CN"/>
        </w:rPr>
      </w:pPr>
      <w:r>
        <w:rPr>
          <w:rFonts w:hint="default"/>
          <w:color w:val="auto"/>
          <w:lang w:val="en-US" w:eastAsia="zh-CN"/>
        </w:rPr>
        <w:t>（二）删去第一条第三款：“本公告所称增值税扣税凭证，包括增值税专用发票、海关进口增值税专用缴款书和公路内河货物运输业统一发票”。</w:t>
      </w:r>
    </w:p>
    <w:p>
      <w:pPr>
        <w:ind w:firstLine="472"/>
        <w:rPr>
          <w:rFonts w:hint="default"/>
          <w:color w:val="auto"/>
          <w:lang w:val="en-US" w:eastAsia="zh-CN"/>
        </w:rPr>
      </w:pPr>
      <w:r>
        <w:rPr>
          <w:rFonts w:hint="default"/>
          <w:color w:val="auto"/>
          <w:lang w:val="en-US" w:eastAsia="zh-CN"/>
        </w:rPr>
        <w:t>（三）将《管理办法》第四条第二款修改为：“主管税务机关核实无误后，应向上级税务机关上报，并将增值税扣税凭证逾期情况说明、第三方证明或说明、逾期增值税扣税凭证电子信息、逾期增值税扣税凭证复印件逐级上报至省国税局”。</w:t>
      </w:r>
    </w:p>
    <w:p>
      <w:pPr>
        <w:ind w:firstLine="472"/>
        <w:rPr>
          <w:rFonts w:hint="eastAsia"/>
          <w:color w:val="auto"/>
          <w:lang w:val="en-US" w:eastAsia="zh-CN"/>
        </w:rPr>
      </w:pPr>
      <w:r>
        <w:rPr>
          <w:rFonts w:hint="default"/>
          <w:color w:val="auto"/>
          <w:lang w:val="en-US" w:eastAsia="zh-CN"/>
        </w:rPr>
        <w:t>（四）将《管理办法》第五条修改为：“省国税局对上报的资料进行案头复核，并对逾期增值税扣税凭证信息进行认证、稽核比对，对资料符合条件、稽核比对结果相符的，允许纳税人继续抵扣逾期增值税扣税凭证上所注明或计算的税额”。</w:t>
      </w:r>
    </w:p>
    <w:p>
      <w:pPr>
        <w:ind w:firstLine="472"/>
        <w:rPr>
          <w:rFonts w:hint="eastAsia" w:eastAsia="宋体"/>
          <w:color w:val="auto"/>
          <w:lang w:val="en-US" w:eastAsia="zh-CN"/>
        </w:rPr>
      </w:pPr>
      <w:r>
        <w:rPr>
          <w:rFonts w:hint="eastAsia"/>
          <w:color w:val="auto"/>
        </w:rPr>
        <w:t>6.《国家税务总局关于修改部分税收规范性文件的公告》（国家税务总局公告2018年第31号）附件</w:t>
      </w:r>
      <w:r>
        <w:rPr>
          <w:rFonts w:hint="eastAsia"/>
          <w:color w:val="auto"/>
          <w:lang w:val="en-US"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《逾期增值税扣税凭证抵扣申请单》</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增值税扣税凭证逾期情况说明</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逾期增值税扣税凭证电子信息</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逾期增值税扣税凭证复印件（复印件必须整洁、清晰，在凭证备注栏注明“与原件一致”并加盖企业公章，增值税专用发票复印件必须裁剪成与原票大小一致）</w:t>
            </w:r>
          </w:p>
        </w:tc>
        <w:tc>
          <w:tcPr>
            <w:tcW w:w="709" w:type="dxa"/>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必报</w:t>
            </w:r>
          </w:p>
        </w:tc>
        <w:tc>
          <w:tcPr>
            <w:tcW w:w="1134" w:type="dxa"/>
            <w:vAlign w:val="center"/>
          </w:tcPr>
          <w:p>
            <w:pPr>
              <w:pStyle w:val="13"/>
              <w:widowControl/>
              <w:spacing w:beforeAutospacing="0" w:afterAutospacing="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tcBorders>
              <w:bottom w:val="single" w:color="auto" w:sz="12" w:space="0"/>
            </w:tcBorders>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第三方证明或说明</w:t>
            </w:r>
          </w:p>
        </w:tc>
        <w:tc>
          <w:tcPr>
            <w:tcW w:w="709" w:type="dxa"/>
            <w:tcBorders>
              <w:bottom w:val="single" w:color="auto" w:sz="12" w:space="0"/>
            </w:tcBorders>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tcBorders>
              <w:bottom w:val="single" w:color="auto" w:sz="12" w:space="0"/>
            </w:tcBorders>
            <w:vAlign w:val="center"/>
          </w:tcPr>
          <w:p>
            <w:pPr>
              <w:pStyle w:val="13"/>
              <w:widowControl/>
              <w:spacing w:beforeAutospacing="0" w:afterAutospacing="0"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134" w:type="dxa"/>
            <w:tcBorders>
              <w:bottom w:val="single" w:color="auto" w:sz="12" w:space="0"/>
            </w:tcBorders>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客观原因涉及第三方的提供</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p>
    <w:p>
      <w:pPr>
        <w:spacing w:line="240" w:lineRule="auto"/>
        <w:ind w:left="472" w:firstLine="0" w:firstLineChars="0"/>
        <w:rPr>
          <w:color w:val="auto"/>
        </w:rPr>
      </w:pPr>
      <w:r>
        <w:rPr>
          <w:rFonts w:eastAsia="宋体"/>
          <w:color w:val="auto"/>
          <w:sz w:val="24"/>
        </w:rPr>
        <w:object>
          <v:shape id="_x0000_i1182" o:spt="75" type="#_x0000_t75" style="height:159.1pt;width:410.45pt;" o:ole="t" filled="f" o:preferrelative="t" stroked="f" coordsize="21600,21600">
            <v:path/>
            <v:fill on="f" focussize="0,0"/>
            <v:stroke on="f"/>
            <v:imagedata r:id="rId11" o:title=""/>
            <o:lock v:ext="edit" aspectratio="t"/>
            <w10:wrap type="none"/>
            <w10:anchorlock/>
          </v:shape>
          <o:OLEObject Type="Embed" ProgID="Visio.Drawing.11" ShapeID="_x0000_i1182" DrawAspect="Content" ObjectID="_1468075725" r:id="rId10">
            <o:LockedField>false</o:LockedField>
          </o:OLEObject>
        </w:object>
      </w:r>
    </w:p>
    <w:p>
      <w:pPr>
        <w:spacing w:line="240" w:lineRule="auto"/>
        <w:ind w:left="472"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A02077《逾期增值税扣税凭证抵扣申请单》(A02077《逾期增值税扣税凭证抵扣申请单》（填写样例）)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1.纳税人提交的逾期增值税扣税凭证复印件必须整洁、清晰，在凭证备注栏注明“与原件一致”并加盖企业公章，增值税专用发票复印件必须裁剪成与原票大小一致。</w:t>
      </w:r>
    </w:p>
    <w:p>
      <w:pPr>
        <w:ind w:firstLine="472"/>
        <w:rPr>
          <w:color w:val="auto"/>
        </w:rPr>
      </w:pPr>
      <w:r>
        <w:rPr>
          <w:rFonts w:hint="eastAsia"/>
          <w:color w:val="auto"/>
        </w:rPr>
        <w:t>2.对于《增值税扣税凭证未按期申报抵扣情况说明》，纳税人应详细说明未能按期申报抵扣的原因，并加盖企业公章。对客观原因不涉及第三方的，纳税人应说明的情况具体为：发生自然灾害、社会突发事件等不可抗力原因的，纳税人应详细说明自然灾害或者社会突发事件发生的时间、影响地区、对纳税人生产经营的实际影响等；纳税人变更纳税地点，注销旧户和重新办理税务登记的时间过长，导致增值税扣税凭证逾期的，纳税人应详细说明办理搬迁时间、注销旧户和注册新户的时间、搬出及搬入地点等；企业办税人员擅自离职，未办理交接手续的，纳税人应详细说明事情经过、办税人员姓名、离职时间等，并提供解除劳动关系合同及企业内部相关处理决定。3.对客观原因涉及第三方的，应提供第三方证明或说明。具体为：企业办税人员伤亡或者突发危重疾病的，应提供公安机关、交通管理部门或者医院证明；有关司法、行政机关在办理业务或者检查中，扣押增值税扣税凭证，导致纳税人不能正常履行申报义务的，应提供相关司法、行政机关证明；增值税扣税凭证被盗、抢的，应提供公安机关证明；买卖双方因经济纠纷，未能及时传递增值税扣税凭证的，应提供卖方出具的情况说明；邮寄丢失或者误递导致增值税扣税凭证逾期的，应提供邮政单位出具的说明。</w:t>
      </w:r>
    </w:p>
    <w:p>
      <w:pPr>
        <w:ind w:firstLine="472"/>
        <w:rPr>
          <w:color w:val="auto"/>
        </w:rPr>
      </w:pPr>
      <w:r>
        <w:rPr>
          <w:rFonts w:hint="eastAsia"/>
          <w:color w:val="auto"/>
          <w:lang w:val="en-US" w:eastAsia="zh-CN"/>
        </w:rPr>
        <w:t>3</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33B0B639"/>
    <w:multiLevelType w:val="singleLevel"/>
    <w:tmpl w:val="33B0B639"/>
    <w:lvl w:ilvl="0" w:tentative="0">
      <w:start w:val="1"/>
      <w:numFmt w:val="chineseCounting"/>
      <w:suff w:val="nothing"/>
      <w:lvlText w:val="%1、"/>
      <w:lvlJc w:val="left"/>
      <w:rPr>
        <w:rFonts w:hint="eastAsia"/>
      </w:rPr>
    </w:lvl>
  </w:abstractNum>
  <w:abstractNum w:abstractNumId="2">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C1021AA"/>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2019-10-31T05:13:17Z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