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9661"/>
      <w:r>
        <w:rPr>
          <w:rFonts w:hint="eastAsia" w:ascii="黑体" w:hAnsi="黑体" w:cs="黑体"/>
          <w:color w:val="auto"/>
          <w:lang w:val="en-US" w:eastAsia="zh-CN"/>
        </w:rPr>
        <w:t>1.1.2.11</w:t>
      </w:r>
      <w:r>
        <w:rPr>
          <w:rFonts w:hint="eastAsia" w:ascii="黑体" w:hAnsi="黑体" w:cs="黑体"/>
          <w:color w:val="auto"/>
        </w:rPr>
        <w:t>出口企业放弃退（免）税权报告</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出口企业放弃退（免）税权报告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办结方式：条件即办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适用层级：省</w:t>
      </w:r>
      <w:r>
        <w:rPr>
          <w:color w:val="auto"/>
        </w:rPr>
        <w:t>、市、</w:t>
      </w:r>
      <w:r>
        <w:rPr>
          <w:rFonts w:hint="eastAsia"/>
          <w:color w:val="auto"/>
        </w:rPr>
        <w:t>县(市、区)级</w:t>
      </w:r>
    </w:p>
    <w:p>
      <w:pPr>
        <w:pStyle w:val="47"/>
        <w:numPr>
          <w:ilvl w:val="0"/>
          <w:numId w:val="4"/>
        </w:numPr>
        <w:ind w:firstLineChars="0"/>
        <w:rPr>
          <w:color w:val="auto"/>
        </w:rPr>
      </w:pPr>
      <w:r>
        <w:rPr>
          <w:rFonts w:hint="eastAsia"/>
          <w:color w:val="auto"/>
        </w:rPr>
        <w:t>最多跑一次：</w:t>
      </w:r>
      <w:r>
        <w:rPr>
          <w:rFonts w:hint="eastAsia"/>
          <w:color w:val="auto"/>
          <w:lang w:eastAsia="zh-CN"/>
        </w:rPr>
        <w:t>符合即办条件的最多跑一次</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出口企业放弃退（免）税权报告事项包括出口货物劳务放弃退（免）税权备案和放弃适用增值税零税率备案。</w:t>
      </w:r>
    </w:p>
    <w:p>
      <w:pPr>
        <w:ind w:firstLine="472"/>
        <w:rPr>
          <w:color w:val="auto"/>
        </w:rPr>
      </w:pPr>
      <w:r>
        <w:rPr>
          <w:rFonts w:hint="eastAsia"/>
          <w:color w:val="auto"/>
        </w:rPr>
        <w:t>1.出口企业可以放弃全部适用退（免）税政策出口货物劳务的退（免）税，并选择适用增值税免税政策或征税政策。放弃适用退（免）税政策的出口企业，主管税务机关应结合其提供的《出口货物劳务放弃退（免）税声明》及相关资料办理出口企业放弃适用退（免）税备案手续。自备案次日起36个月内，其出口的适用增值税退（免）税政策的出口货物劳务，适用增值税免税政策或征税政策。</w:t>
      </w:r>
    </w:p>
    <w:p>
      <w:pPr>
        <w:ind w:firstLine="472"/>
        <w:rPr>
          <w:color w:val="auto"/>
        </w:rPr>
      </w:pPr>
      <w:r>
        <w:rPr>
          <w:rFonts w:hint="eastAsia"/>
          <w:color w:val="auto"/>
        </w:rPr>
        <w:t>2.增值税零税率应税服务提供者提供适用增值税零税率的应税服务，如果放弃适用增值税零税率，选择免税或按规定缴纳增值税的，主管税务机关应结合其提供的《放弃适用增值税零税率声明》及相关资料办理提供零税率应税服务放弃适用增值税零税率备案手续。自备案次月1日起36个月内，该企业提供的增值税零税率应税服务，不得申报增值税退（免）税。</w:t>
      </w:r>
    </w:p>
    <w:p>
      <w:pPr>
        <w:pStyle w:val="3"/>
        <w:ind w:firstLine="552"/>
        <w:rPr>
          <w:color w:val="auto"/>
        </w:rPr>
      </w:pPr>
      <w:r>
        <w:rPr>
          <w:rFonts w:hint="eastAsia"/>
          <w:color w:val="auto"/>
        </w:rPr>
        <w:t>四、设定依据</w:t>
      </w:r>
    </w:p>
    <w:p>
      <w:pPr>
        <w:ind w:firstLine="472"/>
        <w:rPr>
          <w:rFonts w:hint="eastAsia"/>
          <w:color w:val="auto"/>
          <w:lang w:val="zh-CN"/>
        </w:rPr>
      </w:pPr>
      <w:r>
        <w:rPr>
          <w:rFonts w:hint="eastAsia"/>
          <w:color w:val="auto"/>
          <w:lang w:val="en-US" w:eastAsia="zh-CN"/>
        </w:rPr>
        <w:t>1.</w:t>
      </w:r>
      <w:r>
        <w:rPr>
          <w:rFonts w:hint="eastAsia"/>
          <w:color w:val="auto"/>
          <w:lang w:val="zh-CN"/>
        </w:rPr>
        <w:t>《国家税务总局关于出口货物劳务增值税和消费税有关问题的公告》（国家税务总局公告2013年第65号）第二条</w:t>
      </w:r>
    </w:p>
    <w:p>
      <w:pPr>
        <w:ind w:firstLine="472"/>
        <w:rPr>
          <w:rFonts w:hint="eastAsia"/>
          <w:color w:val="auto"/>
          <w:lang w:val="zh-CN"/>
        </w:rPr>
      </w:pPr>
      <w:r>
        <w:rPr>
          <w:rFonts w:hint="default"/>
          <w:color w:val="auto"/>
          <w:lang w:val="en-US" w:eastAsia="zh-CN"/>
        </w:rPr>
        <w:t>“</w:t>
      </w:r>
      <w:r>
        <w:rPr>
          <w:rFonts w:hint="eastAsia"/>
          <w:color w:val="auto"/>
          <w:lang w:val="zh-CN"/>
        </w:rPr>
        <w:t>第二条出口企业或其他单位可以放弃全部适用退（免）税政策出口货物劳务的退（免）税，并选择适用增值税免税政策或征税政策。放弃适用退（免）税政策的出口企业或其他单位，应向主管税务机关报送《出口货物劳务放弃退（免）税声明》（附件2），办理备案手续。自备案次日起36个月内，其出口的适用增值税退（免）税政策的出口货物劳务，适用增值税免税政策或征税政策。”</w:t>
      </w:r>
    </w:p>
    <w:p>
      <w:pPr>
        <w:ind w:firstLine="472"/>
        <w:rPr>
          <w:rFonts w:hint="eastAsia"/>
          <w:color w:val="auto"/>
        </w:rPr>
      </w:pPr>
      <w:r>
        <w:rPr>
          <w:rFonts w:hint="eastAsia"/>
          <w:color w:val="auto"/>
          <w:lang w:val="en-US" w:eastAsia="zh-CN"/>
        </w:rPr>
        <w:t>2.</w:t>
      </w:r>
      <w:r>
        <w:rPr>
          <w:rFonts w:hint="eastAsia"/>
          <w:color w:val="auto"/>
          <w:lang w:val="zh-CN"/>
        </w:rPr>
        <w:t>《国家税务总局关于〈出口货物劳务增值税和消费税管理办法〉有关问题的公告》（国家税务总局公告2013年第12号）</w:t>
      </w:r>
      <w:r>
        <w:rPr>
          <w:rFonts w:hint="eastAsia"/>
          <w:color w:val="auto"/>
        </w:rPr>
        <w:t>第三条第（六）项</w:t>
      </w:r>
    </w:p>
    <w:p>
      <w:pPr>
        <w:ind w:firstLine="472"/>
        <w:rPr>
          <w:rFonts w:hint="eastAsia"/>
          <w:color w:val="auto"/>
          <w:lang w:val="zh-CN"/>
        </w:rPr>
      </w:pPr>
      <w:r>
        <w:rPr>
          <w:rFonts w:hint="eastAsia"/>
          <w:color w:val="auto"/>
          <w:lang w:val="zh-CN"/>
        </w:rPr>
        <w:t>“（六）出口企业或其他单位按照《管理办法》第十一条第（八）项规定放弃免税的，应向主管税务机关报送《出口货物劳务放弃免税权声明表》（附件12），办理备案手续。自备案次月起执行征税政策，36个月内不得变更。”</w:t>
      </w:r>
    </w:p>
    <w:p>
      <w:pPr>
        <w:ind w:firstLine="472"/>
        <w:rPr>
          <w:rFonts w:hint="eastAsia"/>
          <w:color w:val="auto"/>
          <w:lang w:val="zh-CN"/>
        </w:rPr>
      </w:pPr>
      <w:r>
        <w:rPr>
          <w:rFonts w:hint="eastAsia"/>
          <w:color w:val="auto"/>
          <w:lang w:val="en-US" w:eastAsia="zh-CN"/>
        </w:rPr>
        <w:t>3.</w:t>
      </w:r>
      <w:r>
        <w:rPr>
          <w:rFonts w:hint="eastAsia"/>
          <w:color w:val="auto"/>
          <w:lang w:val="zh-CN"/>
        </w:rPr>
        <w:t>《国家税务总局关于发布〈适用增值税零税率应税服务退（免）税管理办法〉的公告》（国家税务总局公告2014年第11号）第二十条</w:t>
      </w:r>
    </w:p>
    <w:p>
      <w:pPr>
        <w:ind w:firstLine="472"/>
        <w:rPr>
          <w:rFonts w:hint="eastAsia" w:ascii="宋体" w:hAnsi="宋体" w:eastAsia="宋体"/>
          <w:color w:val="auto"/>
          <w:lang w:val="en-US" w:eastAsia="zh-CN"/>
        </w:rPr>
      </w:pPr>
      <w:r>
        <w:rPr>
          <w:rFonts w:hint="eastAsia"/>
          <w:color w:val="auto"/>
          <w:lang w:val="zh-CN"/>
        </w:rPr>
        <w:t>“第二十条增值税零税率应税服务提供者提供适用增值税零税率的应税服务，如果放弃适用增值税零税率，选择免税或按规定缴纳增值税的，应向主管税务机关报送《放弃适用增值税零税率声明》（附件9），办理备案手续。自备案次月1日起36个月内，该企业提供的增值税零税率应税服务，不得申报增值税退（免）税。</w:t>
      </w:r>
      <w:r>
        <w:rPr>
          <w:rFonts w:hint="default"/>
          <w:color w:val="auto"/>
          <w:lang w:val="en-US" w:eastAsia="zh-CN"/>
        </w:rPr>
        <w:t>”</w:t>
      </w:r>
    </w:p>
    <w:p>
      <w:pPr>
        <w:pStyle w:val="3"/>
        <w:numPr>
          <w:ilvl w:val="0"/>
          <w:numId w:val="5"/>
        </w:numPr>
        <w:ind w:firstLine="552"/>
        <w:rPr>
          <w:rFonts w:hint="eastAsia"/>
          <w:color w:val="auto"/>
        </w:rPr>
      </w:pPr>
      <w:r>
        <w:rPr>
          <w:rFonts w:hint="eastAsia"/>
          <w:color w:val="auto"/>
        </w:rPr>
        <w:t>办理材料</w:t>
      </w:r>
    </w:p>
    <w:p>
      <w:pPr>
        <w:ind w:firstLine="472"/>
        <w:rPr>
          <w:color w:val="auto"/>
        </w:rPr>
      </w:pPr>
      <w:r>
        <w:rPr>
          <w:rFonts w:hint="eastAsia"/>
          <w:color w:val="auto"/>
        </w:rPr>
        <w:t>（一）出口企业放弃适用退（免）税备案</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《出口货物劳务放弃退（免）税声明》及电子数据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ind w:firstLine="472"/>
        <w:rPr>
          <w:color w:val="auto"/>
        </w:rPr>
      </w:pPr>
      <w:r>
        <w:rPr>
          <w:rFonts w:hint="eastAsia"/>
          <w:color w:val="auto"/>
        </w:rPr>
        <w:t>（二）生产企业委托代办退税备案</w:t>
      </w:r>
    </w:p>
    <w:tbl>
      <w:tblPr>
        <w:tblStyle w:val="15"/>
        <w:tblW w:w="8903" w:type="dxa"/>
        <w:jc w:val="center"/>
        <w:tblCellSpacing w:w="0" w:type="dxa"/>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Layout w:type="fixed"/>
        <w:tblCellMar>
          <w:top w:w="0" w:type="dxa"/>
          <w:left w:w="0" w:type="dxa"/>
          <w:bottom w:w="0" w:type="dxa"/>
          <w:right w:w="0" w:type="dxa"/>
        </w:tblCellMar>
      </w:tblPr>
      <w:tblGrid>
        <w:gridCol w:w="661"/>
        <w:gridCol w:w="2028"/>
        <w:gridCol w:w="850"/>
        <w:gridCol w:w="851"/>
        <w:gridCol w:w="1439"/>
        <w:gridCol w:w="1921"/>
        <w:gridCol w:w="1153"/>
      </w:tblGrid>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570" w:hRule="atLeast"/>
          <w:tblCellSpacing w:w="0" w:type="dxa"/>
          <w:jc w:val="center"/>
        </w:trPr>
        <w:tc>
          <w:tcPr>
            <w:tcW w:w="66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序号</w:t>
            </w:r>
          </w:p>
        </w:tc>
        <w:tc>
          <w:tcPr>
            <w:tcW w:w="2028"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附列资料名称</w:t>
            </w:r>
          </w:p>
        </w:tc>
        <w:tc>
          <w:tcPr>
            <w:tcW w:w="850"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份数</w:t>
            </w:r>
          </w:p>
        </w:tc>
        <w:tc>
          <w:tcPr>
            <w:tcW w:w="851"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报送类型</w:t>
            </w:r>
          </w:p>
        </w:tc>
        <w:tc>
          <w:tcPr>
            <w:tcW w:w="1439" w:type="dxa"/>
            <w:shd w:val="clear" w:color="auto" w:fill="auto"/>
            <w:vAlign w:val="center"/>
          </w:tcPr>
          <w:p>
            <w:pPr>
              <w:pStyle w:val="13"/>
              <w:widowControl/>
              <w:spacing w:before="100" w:after="100"/>
              <w:jc w:val="center"/>
              <w:rPr>
                <w:rFonts w:ascii="宋体" w:hAnsi="宋体" w:eastAsia="宋体"/>
                <w:color w:val="auto"/>
                <w:sz w:val="18"/>
                <w:szCs w:val="18"/>
              </w:rPr>
            </w:pPr>
            <w:r>
              <w:rPr>
                <w:rStyle w:val="17"/>
                <w:rFonts w:hint="eastAsia" w:ascii="宋体" w:hAnsi="宋体" w:eastAsia="宋体" w:cs="微软雅黑"/>
                <w:color w:val="auto"/>
                <w:sz w:val="18"/>
                <w:szCs w:val="18"/>
              </w:rPr>
              <w:t>报送条件</w:t>
            </w:r>
          </w:p>
        </w:tc>
        <w:tc>
          <w:tcPr>
            <w:tcW w:w="1921"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color w:val="auto"/>
                <w:sz w:val="18"/>
                <w:szCs w:val="18"/>
              </w:rPr>
            </w:pPr>
            <w:r>
              <w:rPr>
                <w:rFonts w:hint="eastAsia" w:ascii="宋体" w:hAnsi="宋体" w:eastAsia="宋体"/>
                <w:b/>
                <w:color w:val="auto"/>
                <w:sz w:val="18"/>
                <w:szCs w:val="18"/>
              </w:rPr>
              <w:t>资料处理方式（适用于办税服务厅办理）</w:t>
            </w:r>
          </w:p>
        </w:tc>
        <w:tc>
          <w:tcPr>
            <w:tcW w:w="1153" w:type="dxa"/>
            <w:shd w:val="clear" w:color="auto" w:fill="auto"/>
            <w:vAlign w:val="center"/>
          </w:tcPr>
          <w:p>
            <w:pPr>
              <w:pStyle w:val="13"/>
              <w:widowControl/>
              <w:adjustRightInd w:val="0"/>
              <w:snapToGrid w:val="0"/>
              <w:spacing w:before="100" w:after="100"/>
              <w:ind w:firstLine="0" w:firstLineChars="0"/>
              <w:jc w:val="center"/>
              <w:rPr>
                <w:rFonts w:ascii="宋体" w:hAnsi="宋体" w:eastAsia="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outset" w:color="auto" w:sz="4" w:space="0"/>
            <w:left w:val="outset" w:color="auto" w:sz="4" w:space="0"/>
            <w:bottom w:val="outset" w:color="auto" w:sz="4" w:space="0"/>
            <w:right w:val="outset" w:color="auto" w:sz="4" w:space="0"/>
            <w:insideH w:val="outset" w:color="auto" w:sz="4" w:space="0"/>
            <w:insideV w:val="outset" w:color="auto" w:sz="4" w:space="0"/>
          </w:tblBorders>
          <w:tblCellMar>
            <w:top w:w="0" w:type="dxa"/>
            <w:left w:w="0" w:type="dxa"/>
            <w:bottom w:w="0" w:type="dxa"/>
            <w:right w:w="0" w:type="dxa"/>
          </w:tblCellMar>
        </w:tblPrEx>
        <w:trPr>
          <w:trHeight w:val="339" w:hRule="atLeast"/>
          <w:tblCellSpacing w:w="0" w:type="dxa"/>
          <w:jc w:val="center"/>
        </w:trPr>
        <w:tc>
          <w:tcPr>
            <w:tcW w:w="661"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1</w:t>
            </w:r>
          </w:p>
        </w:tc>
        <w:tc>
          <w:tcPr>
            <w:tcW w:w="2028"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《放弃适用增值税零税率声明》及电子数据</w:t>
            </w:r>
          </w:p>
        </w:tc>
        <w:tc>
          <w:tcPr>
            <w:tcW w:w="850"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olor w:val="auto"/>
                <w:sz w:val="18"/>
                <w:szCs w:val="18"/>
              </w:rPr>
              <w:t>2</w:t>
            </w:r>
          </w:p>
        </w:tc>
        <w:tc>
          <w:tcPr>
            <w:tcW w:w="851"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olor w:val="auto"/>
                <w:sz w:val="18"/>
                <w:szCs w:val="18"/>
              </w:rPr>
              <w:t>必报</w:t>
            </w:r>
          </w:p>
        </w:tc>
        <w:tc>
          <w:tcPr>
            <w:tcW w:w="1439" w:type="dxa"/>
            <w:shd w:val="clear" w:color="auto" w:fill="auto"/>
            <w:vAlign w:val="center"/>
          </w:tcPr>
          <w:p>
            <w:pPr>
              <w:widowControl/>
              <w:spacing w:line="280" w:lineRule="exact"/>
              <w:ind w:firstLine="0" w:firstLineChars="0"/>
              <w:jc w:val="center"/>
              <w:rPr>
                <w:rFonts w:cs="微软雅黑"/>
                <w:color w:val="auto"/>
                <w:sz w:val="18"/>
                <w:szCs w:val="18"/>
              </w:rPr>
            </w:pPr>
          </w:p>
        </w:tc>
        <w:tc>
          <w:tcPr>
            <w:tcW w:w="1921" w:type="dxa"/>
            <w:shd w:val="clear" w:color="auto" w:fill="auto"/>
            <w:vAlign w:val="center"/>
          </w:tcPr>
          <w:p>
            <w:pPr>
              <w:widowControl/>
              <w:spacing w:line="280" w:lineRule="exact"/>
              <w:ind w:firstLine="0" w:firstLineChars="0"/>
              <w:jc w:val="center"/>
              <w:rPr>
                <w:rFonts w:ascii="宋体" w:hAnsi="宋体" w:eastAsia="宋体" w:cs="宋体"/>
                <w:color w:val="auto"/>
                <w:kern w:val="0"/>
                <w:sz w:val="18"/>
                <w:szCs w:val="18"/>
                <w:lang w:val="en-US" w:eastAsia="zh-CN" w:bidi="ar-SA"/>
              </w:rPr>
            </w:pPr>
            <w:r>
              <w:rPr>
                <w:rFonts w:hint="eastAsia" w:cs="宋体"/>
                <w:color w:val="auto"/>
                <w:kern w:val="0"/>
                <w:sz w:val="18"/>
                <w:szCs w:val="18"/>
              </w:rPr>
              <w:t>税务机关留存1份</w:t>
            </w:r>
          </w:p>
        </w:tc>
        <w:tc>
          <w:tcPr>
            <w:tcW w:w="1153" w:type="dxa"/>
            <w:shd w:val="clear" w:color="auto" w:fill="auto"/>
            <w:vAlign w:val="center"/>
          </w:tcPr>
          <w:p>
            <w:pPr>
              <w:widowControl/>
              <w:spacing w:line="280" w:lineRule="exact"/>
              <w:ind w:firstLine="0" w:firstLineChars="0"/>
              <w:jc w:val="center"/>
              <w:rPr>
                <w:rFonts w:cs="微软雅黑"/>
                <w:color w:val="auto"/>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left="0" w:leftChars="0" w:firstLine="552" w:firstLineChars="200"/>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color w:val="auto"/>
        </w:rPr>
      </w:pP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034" o:spt="75" type="#_x0000_t75" style="height:153.95pt;width:424.15pt;" o:ole="t" filled="f" o:preferrelative="t" stroked="f" coordsize="21600,21600">
            <v:path/>
            <v:fill on="f" focussize="0,0"/>
            <v:stroke on="f"/>
            <v:imagedata r:id="rId11" o:title=""/>
            <o:lock v:ext="edit" aspectratio="t"/>
            <w10:wrap type="none"/>
            <w10:anchorlock/>
          </v:shape>
          <o:OLEObject Type="Embed" ProgID="Visio.Drawing.11" ShapeID="_x0000_i1034"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资料齐全、符合法定形式的，税务机关受理后即办</w:t>
      </w:r>
      <w:r>
        <w:rPr>
          <w:rFonts w:hint="eastAsia"/>
          <w:color w:val="auto"/>
          <w:lang w:eastAsia="zh-CN"/>
        </w:rPr>
        <w:t>或</w:t>
      </w:r>
      <w:r>
        <w:rPr>
          <w:rFonts w:hint="eastAsia"/>
          <w:color w:val="auto"/>
          <w:lang w:val="en-US" w:eastAsia="zh-CN"/>
        </w:rPr>
        <w:t>7</w:t>
      </w:r>
      <w:r>
        <w:rPr>
          <w:rFonts w:hint="eastAsia"/>
          <w:color w:val="auto"/>
          <w:lang w:eastAsia="zh-CN"/>
        </w:rPr>
        <w:t>个工作日办</w:t>
      </w:r>
      <w:r>
        <w:rPr>
          <w:rFonts w:hint="eastAsia"/>
          <w:color w:val="auto"/>
        </w:rPr>
        <w:t>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Fonts w:hint="eastAsia"/>
          <w:color w:val="auto"/>
          <w:lang w:val="en-US" w:eastAsia="zh-CN"/>
        </w:rPr>
        <w:t>A08002</w:t>
      </w:r>
      <w:r>
        <w:rPr>
          <w:rFonts w:hint="eastAsia"/>
          <w:color w:val="auto"/>
          <w:sz w:val="24"/>
          <w:szCs w:val="24"/>
        </w:rPr>
        <w:t>《出口货物劳务放弃退（免）税声明》</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lang w:val="en-US" w:eastAsia="zh-CN"/>
        </w:rPr>
        <w:t>1.</w:t>
      </w:r>
      <w:r>
        <w:rPr>
          <w:rFonts w:hint="eastAsia"/>
          <w:color w:val="auto"/>
        </w:rPr>
        <w:t>出口企业需先结清出口退（免）税款后，方能办理放弃出口退（免）税权备案或放弃适用增值税零税率备案。有关结清税款业务具体处理要求可参考“出口退（免）税企业资格信息报告（变更）”中的相关内容。</w:t>
      </w:r>
    </w:p>
    <w:p>
      <w:pPr>
        <w:ind w:firstLine="472"/>
        <w:rPr>
          <w:rFonts w:hint="eastAsia"/>
          <w:color w:val="auto"/>
          <w:lang w:val="en-US" w:eastAsia="zh-CN"/>
        </w:rPr>
      </w:pPr>
      <w:r>
        <w:rPr>
          <w:rFonts w:hint="eastAsia"/>
          <w:color w:val="auto"/>
          <w:lang w:val="en-US" w:eastAsia="zh-CN"/>
        </w:rPr>
        <w:t>2.纳税人对报送资料的真实性和合法性承担责任。</w:t>
      </w:r>
    </w:p>
    <w:p>
      <w:pPr>
        <w:ind w:firstLine="472"/>
        <w:rPr>
          <w:rFonts w:hint="eastAsia"/>
          <w:color w:val="auto"/>
          <w:lang w:val="en-US" w:eastAsia="zh-CN"/>
        </w:rPr>
      </w:pPr>
      <w:r>
        <w:rPr>
          <w:rFonts w:hint="eastAsia"/>
          <w:color w:val="auto"/>
          <w:lang w:val="en-US" w:eastAsia="zh-CN"/>
        </w:rPr>
        <w:t>3.最多跑一次是在资料完整且符合法定受理条件的前提下，最多只需要到税务机关跑一次。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FDBF746"/>
    <w:multiLevelType w:val="singleLevel"/>
    <w:tmpl w:val="4FDBF746"/>
    <w:lvl w:ilvl="0" w:tentative="0">
      <w:start w:val="5"/>
      <w:numFmt w:val="chineseCounting"/>
      <w:suff w:val="nothing"/>
      <w:lvlText w:val="%1、"/>
      <w:lvlJc w:val="left"/>
      <w:rPr>
        <w:rFonts w:hint="eastAsia"/>
      </w:rPr>
    </w:lvl>
  </w:abstractNum>
  <w:abstractNum w:abstractNumId="2">
    <w:nsid w:val="62BE5E7F"/>
    <w:multiLevelType w:val="multilevel"/>
    <w:tmpl w:val="62BE5E7F"/>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15E2EE9"/>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2019-10-31T03:30:04Z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