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31374"/>
      <w:r>
        <w:rPr>
          <w:rFonts w:hint="eastAsia" w:ascii="黑体" w:hAnsi="黑体" w:cs="黑体"/>
          <w:color w:val="auto"/>
        </w:rPr>
        <w:t>1.1.4.6.1不动产项目报告</w:t>
      </w:r>
      <w:bookmarkEnd w:id="0"/>
    </w:p>
    <w:p>
      <w:pPr>
        <w:pStyle w:val="3"/>
        <w:ind w:firstLine="552"/>
        <w:rPr>
          <w:color w:val="auto"/>
        </w:rPr>
      </w:pPr>
      <w:r>
        <w:rPr>
          <w:color w:val="auto"/>
        </w:rPr>
        <w:t>一、事项名称</w:t>
      </w:r>
    </w:p>
    <w:p>
      <w:pPr>
        <w:ind w:firstLine="472"/>
        <w:rPr>
          <w:color w:val="auto"/>
        </w:rPr>
      </w:pPr>
      <w:r>
        <w:rPr>
          <w:color w:val="auto"/>
        </w:rPr>
        <w:t>不动产项目报告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eastAsia="黑体" w:asciiTheme="majorHAnsi" w:hAnsiTheme="majorHAnsi" w:cstheme="majorBidi"/>
          <w:bCs/>
          <w:color w:val="auto"/>
          <w:sz w:val="28"/>
          <w:szCs w:val="32"/>
          <w:lang w:eastAsia="zh-CN"/>
        </w:rPr>
        <w:t>办理条件</w:t>
      </w:r>
    </w:p>
    <w:p>
      <w:pPr>
        <w:ind w:firstLine="472"/>
        <w:rPr>
          <w:color w:val="auto"/>
        </w:rPr>
      </w:pPr>
      <w:r>
        <w:rPr>
          <w:rFonts w:hint="eastAsia"/>
          <w:color w:val="auto"/>
        </w:rPr>
        <w:t>不动产项目报告及变更是指纳税人在不动产销售合同签订之日起</w:t>
      </w:r>
      <w:r>
        <w:rPr>
          <w:rFonts w:hint="eastAsia"/>
          <w:bCs/>
          <w:color w:val="auto"/>
        </w:rPr>
        <w:t>30</w:t>
      </w:r>
      <w:r>
        <w:rPr>
          <w:color w:val="auto"/>
        </w:rPr>
        <w:t>日内，以及不动产项目登记内容发生变化之日起</w:t>
      </w:r>
      <w:r>
        <w:rPr>
          <w:rFonts w:hint="eastAsia"/>
          <w:bCs/>
          <w:color w:val="auto"/>
        </w:rPr>
        <w:t>30</w:t>
      </w:r>
      <w:r>
        <w:rPr>
          <w:color w:val="auto"/>
        </w:rPr>
        <w:t>日内，按照相关规定，持有关资料向不动产所在地主管税务机关进行不动产项目报告及变更的业务活动。</w:t>
      </w:r>
    </w:p>
    <w:p>
      <w:pPr>
        <w:pStyle w:val="3"/>
        <w:ind w:firstLine="552"/>
        <w:rPr>
          <w:color w:val="auto"/>
        </w:rPr>
      </w:pPr>
      <w:r>
        <w:rPr>
          <w:rFonts w:hint="eastAsia"/>
          <w:color w:val="auto"/>
        </w:rPr>
        <w:t>四、设定依据</w:t>
      </w:r>
    </w:p>
    <w:p>
      <w:pPr>
        <w:ind w:firstLine="472"/>
        <w:rPr>
          <w:color w:val="auto"/>
        </w:rPr>
      </w:pPr>
      <w:r>
        <w:rPr>
          <w:color w:val="auto"/>
        </w:rPr>
        <w:t>1.《财政部　国家税务总局关于全面推开营业税改征增值税试点的通知》（财税〔2016〕36号）全文</w:t>
      </w:r>
    </w:p>
    <w:p>
      <w:pPr>
        <w:ind w:firstLine="472"/>
        <w:rPr>
          <w:color w:val="auto"/>
        </w:rPr>
      </w:pPr>
      <w:r>
        <w:rPr>
          <w:color w:val="auto"/>
        </w:rPr>
        <w:t>2.《不动产、建筑业营业税项目管理及发票使用管理暂行办法》（国税发〔2006〕128号）全文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《不动产项目情况报告表》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营业执照副本</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未实行实名制的纳税人报送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税务登记证件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r>
              <w:rPr>
                <w:color w:val="auto"/>
                <w:sz w:val="18"/>
              </w:rPr>
              <w:t>未实行“多证合一、一照一码、两证整合”登记模式的纳税人报</w:t>
            </w:r>
            <w:r>
              <w:rPr>
                <w:rFonts w:hint="eastAsia"/>
                <w:color w:val="auto"/>
                <w:sz w:val="18"/>
              </w:rPr>
              <w:t>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31" o:spid="_x0000_s1031" o:spt="75" type="#_x0000_t75" style="position:absolute;left:0pt;margin-left:8.6pt;margin-top:16.6pt;height:104.45pt;width:439.3pt;mso-wrap-distance-bottom:0pt;mso-wrap-distance-left:9pt;mso-wrap-distance-right:9pt;mso-wrap-distance-top:0pt;z-index:251675648;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31"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A01045《不动产项目情况报告表》</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rFonts w:hint="eastAsia"/>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5177BD"/>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2019-10-31T03:32:34Z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