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32203"/>
      <w:r>
        <w:rPr>
          <w:rFonts w:hint="eastAsia" w:ascii="黑体" w:hAnsi="黑体"/>
          <w:color w:val="auto"/>
        </w:rPr>
        <w:t>1.2.3.1发票验（交）旧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发票验（交）旧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三、办理条件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单位和个人用发票时，应当按照税务机关的规定报告发票使用情况，税务机关应当按照规定对已开具发票存根联（记账联）、红字发票和作废发票进行查验，检查发票的开具是否符合有关规定。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2016年5月1日起，纳税人销售其取得的不动产和其他个人出租不动产，申请代开发票的，由征收税款的税务机关代开增值税专用发票。代开发票部门需再次领取增值税发票的，发票抄报税后，发票管理部门通过系统验旧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adjustRightInd w:val="0"/>
        <w:snapToGrid w:val="0"/>
        <w:ind w:firstLine="472"/>
        <w:rPr>
          <w:color w:val="auto"/>
        </w:rPr>
      </w:pPr>
      <w:r>
        <w:rPr>
          <w:rFonts w:hint="eastAsia"/>
          <w:color w:val="auto"/>
        </w:rPr>
        <w:t>1.《中华人民共和国发票管理办法》第十五条</w:t>
      </w:r>
    </w:p>
    <w:p>
      <w:pPr>
        <w:adjustRightInd w:val="0"/>
        <w:snapToGrid w:val="0"/>
        <w:ind w:firstLine="472"/>
        <w:rPr>
          <w:color w:val="auto"/>
        </w:rPr>
      </w:pPr>
      <w:r>
        <w:rPr>
          <w:rFonts w:hint="eastAsia"/>
          <w:color w:val="auto"/>
        </w:rPr>
        <w:t>“依法办理税务登记的单位和个人，在领取税务登记证件后，向主管税务机关申请领购发票。”</w:t>
      </w:r>
    </w:p>
    <w:p>
      <w:pPr>
        <w:adjustRightInd w:val="0"/>
        <w:snapToGrid w:val="0"/>
        <w:ind w:firstLine="472"/>
        <w:rPr>
          <w:color w:val="auto"/>
        </w:rPr>
      </w:pPr>
      <w:r>
        <w:rPr>
          <w:rFonts w:hint="eastAsia"/>
          <w:color w:val="auto"/>
        </w:rPr>
        <w:t>2.《中华人民共和国发票管理办法实施细则》（国家税务总局令第25号公布，国家税务总局令第37号、第44号、第48号修改）第十五条、第十七条</w:t>
      </w:r>
    </w:p>
    <w:p>
      <w:pPr>
        <w:adjustRightInd w:val="0"/>
        <w:snapToGrid w:val="0"/>
        <w:ind w:firstLine="472"/>
        <w:rPr>
          <w:color w:val="auto"/>
        </w:rPr>
      </w:pPr>
      <w:r>
        <w:rPr>
          <w:rFonts w:hint="eastAsia"/>
          <w:color w:val="auto"/>
        </w:rPr>
        <w:t>“第十五条《办法》第十五条所称领购方式是指批量供应、交旧购新或者验旧购新等方式。</w:t>
      </w:r>
    </w:p>
    <w:p>
      <w:pPr>
        <w:adjustRightInd w:val="0"/>
        <w:snapToGrid w:val="0"/>
        <w:ind w:firstLine="472"/>
        <w:rPr>
          <w:color w:val="auto"/>
        </w:rPr>
      </w:pPr>
      <w:r>
        <w:rPr>
          <w:rFonts w:hint="eastAsia"/>
          <w:color w:val="auto"/>
        </w:rPr>
        <w:t>第十七条《办法》第十五条所称发票使用情况是指发票领用存情况及相关开票数据。”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69"/>
        <w:gridCol w:w="850"/>
        <w:gridCol w:w="980"/>
        <w:gridCol w:w="1587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96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bidi="ar"/>
              </w:rPr>
              <w:t>定额发票、开具金额、开具日期等内容的分月汇总开具信息，红字发票、作废发票全部联次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196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bidi="ar"/>
              </w:rPr>
              <w:t>存储介质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</w:t>
            </w: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报送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需上传发票电子开具信息、下载开具发票电子解锁文件的情况</w:t>
            </w: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提供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069" o:spt="75" type="#_x0000_t75" style="height:133.1pt;width:442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69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无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0FD06CD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2019-10-31T03:41:03Z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