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黑体" w:hAnsi="黑体"/>
          <w:color w:val="auto"/>
        </w:rPr>
      </w:pPr>
      <w:bookmarkStart w:id="1" w:name="_GoBack"/>
      <w:bookmarkEnd w:id="1"/>
      <w:bookmarkStart w:id="0" w:name="_Toc24920"/>
      <w:r>
        <w:rPr>
          <w:rFonts w:hint="default" w:ascii="黑体" w:hAnsi="黑体"/>
          <w:color w:val="auto"/>
        </w:rPr>
        <w:t>14.1.1税务师事务所行政登记</w:t>
      </w:r>
      <w:bookmarkEnd w:id="0"/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【事项名称】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税务师事务所行政登记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</w:t>
      </w:r>
      <w:r>
        <w:rPr>
          <w:rFonts w:hint="default" w:eastAsia="黑体" w:asciiTheme="majorHAnsi" w:hAnsiTheme="majorHAnsi" w:cstheme="majorBidi"/>
          <w:bCs/>
          <w:color w:val="auto"/>
          <w:sz w:val="28"/>
          <w:lang w:val="en-US" w:eastAsia="zh-CN"/>
        </w:rPr>
        <w:t>申请条件</w:t>
      </w:r>
      <w:r>
        <w:rPr>
          <w:rFonts w:hint="default" w:eastAsia="黑体" w:asciiTheme="majorHAnsi" w:hAnsiTheme="majorHAnsi" w:cstheme="majorBidi"/>
          <w:bCs/>
          <w:color w:val="auto"/>
          <w:sz w:val="28"/>
        </w:rPr>
        <w:t>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在商事登记名称中含有“税务师事务所”字样的行政相对人，应当向省税务机关申请办理行政登记。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【设定依据】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1．《国家税务总局关于发布&lt;涉税专业服务监管办法（试行）&gt;的公告》（国家税务总局公告2017年第13号）第七条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“行政相对人提交材料齐全、符合法定形式的，省税务机关即时受理；材料不齐全或者不符合法定形式的，一次性告知需要补正的全部材料。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省税务机关自受理材料之日起20个工作日内办理税务师事务所行政登记。符合行政登记条件的，将税务师事务所名称、合伙人或者股东、执行事务合伙人或者法定代表人、职业资格人员等有关信息在门户网站公示，公示期不得少于5个工作日。公示期满无异议或者公示期内有异议、但经调查异议不实的，予以行政登记，颁发纸质《登记证书》或者电子证书，证书编号使用统一社会信用代码。省税务机关在门户网站、电子税务局和办税服务场所对取得《登记证书》的税务师事务所的相关信息进行公告，同时将《税务师事务所行政登记表》报送国家税务总局，抄送省税务师行业协会。</w:t>
      </w:r>
    </w:p>
    <w:p>
      <w:pPr>
        <w:ind w:firstLine="472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不符合行政登记条件或者公示期内有异议、经调查确不符合行政登记条件的，出具《税务师事务所行政登记不予登记通知书》（以下简称《不予登记通知书》，见附件3）并公告，同时将有关材料抄送工商行政管理部门。”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2.《国家税务总局关于发布&lt;税务师事务所行政登记规程（试行）&gt;的公告》（国家税务总局公告2017年第31号）全文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【办理材料】</w:t>
      </w:r>
    </w:p>
    <w:tbl>
      <w:tblPr>
        <w:tblStyle w:val="15"/>
        <w:tblW w:w="8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835"/>
        <w:gridCol w:w="68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2"/>
              </w:rPr>
              <w:t>序号</w:t>
            </w:r>
          </w:p>
        </w:tc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2"/>
              </w:rPr>
              <w:t>材料名称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2"/>
              </w:rPr>
              <w:t>数量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22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22"/>
              </w:rPr>
              <w:t>《税务师事务所行政登记表》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22"/>
              </w:rPr>
              <w:t>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22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22"/>
              </w:rPr>
              <w:t>营业执照复印件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22"/>
              </w:rPr>
              <w:t>1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22"/>
              </w:rPr>
              <w:t>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1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2"/>
                <w:lang w:val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2"/>
                <w:lang w:val="zh-CN"/>
              </w:rPr>
              <w:t>有以下情形的，还应提供相应材料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适用情形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材料名称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9D9D9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22"/>
              </w:rPr>
              <w:t>机构担任税务师事务所合伙人或股东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22"/>
              </w:rPr>
              <w:t>《税务师事务所机构合伙人或股东信息备案表》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18"/>
                <w:szCs w:val="22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18"/>
                <w:szCs w:val="22"/>
              </w:rPr>
              <w:t>2</w:t>
            </w:r>
            <w:r>
              <w:rPr>
                <w:rFonts w:hint="eastAsia" w:ascii="黑体" w:hAnsi="黑体" w:eastAsia="黑体" w:cs="黑体"/>
                <w:color w:val="auto"/>
                <w:sz w:val="18"/>
                <w:szCs w:val="22"/>
              </w:rPr>
              <w:t>份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default" w:ascii="黑体" w:hAnsi="黑体" w:eastAsia="黑体" w:cs="黑体"/>
                <w:color w:val="auto"/>
                <w:sz w:val="21"/>
                <w:szCs w:val="22"/>
              </w:rPr>
            </w:pPr>
          </w:p>
        </w:tc>
      </w:tr>
    </w:tbl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 w:val="0"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【办理地点】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国家税务总局河南省税务局纳税服务处（地址：郑州市金水区丰产路111号）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【办理机构】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国家税务总局河南省税务局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【收费标准】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</w:t>
      </w:r>
      <w:r>
        <w:rPr>
          <w:rFonts w:hint="default" w:eastAsia="黑体" w:asciiTheme="majorHAnsi" w:hAnsiTheme="majorHAnsi" w:cstheme="majorBidi"/>
          <w:bCs/>
          <w:color w:val="auto"/>
          <w:sz w:val="28"/>
          <w:szCs w:val="32"/>
          <w:lang w:val="en-US" w:eastAsia="zh-CN"/>
        </w:rPr>
        <w:t>时限</w:t>
      </w: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省税务机关自受理材料之日起20个工作日内办理税务师事务所行政登记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【办理时间】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上午8:00-12:00，下午14:30-17:30（冬）15:00-18:00（夏）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【联系电话】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拨打</w:t>
      </w:r>
      <w:r>
        <w:rPr>
          <w:rFonts w:hint="eastAsia"/>
          <w:color w:val="auto"/>
        </w:rPr>
        <w:t>12366</w:t>
      </w:r>
      <w:r>
        <w:rPr>
          <w:rFonts w:hint="eastAsia"/>
          <w:color w:val="auto"/>
          <w:lang w:val="en-US" w:eastAsia="zh-CN"/>
        </w:rPr>
        <w:t>热线</w: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【办理流程】</w:t>
      </w:r>
    </w:p>
    <w:p>
      <w:pPr>
        <w:wordWrap w:val="0"/>
        <w:spacing w:line="360" w:lineRule="auto"/>
        <w:ind w:firstLine="0" w:firstLineChars="0"/>
        <w:jc w:val="center"/>
        <w:rPr>
          <w:rFonts w:hint="default" w:ascii="宋体" w:hAnsi="宋体" w:eastAsia="宋体" w:cs="黑体"/>
          <w:b/>
          <w:color w:val="auto"/>
          <w:sz w:val="24"/>
        </w:rPr>
      </w:pPr>
      <w:r>
        <w:rPr>
          <w:rFonts w:hint="eastAsia" w:ascii="Times New Roman" w:hAnsi="Times New Roman" w:eastAsia="宋体" w:cs="Times New Roman"/>
          <w:color w:val="auto"/>
          <w:sz w:val="24"/>
        </w:rPr>
        <w:object>
          <v:shape id="_x0000_i1202" o:spt="75" type="#_x0000_t75" style="height:147.75pt;width:390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202" DrawAspect="Content" ObjectID="_1468075725" r:id="rId10">
            <o:LockedField>false</o:LockedField>
          </o:OLEObject>
        </w:object>
      </w:r>
    </w:p>
    <w:p>
      <w:pPr>
        <w:pStyle w:val="3"/>
        <w:wordWrap w:val="0"/>
        <w:spacing w:line="360" w:lineRule="auto"/>
        <w:ind w:firstLine="552" w:firstLineChars="200"/>
        <w:rPr>
          <w:rFonts w:hint="default" w:eastAsia="黑体" w:asciiTheme="majorHAnsi" w:hAnsiTheme="majorHAnsi" w:cstheme="majorBidi"/>
          <w:bCs/>
          <w:color w:val="auto"/>
          <w:sz w:val="28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</w:rPr>
        <w:t>【注意事项】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1.行政相对</w:t>
      </w:r>
      <w:r>
        <w:rPr>
          <w:rFonts w:hint="default"/>
          <w:color w:val="auto"/>
        </w:rPr>
        <w:t>人对报送材料的真实性和合法性承担责任。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2.</w:t>
      </w:r>
      <w:r>
        <w:rPr>
          <w:rFonts w:hint="default"/>
          <w:color w:val="auto"/>
        </w:rPr>
        <w:t>文书表单可在</w:t>
      </w:r>
      <w:r>
        <w:rPr>
          <w:rFonts w:hint="eastAsia"/>
          <w:color w:val="auto"/>
        </w:rPr>
        <w:t>国家税务总局河南省税务局网站“下载中心”栏目</w:t>
      </w:r>
      <w:r>
        <w:rPr>
          <w:rFonts w:hint="default"/>
          <w:color w:val="auto"/>
        </w:rPr>
        <w:t>查询下载或到办税服务厅领取。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3.行政相对</w:t>
      </w:r>
      <w:r>
        <w:rPr>
          <w:rFonts w:hint="default"/>
          <w:color w:val="auto"/>
        </w:rPr>
        <w:t>人</w:t>
      </w:r>
      <w:r>
        <w:rPr>
          <w:rFonts w:hint="eastAsia"/>
          <w:color w:val="auto"/>
        </w:rPr>
        <w:t>提供的各项资料为复印件的，均须注明“与原件一致”并签章。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4.新设税务师事务所在办理行政登记前，应到主管税务机关完善税务登记信息，并与市场监管部门登记信息保持一致，以便在省税务机关进行行政登记时能够顺利录入金税三期系统。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5.行政相对人未经行政登记不得使用“税务师事务所”名称，不能享有税务师事务所的合法权益。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6.税务师事务所采取合伙制或者有限责任制组织形式的，除国家税务总局另有规定外，应当具备下列条件：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（1）合伙人或者股东由税务师、注册会计师、律师担任，其中税务师占比应高于百分之五十；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（2）有限责任制税务师事务所的法定代表人由股东担任；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（3）税务师、注册会计师、律师不能同时在两家以上的税务师事务所担任合伙人、股东或者从业；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（4）税务师事务所字号不得与已经行政登记的税务师事务所字号重复。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7.机构担任税务师事务所的合伙人或者股东的情形：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（1）符合以下条件的税务师事务所，可以担任税务师事务所的合伙人或者股东：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①执行事务合伙人或者法定代表人由税务师担任；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②前3年内未因涉税专业服务行为受到税务行政处罚；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③法律行政法规和国家税务总局规定的其他条件。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（2）符合以下条件的从事涉税专业服务的科技、咨询公司，可以担任税务师事务所的合伙人或者股东：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①由税务师或者税务师事务所的合伙人（股东）发起设立，法定代表人由税务师担任；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②前3年内未因涉税专业服务行为受到税务行政处罚；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③法律行政法规和国家税务总局规定的其他条件。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8.税务师事务所分所的负责人应当由总所的合伙人或者股东担任。税务师事务所分所的行政登记参照本节办理。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</w:rPr>
        <w:t>9.从事涉税专业服务的会计师事务所和律师事务所，依法取得会计师事务所执业证书或律师事务所执业许可证，视同行政登记。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572907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2019-10-31T05:22:01Z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