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黑体" w:hAnsi="黑体"/>
          <w:color w:val="auto"/>
        </w:rPr>
      </w:pPr>
      <w:bookmarkStart w:id="1" w:name="_GoBack"/>
      <w:bookmarkEnd w:id="1"/>
      <w:bookmarkStart w:id="0" w:name="_Toc21449"/>
      <w:r>
        <w:rPr>
          <w:rFonts w:hint="eastAsia" w:ascii="黑体" w:hAnsi="黑体"/>
          <w:color w:val="auto"/>
          <w:lang w:val="en-US" w:eastAsia="zh-CN"/>
        </w:rPr>
        <w:t>2</w:t>
      </w:r>
      <w:r>
        <w:rPr>
          <w:rFonts w:hint="default" w:ascii="黑体" w:hAnsi="黑体"/>
          <w:color w:val="auto"/>
        </w:rPr>
        <w:t>.8.1</w:t>
      </w:r>
      <w:r>
        <w:rPr>
          <w:rFonts w:hint="eastAsia" w:ascii="黑体" w:hAnsi="黑体"/>
          <w:color w:val="auto"/>
        </w:rPr>
        <w:t>预约定价</w:t>
      </w:r>
      <w:r>
        <w:rPr>
          <w:rFonts w:hint="default" w:ascii="黑体" w:hAnsi="黑体"/>
          <w:color w:val="auto"/>
        </w:rPr>
        <w:t>安排管理</w:t>
      </w:r>
      <w:bookmarkEnd w:id="0"/>
    </w:p>
    <w:p>
      <w:pPr>
        <w:pStyle w:val="3"/>
        <w:ind w:firstLine="552"/>
        <w:rPr>
          <w:color w:val="auto"/>
        </w:rPr>
      </w:pPr>
      <w:r>
        <w:rPr>
          <w:color w:val="auto"/>
        </w:rPr>
        <w:t>一、事项名称</w:t>
      </w:r>
    </w:p>
    <w:p>
      <w:pPr>
        <w:ind w:left="0" w:leftChars="0" w:firstLine="472" w:firstLineChars="200"/>
        <w:rPr>
          <w:rFonts w:hint="eastAsia"/>
          <w:color w:val="auto"/>
        </w:rPr>
      </w:pPr>
      <w:r>
        <w:rPr>
          <w:rFonts w:hint="eastAsia"/>
          <w:color w:val="auto"/>
        </w:rPr>
        <w:t>预约定价安排管理</w:t>
      </w:r>
    </w:p>
    <w:p>
      <w:pPr>
        <w:pStyle w:val="3"/>
        <w:ind w:firstLine="552"/>
        <w:rPr>
          <w:color w:val="auto"/>
        </w:rPr>
      </w:pPr>
      <w:r>
        <w:rPr>
          <w:color w:val="auto"/>
        </w:rPr>
        <w:t>二、事项类别</w:t>
      </w:r>
    </w:p>
    <w:p>
      <w:pPr>
        <w:pStyle w:val="47"/>
        <w:numPr>
          <w:ilvl w:val="0"/>
          <w:numId w:val="3"/>
        </w:numPr>
        <w:ind w:left="0" w:firstLine="472"/>
        <w:rPr>
          <w:color w:val="auto"/>
        </w:rPr>
      </w:pPr>
      <w:r>
        <w:rPr>
          <w:rFonts w:hint="eastAsia"/>
          <w:color w:val="auto"/>
        </w:rPr>
        <w:t>发起方式：人工发起（纳税人）</w:t>
      </w:r>
    </w:p>
    <w:p>
      <w:pPr>
        <w:pStyle w:val="47"/>
        <w:numPr>
          <w:ilvl w:val="0"/>
          <w:numId w:val="3"/>
        </w:numPr>
        <w:ind w:left="0" w:firstLine="472"/>
        <w:rPr>
          <w:color w:val="auto"/>
        </w:rPr>
      </w:pPr>
      <w:r>
        <w:rPr>
          <w:rFonts w:hint="eastAsia"/>
          <w:color w:val="auto"/>
        </w:rPr>
        <w:t>办结方式：限时办结</w:t>
      </w:r>
    </w:p>
    <w:p>
      <w:pPr>
        <w:pStyle w:val="47"/>
        <w:numPr>
          <w:ilvl w:val="0"/>
          <w:numId w:val="3"/>
        </w:numPr>
        <w:ind w:left="0" w:firstLine="472"/>
        <w:rPr>
          <w:color w:val="auto"/>
        </w:rPr>
      </w:pPr>
      <w:r>
        <w:rPr>
          <w:rFonts w:hint="eastAsia"/>
          <w:color w:val="auto"/>
        </w:rPr>
        <w:t>全省通办：否</w:t>
      </w:r>
    </w:p>
    <w:p>
      <w:pPr>
        <w:pStyle w:val="47"/>
        <w:numPr>
          <w:ilvl w:val="0"/>
          <w:numId w:val="3"/>
        </w:numPr>
        <w:ind w:left="0" w:firstLine="472"/>
        <w:rPr>
          <w:color w:val="auto"/>
        </w:rPr>
      </w:pPr>
      <w:r>
        <w:rPr>
          <w:rFonts w:hint="eastAsia"/>
          <w:color w:val="auto"/>
        </w:rPr>
        <w:t>网上办理：否</w:t>
      </w:r>
    </w:p>
    <w:p>
      <w:pPr>
        <w:pStyle w:val="47"/>
        <w:numPr>
          <w:ilvl w:val="0"/>
          <w:numId w:val="3"/>
        </w:numPr>
        <w:ind w:left="0" w:firstLine="472"/>
        <w:rPr>
          <w:color w:val="auto"/>
        </w:rPr>
      </w:pPr>
      <w:r>
        <w:rPr>
          <w:rFonts w:hint="eastAsia"/>
          <w:color w:val="auto"/>
        </w:rPr>
        <w:t>适用层级：总局</w:t>
      </w:r>
      <w:r>
        <w:rPr>
          <w:color w:val="auto"/>
        </w:rPr>
        <w:t>、</w:t>
      </w:r>
      <w:r>
        <w:rPr>
          <w:rFonts w:hint="eastAsia"/>
          <w:color w:val="auto"/>
        </w:rPr>
        <w:t>省、市、县</w:t>
      </w:r>
      <w:r>
        <w:rPr>
          <w:color w:val="auto"/>
        </w:rPr>
        <w:t>（</w:t>
      </w:r>
      <w:r>
        <w:rPr>
          <w:rFonts w:hint="eastAsia"/>
          <w:color w:val="auto"/>
        </w:rPr>
        <w:t>市</w:t>
      </w:r>
      <w:r>
        <w:rPr>
          <w:color w:val="auto"/>
        </w:rPr>
        <w:t>、</w:t>
      </w:r>
      <w:r>
        <w:rPr>
          <w:rFonts w:hint="eastAsia"/>
          <w:color w:val="auto"/>
        </w:rPr>
        <w:t>区</w:t>
      </w:r>
      <w:r>
        <w:rPr>
          <w:color w:val="auto"/>
        </w:rPr>
        <w:t>）</w:t>
      </w:r>
      <w:r>
        <w:rPr>
          <w:rFonts w:hint="eastAsia"/>
          <w:color w:val="auto"/>
        </w:rPr>
        <w:t>级</w:t>
      </w:r>
    </w:p>
    <w:p>
      <w:pPr>
        <w:pStyle w:val="47"/>
        <w:numPr>
          <w:ilvl w:val="0"/>
          <w:numId w:val="4"/>
        </w:numPr>
        <w:ind w:firstLineChars="0"/>
        <w:rPr>
          <w:color w:val="auto"/>
        </w:rPr>
      </w:pPr>
      <w:r>
        <w:rPr>
          <w:rFonts w:hint="eastAsia"/>
          <w:color w:val="auto"/>
        </w:rPr>
        <w:t>最多跑一次：</w:t>
      </w:r>
      <w:r>
        <w:rPr>
          <w:rFonts w:hint="eastAsia"/>
          <w:color w:val="auto"/>
          <w:lang w:val="en-US" w:eastAsia="zh-CN"/>
        </w:rPr>
        <w:t>否</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color w:val="auto"/>
        </w:rPr>
      </w:pPr>
      <w:r>
        <w:rPr>
          <w:color w:val="auto"/>
        </w:rPr>
        <w:t>预约定价安排管理，是指企业与税务机关就企业未来年度关联交易的定价原则和计算方法达成预约定价安排。预约定价安排的谈签与执行通常经过</w:t>
      </w:r>
      <w:r>
        <w:rPr>
          <w:rFonts w:hint="eastAsia"/>
          <w:color w:val="auto"/>
        </w:rPr>
        <w:t>预备会谈、谈签意向、分析评估、正式申请、协商签署和监控执行6个阶段</w:t>
      </w:r>
      <w:r>
        <w:rPr>
          <w:color w:val="auto"/>
        </w:rPr>
        <w:t>。预约定价安排包括单边、双边和多边三种类型。税务机关与企业达成的预约定价安排，只要企业遵守了安排的全部条款及其要求，各地</w:t>
      </w:r>
      <w:r>
        <w:rPr>
          <w:rFonts w:hint="eastAsia"/>
          <w:color w:val="auto"/>
        </w:rPr>
        <w:t>税务机关均应</w:t>
      </w:r>
      <w:r>
        <w:rPr>
          <w:color w:val="auto"/>
        </w:rPr>
        <w:t>执行。</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lang w:eastAsia="zh-CN"/>
        </w:rPr>
        <w:t>1.</w:t>
      </w:r>
      <w:r>
        <w:rPr>
          <w:rFonts w:hint="eastAsia"/>
          <w:color w:val="auto"/>
        </w:rPr>
        <w:t>中国政府与其他国家政府签订的避免双重征税协定，内地与香港、澳门签订的避免双重征税安排</w:t>
      </w:r>
    </w:p>
    <w:p>
      <w:pPr>
        <w:ind w:firstLine="472"/>
        <w:rPr>
          <w:rFonts w:hint="eastAsia"/>
          <w:color w:val="auto"/>
        </w:rPr>
      </w:pPr>
      <w:r>
        <w:rPr>
          <w:rFonts w:hint="eastAsia"/>
          <w:color w:val="auto"/>
          <w:lang w:eastAsia="zh-CN"/>
        </w:rPr>
        <w:t>2.</w:t>
      </w:r>
      <w:r>
        <w:rPr>
          <w:rFonts w:hint="eastAsia"/>
          <w:color w:val="auto"/>
        </w:rPr>
        <w:t>《中华人民共和国企业所得税法》第四十二条</w:t>
      </w:r>
    </w:p>
    <w:p>
      <w:pPr>
        <w:ind w:firstLine="472"/>
        <w:rPr>
          <w:rFonts w:hint="eastAsia"/>
          <w:color w:val="auto"/>
          <w:lang w:eastAsia="zh-CN"/>
        </w:rPr>
      </w:pPr>
      <w:r>
        <w:rPr>
          <w:rFonts w:hint="eastAsia"/>
          <w:color w:val="auto"/>
          <w:lang w:eastAsia="zh-CN"/>
        </w:rPr>
        <w:t>“</w:t>
      </w:r>
      <w:r>
        <w:rPr>
          <w:rFonts w:hint="eastAsia"/>
          <w:color w:val="auto"/>
        </w:rPr>
        <w:t>企业可以向税务机关提出与其关联方之间业务往来的定价原则和计算方法，税务机关与企业协商、确认后，达成预约定价安排。</w:t>
      </w:r>
      <w:r>
        <w:rPr>
          <w:rFonts w:hint="eastAsia"/>
          <w:color w:val="auto"/>
          <w:lang w:eastAsia="zh-CN"/>
        </w:rPr>
        <w:t>”</w:t>
      </w:r>
    </w:p>
    <w:p>
      <w:pPr>
        <w:ind w:firstLine="472"/>
        <w:rPr>
          <w:rFonts w:hint="eastAsia"/>
          <w:color w:val="auto"/>
        </w:rPr>
      </w:pPr>
      <w:r>
        <w:rPr>
          <w:rFonts w:hint="eastAsia"/>
          <w:color w:val="auto"/>
          <w:lang w:eastAsia="zh-CN"/>
        </w:rPr>
        <w:t>3.</w:t>
      </w:r>
      <w:r>
        <w:rPr>
          <w:rFonts w:hint="eastAsia"/>
          <w:color w:val="auto"/>
        </w:rPr>
        <w:t>《中华人民共和国企业所得税法实施条例》第一百一十三条</w:t>
      </w:r>
    </w:p>
    <w:p>
      <w:pPr>
        <w:ind w:firstLine="472"/>
        <w:rPr>
          <w:rFonts w:hint="eastAsia"/>
          <w:color w:val="auto"/>
          <w:lang w:eastAsia="zh-CN"/>
        </w:rPr>
      </w:pPr>
      <w:r>
        <w:rPr>
          <w:rFonts w:hint="eastAsia"/>
          <w:color w:val="auto"/>
          <w:lang w:eastAsia="zh-CN"/>
        </w:rPr>
        <w:t>“</w:t>
      </w:r>
      <w:r>
        <w:rPr>
          <w:rFonts w:hint="eastAsia"/>
          <w:color w:val="auto"/>
        </w:rPr>
        <w:t>企业所得税法第四十二条所称预约定价安排，是指企业就其未来年度关联交易的定价原则和计算方法，向税务机关提出申请，与税务机关按照独立交易原则协商、确认后达成的协议。</w:t>
      </w:r>
      <w:r>
        <w:rPr>
          <w:rFonts w:hint="eastAsia"/>
          <w:color w:val="auto"/>
          <w:lang w:eastAsia="zh-CN"/>
        </w:rPr>
        <w:t>”</w:t>
      </w:r>
    </w:p>
    <w:p>
      <w:pPr>
        <w:ind w:firstLine="472"/>
        <w:rPr>
          <w:rFonts w:hint="eastAsia"/>
          <w:color w:val="auto"/>
        </w:rPr>
      </w:pPr>
      <w:r>
        <w:rPr>
          <w:rFonts w:hint="eastAsia"/>
          <w:color w:val="auto"/>
          <w:lang w:eastAsia="zh-CN"/>
        </w:rPr>
        <w:t>4.</w:t>
      </w:r>
      <w:r>
        <w:rPr>
          <w:rFonts w:hint="eastAsia"/>
          <w:color w:val="auto"/>
        </w:rPr>
        <w:t>《中华人民共和国税收征收管理法实施细则》第五十三条</w:t>
      </w:r>
    </w:p>
    <w:p>
      <w:pPr>
        <w:ind w:firstLine="472"/>
        <w:rPr>
          <w:rFonts w:hint="eastAsia"/>
          <w:color w:val="auto"/>
        </w:rPr>
      </w:pPr>
      <w:r>
        <w:rPr>
          <w:rFonts w:hint="eastAsia"/>
          <w:color w:val="auto"/>
          <w:lang w:eastAsia="zh-CN"/>
        </w:rPr>
        <w:t>“</w:t>
      </w:r>
      <w:r>
        <w:rPr>
          <w:rFonts w:hint="eastAsia"/>
          <w:color w:val="auto"/>
        </w:rPr>
        <w:t>纳税人可以向主管税务机关提出与其关联企业之间业务往来的定价原则和计算方法，主管税务机关审核、批准后，与纳税人预先约定有关定价事项，监督纳税人执行。</w:t>
      </w:r>
      <w:r>
        <w:rPr>
          <w:rFonts w:hint="eastAsia"/>
          <w:color w:val="auto"/>
          <w:lang w:eastAsia="zh-CN"/>
        </w:rPr>
        <w:t>”</w:t>
      </w:r>
      <w:r>
        <w:rPr>
          <w:rFonts w:hint="eastAsia"/>
          <w:color w:val="auto"/>
        </w:rPr>
        <w:t> </w:t>
      </w:r>
    </w:p>
    <w:p>
      <w:pPr>
        <w:ind w:firstLine="472"/>
        <w:rPr>
          <w:rFonts w:hint="eastAsia" w:eastAsia="宋体"/>
          <w:color w:val="auto"/>
          <w:lang w:eastAsia="zh-CN"/>
        </w:rPr>
      </w:pPr>
      <w:r>
        <w:rPr>
          <w:rFonts w:hint="eastAsia"/>
          <w:color w:val="auto"/>
          <w:lang w:eastAsia="zh-CN"/>
        </w:rPr>
        <w:t>5.</w:t>
      </w:r>
      <w:r>
        <w:rPr>
          <w:rFonts w:hint="eastAsia"/>
          <w:color w:val="auto"/>
        </w:rPr>
        <w:t>《国家税务总局关于完善预约定价安排管理有关事项的公告》（国家税务总局公告</w:t>
      </w:r>
      <w:r>
        <w:rPr>
          <w:rFonts w:hint="eastAsia"/>
          <w:color w:val="auto"/>
          <w:lang w:eastAsia="zh-CN"/>
        </w:rPr>
        <w:t>2016</w:t>
      </w:r>
      <w:r>
        <w:rPr>
          <w:rFonts w:hint="eastAsia"/>
          <w:color w:val="auto"/>
        </w:rPr>
        <w:t>年第</w:t>
      </w:r>
      <w:r>
        <w:rPr>
          <w:rFonts w:hint="eastAsia"/>
          <w:color w:val="auto"/>
          <w:lang w:eastAsia="zh-CN"/>
        </w:rPr>
        <w:t>64</w:t>
      </w:r>
      <w:r>
        <w:rPr>
          <w:rFonts w:hint="eastAsia"/>
          <w:color w:val="auto"/>
        </w:rPr>
        <w:t>号发布，国家税务总局公告</w:t>
      </w:r>
      <w:r>
        <w:rPr>
          <w:rFonts w:hint="eastAsia"/>
          <w:color w:val="auto"/>
          <w:lang w:eastAsia="zh-CN"/>
        </w:rPr>
        <w:t>2018</w:t>
      </w:r>
      <w:r>
        <w:rPr>
          <w:rFonts w:hint="eastAsia"/>
          <w:color w:val="auto"/>
        </w:rPr>
        <w:t>年第</w:t>
      </w:r>
      <w:r>
        <w:rPr>
          <w:rFonts w:hint="eastAsia"/>
          <w:color w:val="auto"/>
          <w:lang w:eastAsia="zh-CN"/>
        </w:rPr>
        <w:t>31</w:t>
      </w:r>
      <w:r>
        <w:rPr>
          <w:rFonts w:hint="eastAsia"/>
          <w:color w:val="auto"/>
        </w:rPr>
        <w:t>号修改）</w:t>
      </w:r>
      <w:r>
        <w:rPr>
          <w:rFonts w:hint="eastAsia"/>
          <w:color w:val="auto"/>
          <w:lang w:eastAsia="zh-CN"/>
        </w:rPr>
        <w:t>全文</w:t>
      </w:r>
    </w:p>
    <w:p>
      <w:pPr>
        <w:ind w:firstLine="472"/>
        <w:rPr>
          <w:rFonts w:hint="eastAsia" w:eastAsia="宋体"/>
          <w:color w:val="auto"/>
          <w:lang w:eastAsia="zh-CN"/>
        </w:rPr>
      </w:pPr>
      <w:r>
        <w:rPr>
          <w:rFonts w:hint="eastAsia"/>
          <w:color w:val="auto"/>
          <w:lang w:eastAsia="zh-CN"/>
        </w:rPr>
        <w:t>6.</w:t>
      </w:r>
      <w:r>
        <w:rPr>
          <w:rFonts w:hint="eastAsia"/>
          <w:color w:val="auto"/>
        </w:rPr>
        <w:t>《国家税务总局关于发布〈特别纳税调查调整及相互协商程序管理办法〉的公告》（国家税务总局公告</w:t>
      </w:r>
      <w:r>
        <w:rPr>
          <w:rFonts w:hint="eastAsia"/>
          <w:color w:val="auto"/>
          <w:lang w:eastAsia="zh-CN"/>
        </w:rPr>
        <w:t>2017</w:t>
      </w:r>
      <w:r>
        <w:rPr>
          <w:rFonts w:hint="eastAsia"/>
          <w:color w:val="auto"/>
        </w:rPr>
        <w:t>年第</w:t>
      </w:r>
      <w:r>
        <w:rPr>
          <w:rFonts w:hint="eastAsia"/>
          <w:color w:val="auto"/>
          <w:lang w:eastAsia="zh-CN"/>
        </w:rPr>
        <w:t>6</w:t>
      </w:r>
      <w:r>
        <w:rPr>
          <w:rFonts w:hint="eastAsia"/>
          <w:color w:val="auto"/>
        </w:rPr>
        <w:t>号）</w:t>
      </w:r>
      <w:r>
        <w:rPr>
          <w:rFonts w:hint="eastAsia"/>
          <w:color w:val="auto"/>
          <w:lang w:eastAsia="zh-CN"/>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461"/>
        <w:gridCol w:w="684"/>
        <w:gridCol w:w="873"/>
        <w:gridCol w:w="1232"/>
        <w:gridCol w:w="1400"/>
        <w:gridCol w:w="100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46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68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873"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23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400"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00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r>
              <w:rPr>
                <w:rFonts w:hint="eastAsia" w:ascii="宋体" w:hAnsi="宋体" w:eastAsia="宋体" w:cs="宋体"/>
                <w:color w:val="auto"/>
                <w:sz w:val="18"/>
                <w:szCs w:val="18"/>
              </w:rPr>
              <w:t>1</w:t>
            </w:r>
          </w:p>
        </w:tc>
        <w:tc>
          <w:tcPr>
            <w:tcW w:w="246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《预约定价安排预备会谈申请书》</w:t>
            </w:r>
          </w:p>
        </w:tc>
        <w:tc>
          <w:tcPr>
            <w:tcW w:w="684"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r>
              <w:rPr>
                <w:rStyle w:val="17"/>
                <w:rFonts w:hint="eastAsia" w:ascii="宋体" w:hAnsi="宋体" w:eastAsia="宋体" w:cs="微软雅黑"/>
                <w:color w:val="auto"/>
                <w:sz w:val="18"/>
                <w:szCs w:val="18"/>
              </w:rPr>
              <w:t>1</w:t>
            </w:r>
          </w:p>
        </w:tc>
        <w:tc>
          <w:tcPr>
            <w:tcW w:w="873"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232"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p>
        </w:tc>
        <w:tc>
          <w:tcPr>
            <w:tcW w:w="1400"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00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r>
              <w:rPr>
                <w:rFonts w:ascii="宋体" w:hAnsi="宋体" w:eastAsia="宋体" w:cs="宋体"/>
                <w:color w:val="auto"/>
                <w:sz w:val="18"/>
                <w:szCs w:val="18"/>
              </w:rPr>
              <w:t>2</w:t>
            </w:r>
          </w:p>
        </w:tc>
        <w:tc>
          <w:tcPr>
            <w:tcW w:w="246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《预约定价安排谈签意向书》</w:t>
            </w:r>
          </w:p>
        </w:tc>
        <w:tc>
          <w:tcPr>
            <w:tcW w:w="684"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r>
              <w:rPr>
                <w:rStyle w:val="17"/>
                <w:rFonts w:hint="eastAsia" w:ascii="宋体" w:hAnsi="宋体" w:eastAsia="宋体" w:cs="微软雅黑"/>
                <w:color w:val="auto"/>
                <w:sz w:val="18"/>
                <w:szCs w:val="18"/>
              </w:rPr>
              <w:t>1</w:t>
            </w:r>
          </w:p>
        </w:tc>
        <w:tc>
          <w:tcPr>
            <w:tcW w:w="873"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232"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p>
        </w:tc>
        <w:tc>
          <w:tcPr>
            <w:tcW w:w="1400"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00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352" w:firstLineChars="0"/>
              <w:rPr>
                <w:rFonts w:hint="eastAsia" w:cs="宋体"/>
                <w:color w:val="auto"/>
                <w:kern w:val="0"/>
                <w:sz w:val="18"/>
                <w:szCs w:val="18"/>
              </w:rPr>
            </w:pPr>
            <w:r>
              <w:rPr>
                <w:rFonts w:hint="eastAsia" w:ascii="宋体" w:hAnsi="宋体" w:eastAsia="宋体" w:cs="宋体"/>
                <w:color w:val="auto"/>
                <w:sz w:val="18"/>
                <w:szCs w:val="18"/>
              </w:rPr>
              <w:t>3</w:t>
            </w:r>
          </w:p>
        </w:tc>
        <w:tc>
          <w:tcPr>
            <w:tcW w:w="246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预约定价安排申请草案</w:t>
            </w:r>
          </w:p>
        </w:tc>
        <w:tc>
          <w:tcPr>
            <w:tcW w:w="684" w:type="dxa"/>
            <w:shd w:val="clear" w:color="auto" w:fill="auto"/>
            <w:vAlign w:val="center"/>
          </w:tcPr>
          <w:p>
            <w:pPr>
              <w:pStyle w:val="13"/>
              <w:widowControl/>
              <w:spacing w:beforeAutospacing="0" w:afterAutospacing="0" w:line="280" w:lineRule="exact"/>
              <w:ind w:firstLine="352" w:firstLineChars="0"/>
              <w:rPr>
                <w:rFonts w:hint="eastAsia" w:cs="宋体"/>
                <w:color w:val="auto"/>
                <w:kern w:val="0"/>
                <w:sz w:val="18"/>
                <w:szCs w:val="18"/>
              </w:rPr>
            </w:pPr>
            <w:r>
              <w:rPr>
                <w:rStyle w:val="17"/>
                <w:rFonts w:hint="eastAsia" w:ascii="宋体" w:hAnsi="宋体" w:eastAsia="宋体" w:cs="微软雅黑"/>
                <w:color w:val="auto"/>
                <w:sz w:val="18"/>
                <w:szCs w:val="18"/>
              </w:rPr>
              <w:t>1</w:t>
            </w:r>
          </w:p>
        </w:tc>
        <w:tc>
          <w:tcPr>
            <w:tcW w:w="873"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条件报送</w:t>
            </w:r>
          </w:p>
        </w:tc>
        <w:tc>
          <w:tcPr>
            <w:tcW w:w="1232" w:type="dxa"/>
            <w:shd w:val="clear" w:color="auto" w:fill="auto"/>
            <w:vAlign w:val="center"/>
          </w:tcPr>
          <w:p>
            <w:pPr>
              <w:pStyle w:val="13"/>
              <w:widowControl/>
              <w:spacing w:beforeAutospacing="0" w:afterAutospacing="0" w:line="280" w:lineRule="exact"/>
              <w:ind w:firstLine="352" w:firstLineChars="0"/>
              <w:rPr>
                <w:rFonts w:cs="宋体"/>
                <w:color w:val="auto"/>
                <w:kern w:val="0"/>
                <w:sz w:val="18"/>
                <w:szCs w:val="18"/>
              </w:rPr>
            </w:pPr>
            <w:r>
              <w:rPr>
                <w:rFonts w:hint="eastAsia" w:ascii="宋体" w:hAnsi="宋体" w:eastAsia="宋体" w:cs="微软雅黑"/>
                <w:color w:val="auto"/>
                <w:sz w:val="18"/>
                <w:szCs w:val="18"/>
                <w:lang w:eastAsia="zh-CN"/>
              </w:rPr>
              <w:t>企业申请单边预约定价安排的，应当向主管税务机关提交《预约定价安排谈签意向书》，并附送单边预约定价安排申请草案；企业申请多边预约定价安排的，应当同时向国家税务总局和主管税务机关提交《预约定价安排谈签意向书》，并附送双边或者多边预约定价安排申请草案；</w:t>
            </w:r>
          </w:p>
        </w:tc>
        <w:tc>
          <w:tcPr>
            <w:tcW w:w="1400"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00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352" w:firstLineChars="0"/>
              <w:rPr>
                <w:rFonts w:hint="eastAsia" w:cs="宋体"/>
                <w:color w:val="auto"/>
                <w:kern w:val="0"/>
                <w:sz w:val="18"/>
                <w:szCs w:val="18"/>
              </w:rPr>
            </w:pPr>
            <w:r>
              <w:rPr>
                <w:rFonts w:hint="eastAsia" w:ascii="宋体" w:hAnsi="宋体" w:eastAsia="宋体" w:cs="宋体"/>
                <w:color w:val="auto"/>
                <w:sz w:val="18"/>
                <w:szCs w:val="18"/>
              </w:rPr>
              <w:t>4</w:t>
            </w:r>
          </w:p>
        </w:tc>
        <w:tc>
          <w:tcPr>
            <w:tcW w:w="246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cs="宋体"/>
                <w:color w:val="auto"/>
                <w:kern w:val="0"/>
                <w:sz w:val="18"/>
                <w:szCs w:val="18"/>
              </w:rPr>
              <w:t>《预约定价安排正式申请书》</w:t>
            </w:r>
          </w:p>
        </w:tc>
        <w:tc>
          <w:tcPr>
            <w:tcW w:w="684" w:type="dxa"/>
            <w:shd w:val="clear" w:color="auto" w:fill="auto"/>
            <w:vAlign w:val="center"/>
          </w:tcPr>
          <w:p>
            <w:pPr>
              <w:pStyle w:val="13"/>
              <w:widowControl/>
              <w:spacing w:beforeAutospacing="0" w:afterAutospacing="0" w:line="280" w:lineRule="exact"/>
              <w:ind w:firstLine="352" w:firstLineChars="0"/>
              <w:rPr>
                <w:rFonts w:hint="eastAsia" w:cs="宋体"/>
                <w:color w:val="auto"/>
                <w:kern w:val="0"/>
                <w:sz w:val="18"/>
                <w:szCs w:val="18"/>
              </w:rPr>
            </w:pPr>
            <w:r>
              <w:rPr>
                <w:rStyle w:val="17"/>
                <w:rFonts w:hint="eastAsia" w:ascii="宋体" w:hAnsi="宋体" w:eastAsia="宋体" w:cs="微软雅黑"/>
                <w:color w:val="auto"/>
                <w:sz w:val="18"/>
                <w:szCs w:val="18"/>
              </w:rPr>
              <w:t>1</w:t>
            </w:r>
          </w:p>
        </w:tc>
        <w:tc>
          <w:tcPr>
            <w:tcW w:w="873"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必报</w:t>
            </w:r>
          </w:p>
        </w:tc>
        <w:tc>
          <w:tcPr>
            <w:tcW w:w="1232"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开展单边预约定价安排协商的</w:t>
            </w:r>
          </w:p>
        </w:tc>
        <w:tc>
          <w:tcPr>
            <w:tcW w:w="1400"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00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352" w:firstLineChars="0"/>
              <w:rPr>
                <w:rFonts w:hint="eastAsia" w:cs="宋体"/>
                <w:color w:val="auto"/>
                <w:kern w:val="0"/>
                <w:sz w:val="18"/>
                <w:szCs w:val="18"/>
              </w:rPr>
            </w:pPr>
            <w:r>
              <w:rPr>
                <w:rFonts w:hint="eastAsia" w:ascii="宋体" w:hAnsi="宋体" w:eastAsia="宋体" w:cs="宋体"/>
                <w:color w:val="auto"/>
                <w:sz w:val="18"/>
                <w:szCs w:val="18"/>
              </w:rPr>
              <w:t>5</w:t>
            </w:r>
          </w:p>
        </w:tc>
        <w:tc>
          <w:tcPr>
            <w:tcW w:w="246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预约定价安排正式申请报告</w:t>
            </w:r>
          </w:p>
        </w:tc>
        <w:tc>
          <w:tcPr>
            <w:tcW w:w="684" w:type="dxa"/>
            <w:shd w:val="clear" w:color="auto" w:fill="auto"/>
            <w:vAlign w:val="center"/>
          </w:tcPr>
          <w:p>
            <w:pPr>
              <w:pStyle w:val="13"/>
              <w:widowControl/>
              <w:spacing w:beforeAutospacing="0" w:afterAutospacing="0" w:line="280" w:lineRule="exact"/>
              <w:ind w:firstLine="352" w:firstLineChars="0"/>
              <w:rPr>
                <w:rFonts w:hint="eastAsia" w:cs="宋体"/>
                <w:color w:val="auto"/>
                <w:kern w:val="0"/>
                <w:sz w:val="18"/>
                <w:szCs w:val="18"/>
              </w:rPr>
            </w:pPr>
            <w:r>
              <w:rPr>
                <w:rStyle w:val="17"/>
                <w:rFonts w:hint="eastAsia" w:ascii="宋体" w:hAnsi="宋体" w:eastAsia="宋体" w:cs="微软雅黑"/>
                <w:color w:val="auto"/>
                <w:sz w:val="18"/>
                <w:szCs w:val="18"/>
              </w:rPr>
              <w:t>1</w:t>
            </w:r>
          </w:p>
        </w:tc>
        <w:tc>
          <w:tcPr>
            <w:tcW w:w="873"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必报</w:t>
            </w:r>
          </w:p>
        </w:tc>
        <w:tc>
          <w:tcPr>
            <w:tcW w:w="1232"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预约定价安排涉及适用年度或者追溯年度补(退)税款的</w:t>
            </w:r>
          </w:p>
        </w:tc>
        <w:tc>
          <w:tcPr>
            <w:tcW w:w="1400"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00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352" w:firstLineChars="0"/>
              <w:rPr>
                <w:rFonts w:hint="eastAsia" w:cs="宋体"/>
                <w:color w:val="auto"/>
                <w:kern w:val="0"/>
                <w:sz w:val="18"/>
                <w:szCs w:val="18"/>
              </w:rPr>
            </w:pPr>
            <w:r>
              <w:rPr>
                <w:rFonts w:hint="eastAsia" w:ascii="宋体" w:hAnsi="宋体" w:eastAsia="宋体" w:cs="宋体"/>
                <w:color w:val="auto"/>
                <w:sz w:val="18"/>
                <w:szCs w:val="18"/>
              </w:rPr>
              <w:t>6</w:t>
            </w:r>
          </w:p>
        </w:tc>
        <w:tc>
          <w:tcPr>
            <w:tcW w:w="246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《启动特别纳税调整相互协商程序申请表》</w:t>
            </w:r>
          </w:p>
        </w:tc>
        <w:tc>
          <w:tcPr>
            <w:tcW w:w="684" w:type="dxa"/>
            <w:shd w:val="clear" w:color="auto" w:fill="auto"/>
            <w:vAlign w:val="center"/>
          </w:tcPr>
          <w:p>
            <w:pPr>
              <w:pStyle w:val="13"/>
              <w:widowControl/>
              <w:spacing w:beforeAutospacing="0" w:afterAutospacing="0" w:line="280" w:lineRule="exact"/>
              <w:ind w:firstLine="352" w:firstLineChars="0"/>
              <w:rPr>
                <w:rFonts w:hint="eastAsia" w:cs="宋体"/>
                <w:color w:val="auto"/>
                <w:kern w:val="0"/>
                <w:sz w:val="18"/>
                <w:szCs w:val="18"/>
              </w:rPr>
            </w:pPr>
            <w:r>
              <w:rPr>
                <w:rStyle w:val="17"/>
                <w:rFonts w:hint="eastAsia" w:ascii="宋体" w:hAnsi="宋体" w:eastAsia="宋体" w:cs="微软雅黑"/>
                <w:color w:val="auto"/>
                <w:sz w:val="18"/>
                <w:szCs w:val="18"/>
              </w:rPr>
              <w:t>1</w:t>
            </w:r>
          </w:p>
        </w:tc>
        <w:tc>
          <w:tcPr>
            <w:tcW w:w="873"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条件报送</w:t>
            </w:r>
          </w:p>
        </w:tc>
        <w:tc>
          <w:tcPr>
            <w:tcW w:w="1232"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在纳税人申请双边或者多边预约定价安排时，在提交与《预约定价安排正式申请书》和预约定价安排正式申请报告后在税收协定规定的期限内提交同时提交。</w:t>
            </w:r>
          </w:p>
        </w:tc>
        <w:tc>
          <w:tcPr>
            <w:tcW w:w="1400"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00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352" w:firstLineChars="0"/>
              <w:rPr>
                <w:rFonts w:hint="eastAsia" w:cs="宋体"/>
                <w:color w:val="auto"/>
                <w:kern w:val="0"/>
                <w:sz w:val="18"/>
                <w:szCs w:val="18"/>
              </w:rPr>
            </w:pPr>
            <w:r>
              <w:rPr>
                <w:rFonts w:hint="eastAsia" w:ascii="宋体" w:hAnsi="宋体" w:eastAsia="宋体" w:cs="宋体"/>
                <w:color w:val="auto"/>
                <w:sz w:val="18"/>
                <w:szCs w:val="18"/>
              </w:rPr>
              <w:t>7</w:t>
            </w:r>
          </w:p>
        </w:tc>
        <w:tc>
          <w:tcPr>
            <w:tcW w:w="246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cs="宋体"/>
                <w:color w:val="auto"/>
                <w:kern w:val="0"/>
                <w:sz w:val="18"/>
                <w:szCs w:val="18"/>
              </w:rPr>
              <w:t>《预约定价安排续签申请书》</w:t>
            </w:r>
          </w:p>
        </w:tc>
        <w:tc>
          <w:tcPr>
            <w:tcW w:w="684" w:type="dxa"/>
            <w:shd w:val="clear" w:color="auto" w:fill="auto"/>
            <w:vAlign w:val="center"/>
          </w:tcPr>
          <w:p>
            <w:pPr>
              <w:pStyle w:val="13"/>
              <w:widowControl/>
              <w:spacing w:beforeAutospacing="0" w:afterAutospacing="0" w:line="280" w:lineRule="exact"/>
              <w:ind w:firstLine="352" w:firstLineChars="0"/>
              <w:rPr>
                <w:rFonts w:hint="eastAsia" w:cs="宋体"/>
                <w:color w:val="auto"/>
                <w:kern w:val="0"/>
                <w:sz w:val="18"/>
                <w:szCs w:val="18"/>
              </w:rPr>
            </w:pPr>
            <w:r>
              <w:rPr>
                <w:rStyle w:val="17"/>
                <w:rFonts w:hint="eastAsia" w:ascii="宋体" w:hAnsi="宋体" w:eastAsia="宋体" w:cs="微软雅黑"/>
                <w:color w:val="auto"/>
                <w:sz w:val="18"/>
                <w:szCs w:val="18"/>
              </w:rPr>
              <w:t>1</w:t>
            </w:r>
          </w:p>
        </w:tc>
        <w:tc>
          <w:tcPr>
            <w:tcW w:w="873"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条件报送</w:t>
            </w:r>
          </w:p>
        </w:tc>
        <w:tc>
          <w:tcPr>
            <w:tcW w:w="1232"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企业纳税人申请续签时提交，且提交时限为在预约定价安排期满之日前</w:t>
            </w:r>
            <w:r>
              <w:rPr>
                <w:rFonts w:ascii="宋体" w:hAnsi="宋体" w:eastAsia="宋体" w:cs="微软雅黑"/>
                <w:color w:val="auto"/>
                <w:sz w:val="18"/>
                <w:szCs w:val="18"/>
              </w:rPr>
              <w:t>90日内提交</w:t>
            </w:r>
            <w:r>
              <w:rPr>
                <w:rFonts w:hint="eastAsia" w:ascii="宋体" w:hAnsi="宋体" w:eastAsia="宋体" w:cs="微软雅黑"/>
                <w:color w:val="auto"/>
                <w:sz w:val="18"/>
                <w:szCs w:val="18"/>
              </w:rPr>
              <w:t>。</w:t>
            </w:r>
          </w:p>
        </w:tc>
        <w:tc>
          <w:tcPr>
            <w:tcW w:w="1400"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00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352" w:firstLineChars="0"/>
              <w:rPr>
                <w:rFonts w:hint="eastAsia" w:cs="宋体"/>
                <w:color w:val="auto"/>
                <w:kern w:val="0"/>
                <w:sz w:val="18"/>
                <w:szCs w:val="18"/>
              </w:rPr>
            </w:pPr>
            <w:r>
              <w:rPr>
                <w:rFonts w:hint="eastAsia" w:ascii="宋体" w:hAnsi="宋体" w:eastAsia="宋体" w:cs="宋体"/>
                <w:color w:val="auto"/>
                <w:sz w:val="18"/>
                <w:szCs w:val="18"/>
              </w:rPr>
              <w:t>8</w:t>
            </w:r>
          </w:p>
        </w:tc>
        <w:tc>
          <w:tcPr>
            <w:tcW w:w="246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纳税人暂停、终止预约定价安排的书面说明</w:t>
            </w:r>
          </w:p>
        </w:tc>
        <w:tc>
          <w:tcPr>
            <w:tcW w:w="684" w:type="dxa"/>
            <w:shd w:val="clear" w:color="auto" w:fill="auto"/>
            <w:vAlign w:val="center"/>
          </w:tcPr>
          <w:p>
            <w:pPr>
              <w:pStyle w:val="13"/>
              <w:widowControl/>
              <w:spacing w:beforeAutospacing="0" w:afterAutospacing="0" w:line="280" w:lineRule="exact"/>
              <w:ind w:firstLine="352" w:firstLineChars="0"/>
              <w:rPr>
                <w:rFonts w:hint="eastAsia" w:cs="宋体"/>
                <w:color w:val="auto"/>
                <w:kern w:val="0"/>
                <w:sz w:val="18"/>
                <w:szCs w:val="18"/>
              </w:rPr>
            </w:pPr>
            <w:r>
              <w:rPr>
                <w:rStyle w:val="17"/>
                <w:rFonts w:hint="eastAsia" w:ascii="宋体" w:hAnsi="宋体" w:eastAsia="宋体" w:cs="微软雅黑"/>
                <w:color w:val="auto"/>
                <w:sz w:val="18"/>
                <w:szCs w:val="18"/>
              </w:rPr>
              <w:t>1</w:t>
            </w:r>
          </w:p>
        </w:tc>
        <w:tc>
          <w:tcPr>
            <w:tcW w:w="873" w:type="dxa"/>
            <w:shd w:val="clear" w:color="auto" w:fill="auto"/>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条件报送</w:t>
            </w:r>
          </w:p>
        </w:tc>
        <w:tc>
          <w:tcPr>
            <w:tcW w:w="1232"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纳税人申请暂停或终止预约定价安排时提交。</w:t>
            </w:r>
          </w:p>
        </w:tc>
        <w:tc>
          <w:tcPr>
            <w:tcW w:w="1400"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00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bl>
    <w:p>
      <w:pPr>
        <w:pStyle w:val="3"/>
        <w:pageBreakBefore w:val="0"/>
        <w:widowControl w:val="0"/>
        <w:numPr>
          <w:ilvl w:val="0"/>
          <w:numId w:val="5"/>
        </w:numPr>
        <w:kinsoku/>
        <w:wordWrap/>
        <w:overflowPunct/>
        <w:topLinePunct w:val="0"/>
        <w:autoSpaceDE/>
        <w:autoSpaceDN/>
        <w:bidi w:val="0"/>
        <w:adjustRightInd/>
        <w:snapToGrid/>
        <w:spacing w:line="240" w:lineRule="auto"/>
        <w:ind w:firstLine="552"/>
        <w:textAlignment w:val="auto"/>
        <w:rPr>
          <w:color w:val="auto"/>
        </w:rPr>
      </w:pPr>
      <w:r>
        <w:rPr>
          <w:color w:val="auto"/>
        </w:rPr>
        <w:t>办理流程</w:t>
      </w:r>
    </w:p>
    <w:p>
      <w:pPr>
        <w:pageBreakBefore w:val="0"/>
        <w:widowControl w:val="0"/>
        <w:numPr>
          <w:ilvl w:val="0"/>
          <w:numId w:val="0"/>
        </w:numPr>
        <w:kinsoku/>
        <w:wordWrap/>
        <w:overflowPunct/>
        <w:topLinePunct w:val="0"/>
        <w:autoSpaceDE/>
        <w:autoSpaceDN/>
        <w:bidi w:val="0"/>
        <w:adjustRightInd/>
        <w:snapToGrid/>
        <w:spacing w:line="240" w:lineRule="auto"/>
        <w:textAlignment w:val="auto"/>
        <w:rPr>
          <w:color w:val="auto"/>
        </w:rPr>
      </w:pPr>
    </w:p>
    <w:p>
      <w:pPr>
        <w:pageBreakBefore w:val="0"/>
        <w:widowControl w:val="0"/>
        <w:numPr>
          <w:ilvl w:val="0"/>
          <w:numId w:val="0"/>
        </w:numPr>
        <w:kinsoku/>
        <w:wordWrap/>
        <w:overflowPunct/>
        <w:topLinePunct w:val="0"/>
        <w:autoSpaceDE/>
        <w:autoSpaceDN/>
        <w:bidi w:val="0"/>
        <w:adjustRightInd/>
        <w:snapToGrid/>
        <w:spacing w:line="240" w:lineRule="auto"/>
        <w:textAlignment w:val="auto"/>
        <w:rPr>
          <w:color w:val="auto"/>
        </w:rPr>
      </w:pPr>
      <w:r>
        <w:rPr>
          <w:color w:val="auto"/>
        </w:rPr>
        <w:drawing>
          <wp:inline distT="0" distB="0" distL="114300" distR="114300">
            <wp:extent cx="6638290" cy="3324225"/>
            <wp:effectExtent l="0" t="0" r="10160" b="9525"/>
            <wp:docPr id="27"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4"/>
                    <pic:cNvPicPr>
                      <a:picLocks noChangeAspect="1"/>
                    </pic:cNvPicPr>
                  </pic:nvPicPr>
                  <pic:blipFill>
                    <a:blip r:embed="rId10"/>
                    <a:stretch>
                      <a:fillRect/>
                    </a:stretch>
                  </pic:blipFill>
                  <pic:spPr>
                    <a:xfrm>
                      <a:off x="0" y="0"/>
                      <a:ext cx="6638290" cy="3324225"/>
                    </a:xfrm>
                    <a:prstGeom prst="rect">
                      <a:avLst/>
                    </a:prstGeom>
                    <a:noFill/>
                    <a:ln>
                      <a:noFill/>
                    </a:ln>
                  </pic:spPr>
                </pic:pic>
              </a:graphicData>
            </a:graphic>
          </wp:inline>
        </w:drawing>
      </w:r>
    </w:p>
    <w:p>
      <w:pPr>
        <w:pageBreakBefore w:val="0"/>
        <w:widowControl w:val="0"/>
        <w:kinsoku/>
        <w:wordWrap/>
        <w:overflowPunct/>
        <w:topLinePunct w:val="0"/>
        <w:autoSpaceDE/>
        <w:autoSpaceDN/>
        <w:bidi w:val="0"/>
        <w:adjustRightInd/>
        <w:snapToGrid/>
        <w:spacing w:line="240" w:lineRule="auto"/>
        <w:ind w:left="472" w:firstLine="0" w:firstLineChars="0"/>
        <w:textAlignment w:val="auto"/>
        <w:rPr>
          <w:color w:val="auto"/>
        </w:rPr>
      </w:pPr>
    </w:p>
    <w:p>
      <w:pPr>
        <w:pStyle w:val="3"/>
        <w:ind w:left="0" w:leftChars="0" w:firstLine="552" w:firstLineChars="200"/>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lang w:eastAsia="zh-CN"/>
        </w:rPr>
        <w:t>限时</w:t>
      </w:r>
      <w:r>
        <w:rPr>
          <w:rFonts w:hint="eastAsia"/>
          <w:color w:val="auto"/>
        </w:rPr>
        <w:t>办结。</w:t>
      </w:r>
    </w:p>
    <w:p>
      <w:pPr>
        <w:pStyle w:val="3"/>
        <w:ind w:firstLine="552"/>
        <w:rPr>
          <w:color w:val="auto"/>
        </w:rPr>
      </w:pPr>
      <w:r>
        <w:rPr>
          <w:rFonts w:hint="eastAsia"/>
          <w:color w:val="auto"/>
        </w:rPr>
        <w:t>八、表证单书</w:t>
      </w:r>
    </w:p>
    <w:p>
      <w:pPr>
        <w:ind w:firstLine="472"/>
        <w:rPr>
          <w:rFonts w:cs="宋体"/>
          <w:color w:val="auto"/>
          <w:kern w:val="0"/>
          <w:sz w:val="24"/>
          <w:szCs w:val="24"/>
        </w:rPr>
      </w:pPr>
      <w:r>
        <w:rPr>
          <w:rFonts w:hint="eastAsia"/>
          <w:color w:val="auto"/>
          <w:sz w:val="24"/>
          <w:szCs w:val="24"/>
        </w:rPr>
        <w:t>1.</w:t>
      </w:r>
      <w:r>
        <w:rPr>
          <w:rStyle w:val="22"/>
          <w:rFonts w:ascii="宋体" w:hAnsi="宋体" w:eastAsia="宋体"/>
          <w:color w:val="auto"/>
          <w:u w:val="none"/>
        </w:rPr>
        <w:t>A10085</w:t>
      </w:r>
      <w:r>
        <w:rPr>
          <w:rFonts w:cs="宋体"/>
          <w:color w:val="auto"/>
          <w:kern w:val="0"/>
          <w:sz w:val="24"/>
          <w:szCs w:val="24"/>
        </w:rPr>
        <w:t>《预约定价安排预备会谈申请书》</w:t>
      </w:r>
    </w:p>
    <w:p>
      <w:pPr>
        <w:rPr>
          <w:rFonts w:cs="宋体"/>
          <w:color w:val="auto"/>
          <w:kern w:val="0"/>
          <w:sz w:val="24"/>
          <w:szCs w:val="24"/>
        </w:rPr>
      </w:pPr>
      <w:r>
        <w:rPr>
          <w:rFonts w:hint="eastAsia" w:cs="宋体"/>
          <w:color w:val="auto"/>
          <w:kern w:val="0"/>
          <w:sz w:val="24"/>
          <w:szCs w:val="24"/>
          <w:lang w:val="en-US" w:eastAsia="zh-CN"/>
        </w:rPr>
        <w:t>2.</w:t>
      </w:r>
      <w:r>
        <w:rPr>
          <w:rStyle w:val="22"/>
          <w:rFonts w:ascii="宋体" w:hAnsi="宋体" w:eastAsia="宋体"/>
          <w:color w:val="auto"/>
          <w:u w:val="none"/>
        </w:rPr>
        <w:t>A10084</w:t>
      </w:r>
      <w:r>
        <w:rPr>
          <w:rFonts w:cs="宋体"/>
          <w:color w:val="auto"/>
          <w:kern w:val="0"/>
          <w:sz w:val="24"/>
          <w:szCs w:val="24"/>
        </w:rPr>
        <w:t>《预约定价安排谈签意向书》</w:t>
      </w:r>
    </w:p>
    <w:p>
      <w:pPr>
        <w:ind w:firstLine="472"/>
        <w:rPr>
          <w:rFonts w:cs="宋体"/>
          <w:color w:val="auto"/>
          <w:kern w:val="0"/>
          <w:sz w:val="24"/>
          <w:szCs w:val="24"/>
        </w:rPr>
      </w:pPr>
      <w:r>
        <w:rPr>
          <w:rFonts w:hint="eastAsia" w:cs="宋体"/>
          <w:color w:val="auto"/>
          <w:kern w:val="0"/>
          <w:sz w:val="24"/>
          <w:szCs w:val="24"/>
          <w:lang w:val="en-US" w:eastAsia="zh-CN"/>
        </w:rPr>
        <w:t>3.</w:t>
      </w:r>
      <w:r>
        <w:rPr>
          <w:rStyle w:val="22"/>
          <w:rFonts w:ascii="宋体" w:hAnsi="宋体" w:eastAsia="宋体"/>
          <w:color w:val="auto"/>
          <w:u w:val="none"/>
        </w:rPr>
        <w:t>A10016</w:t>
      </w:r>
      <w:r>
        <w:rPr>
          <w:rFonts w:cs="宋体"/>
          <w:color w:val="auto"/>
          <w:kern w:val="0"/>
          <w:sz w:val="24"/>
          <w:szCs w:val="24"/>
        </w:rPr>
        <w:t>《预约定价安排正式申请书》</w:t>
      </w:r>
    </w:p>
    <w:p>
      <w:pPr>
        <w:ind w:firstLine="472"/>
        <w:rPr>
          <w:color w:val="auto"/>
          <w:sz w:val="24"/>
          <w:szCs w:val="24"/>
        </w:rPr>
      </w:pPr>
      <w:r>
        <w:rPr>
          <w:rFonts w:hint="eastAsia" w:cs="宋体"/>
          <w:color w:val="auto"/>
          <w:kern w:val="0"/>
          <w:sz w:val="24"/>
          <w:szCs w:val="24"/>
          <w:lang w:val="en-US" w:eastAsia="zh-CN"/>
        </w:rPr>
        <w:t>4.</w:t>
      </w:r>
      <w:r>
        <w:rPr>
          <w:rFonts w:hint="eastAsia" w:cs="宋体"/>
          <w:color w:val="auto"/>
          <w:kern w:val="0"/>
          <w:sz w:val="24"/>
          <w:szCs w:val="24"/>
        </w:rPr>
        <w:t>《启动特别纳税调整相互协商程序申请表》</w:t>
      </w:r>
    </w:p>
    <w:p>
      <w:pPr>
        <w:pStyle w:val="3"/>
        <w:ind w:firstLine="552"/>
        <w:rPr>
          <w:color w:val="auto"/>
        </w:rPr>
      </w:pPr>
      <w:r>
        <w:rPr>
          <w:rFonts w:hint="eastAsia"/>
          <w:color w:val="auto"/>
        </w:rPr>
        <w:t>九、注意事项</w:t>
      </w:r>
    </w:p>
    <w:p>
      <w:pPr>
        <w:ind w:firstLine="472"/>
        <w:rPr>
          <w:color w:val="auto"/>
        </w:rPr>
      </w:pPr>
      <w:r>
        <w:rPr>
          <w:rFonts w:hint="eastAsia"/>
          <w:color w:val="auto"/>
        </w:rPr>
        <w:t>1.有下列情形之一的，税务机关可以拒绝企业提交谈签意向：</w:t>
      </w:r>
    </w:p>
    <w:p>
      <w:pPr>
        <w:ind w:firstLine="472"/>
        <w:rPr>
          <w:rFonts w:hint="eastAsia" w:eastAsia="宋体"/>
          <w:color w:val="auto"/>
          <w:lang w:eastAsia="zh-CN"/>
        </w:rPr>
      </w:pPr>
      <w:r>
        <w:rPr>
          <w:rFonts w:hint="eastAsia"/>
          <w:color w:val="auto"/>
        </w:rPr>
        <w:t>（1）税务机关已经对企业实施特别纳税调整立案调查或者其他涉税案件调查，且尚未结案的;</w:t>
      </w:r>
    </w:p>
    <w:p>
      <w:pPr>
        <w:ind w:firstLine="472"/>
        <w:rPr>
          <w:rFonts w:hint="eastAsia" w:eastAsia="宋体"/>
          <w:color w:val="auto"/>
          <w:lang w:eastAsia="zh-CN"/>
        </w:rPr>
      </w:pPr>
      <w:r>
        <w:rPr>
          <w:rFonts w:hint="eastAsia"/>
          <w:color w:val="auto"/>
        </w:rPr>
        <w:t>（2）未按照有关规定填报年度关联业务往来报告表;</w:t>
      </w:r>
    </w:p>
    <w:p>
      <w:pPr>
        <w:ind w:firstLine="472"/>
        <w:rPr>
          <w:rFonts w:hint="eastAsia" w:eastAsia="宋体"/>
          <w:color w:val="auto"/>
          <w:lang w:eastAsia="zh-CN"/>
        </w:rPr>
      </w:pPr>
      <w:r>
        <w:rPr>
          <w:rFonts w:hint="eastAsia"/>
          <w:color w:val="auto"/>
        </w:rPr>
        <w:t>（3）未按照有关规定准备、保存和提供同期资料;</w:t>
      </w:r>
    </w:p>
    <w:p>
      <w:pPr>
        <w:ind w:firstLine="472"/>
        <w:rPr>
          <w:color w:val="auto"/>
        </w:rPr>
      </w:pPr>
      <w:r>
        <w:rPr>
          <w:rFonts w:hint="eastAsia"/>
          <w:color w:val="auto"/>
        </w:rPr>
        <w:t>（4）预备会谈阶段税务机关和企业无法达成一致意见。</w:t>
      </w:r>
    </w:p>
    <w:p>
      <w:pPr>
        <w:ind w:firstLine="472"/>
        <w:rPr>
          <w:rFonts w:hint="eastAsia" w:eastAsia="宋体"/>
          <w:color w:val="auto"/>
          <w:lang w:eastAsia="zh-CN"/>
        </w:rPr>
      </w:pPr>
      <w:r>
        <w:rPr>
          <w:color w:val="auto"/>
        </w:rPr>
        <w:t>2</w:t>
      </w:r>
      <w:r>
        <w:rPr>
          <w:rFonts w:hint="eastAsia"/>
          <w:color w:val="auto"/>
        </w:rPr>
        <w:t>.税务机关可以从以下方面进行分析评估：</w:t>
      </w:r>
    </w:p>
    <w:p>
      <w:pPr>
        <w:ind w:firstLine="472"/>
        <w:rPr>
          <w:rFonts w:hint="eastAsia" w:eastAsia="宋体"/>
          <w:color w:val="auto"/>
          <w:lang w:eastAsia="zh-CN"/>
        </w:rPr>
      </w:pPr>
      <w:r>
        <w:rPr>
          <w:rFonts w:hint="eastAsia"/>
          <w:color w:val="auto"/>
        </w:rPr>
        <w:t>（1）功能和风险状况。分析评估企业与其关联方之间在供货、生产、运输、销售等各环节以及在研究、开发无形资产等方面各自作出的贡献、执行的功能以及在存货、信贷、外汇、市场等方面承担的风险。</w:t>
      </w:r>
    </w:p>
    <w:p>
      <w:pPr>
        <w:ind w:firstLine="472"/>
        <w:rPr>
          <w:rFonts w:hint="eastAsia" w:eastAsia="宋体"/>
          <w:color w:val="auto"/>
          <w:lang w:eastAsia="zh-CN"/>
        </w:rPr>
      </w:pPr>
      <w:r>
        <w:rPr>
          <w:rFonts w:hint="eastAsia"/>
          <w:color w:val="auto"/>
        </w:rPr>
        <w:t>（</w:t>
      </w:r>
      <w:r>
        <w:rPr>
          <w:color w:val="auto"/>
        </w:rPr>
        <w:t>2</w:t>
      </w:r>
      <w:r>
        <w:rPr>
          <w:rFonts w:hint="eastAsia"/>
          <w:color w:val="auto"/>
        </w:rPr>
        <w:t>）可比交易信息。分析评估企业提供的可比交易信息，对存在的实质性差异进行调整。</w:t>
      </w:r>
    </w:p>
    <w:p>
      <w:pPr>
        <w:ind w:firstLine="472"/>
        <w:rPr>
          <w:rFonts w:hint="eastAsia" w:eastAsia="宋体"/>
          <w:color w:val="auto"/>
          <w:lang w:eastAsia="zh-CN"/>
        </w:rPr>
      </w:pPr>
      <w:r>
        <w:rPr>
          <w:rFonts w:hint="eastAsia"/>
          <w:color w:val="auto"/>
        </w:rPr>
        <w:t>（</w:t>
      </w:r>
      <w:r>
        <w:rPr>
          <w:color w:val="auto"/>
        </w:rPr>
        <w:t>3</w:t>
      </w:r>
      <w:r>
        <w:rPr>
          <w:rFonts w:hint="eastAsia"/>
          <w:color w:val="auto"/>
        </w:rPr>
        <w:t>）关联交易数据。分析评估预约定价安排涉及的关联交易的收入、成本、费用和利润是否单独核算或者按照合理比例划分。</w:t>
      </w:r>
    </w:p>
    <w:p>
      <w:pPr>
        <w:ind w:firstLine="472"/>
        <w:rPr>
          <w:rFonts w:hint="eastAsia" w:eastAsia="宋体"/>
          <w:color w:val="auto"/>
          <w:lang w:eastAsia="zh-CN"/>
        </w:rPr>
      </w:pPr>
      <w:r>
        <w:rPr>
          <w:rFonts w:hint="eastAsia"/>
          <w:color w:val="auto"/>
        </w:rPr>
        <w:t>（</w:t>
      </w:r>
      <w:r>
        <w:rPr>
          <w:color w:val="auto"/>
        </w:rPr>
        <w:t>4</w:t>
      </w:r>
      <w:r>
        <w:rPr>
          <w:rFonts w:hint="eastAsia"/>
          <w:color w:val="auto"/>
        </w:rPr>
        <w:t>）定价原则和计算方法。分析评估企业在预约定价安排中采用的定价原则和计算方法。如申请追溯适用以前年度的，应当作出说明。</w:t>
      </w:r>
    </w:p>
    <w:p>
      <w:pPr>
        <w:ind w:firstLine="472"/>
        <w:rPr>
          <w:rFonts w:hint="eastAsia" w:eastAsia="宋体"/>
          <w:color w:val="auto"/>
          <w:lang w:eastAsia="zh-CN"/>
        </w:rPr>
      </w:pPr>
      <w:r>
        <w:rPr>
          <w:rFonts w:hint="eastAsia"/>
          <w:color w:val="auto"/>
        </w:rPr>
        <w:t>（</w:t>
      </w:r>
      <w:r>
        <w:rPr>
          <w:color w:val="auto"/>
        </w:rPr>
        <w:t>5</w:t>
      </w:r>
      <w:r>
        <w:rPr>
          <w:rFonts w:hint="eastAsia"/>
          <w:color w:val="auto"/>
        </w:rPr>
        <w:t>）价值链分析和贡献分析。评估企业对价值链或者供应链的分析是否完整、清晰，是否充分考虑成本节约、市场溢价等地域特殊优势，是否充分考虑本地企业对价值创造的贡献等。</w:t>
      </w:r>
    </w:p>
    <w:p>
      <w:pPr>
        <w:ind w:firstLine="472"/>
        <w:rPr>
          <w:rFonts w:hint="eastAsia" w:eastAsia="宋体"/>
          <w:color w:val="auto"/>
          <w:lang w:eastAsia="zh-CN"/>
        </w:rPr>
      </w:pPr>
      <w:r>
        <w:rPr>
          <w:rFonts w:hint="eastAsia"/>
          <w:color w:val="auto"/>
        </w:rPr>
        <w:t>（</w:t>
      </w:r>
      <w:r>
        <w:rPr>
          <w:color w:val="auto"/>
        </w:rPr>
        <w:t>6</w:t>
      </w:r>
      <w:r>
        <w:rPr>
          <w:rFonts w:hint="eastAsia"/>
          <w:color w:val="auto"/>
        </w:rPr>
        <w:t>）交易价格或者利润水平。根据上述分析评估结果，确定符合独立交易原则的价格或者利润水平。</w:t>
      </w:r>
    </w:p>
    <w:p>
      <w:pPr>
        <w:ind w:firstLine="472"/>
        <w:rPr>
          <w:rFonts w:ascii="等线 Light" w:hAnsi="等线 Light" w:eastAsia="楷体" w:cs="黑体"/>
          <w:color w:val="auto"/>
          <w:sz w:val="28"/>
          <w:szCs w:val="28"/>
        </w:rPr>
      </w:pPr>
      <w:r>
        <w:rPr>
          <w:rFonts w:hint="eastAsia"/>
          <w:color w:val="auto"/>
        </w:rPr>
        <w:t>（</w:t>
      </w:r>
      <w:r>
        <w:rPr>
          <w:color w:val="auto"/>
        </w:rPr>
        <w:t>7</w:t>
      </w:r>
      <w:r>
        <w:rPr>
          <w:rFonts w:hint="eastAsia"/>
          <w:color w:val="auto"/>
        </w:rPr>
        <w:t>）假设条件。分析评估影响行业利润水平和企业生产经营的因素及程度，合理确定预约定价安排适用的假设条件。</w:t>
      </w:r>
    </w:p>
    <w:p>
      <w:pPr>
        <w:ind w:left="236" w:leftChars="100" w:firstLine="354" w:firstLineChars="150"/>
        <w:rPr>
          <w:color w:val="auto"/>
        </w:rPr>
      </w:pPr>
      <w:r>
        <w:rPr>
          <w:rFonts w:hint="eastAsia"/>
          <w:color w:val="auto"/>
        </w:rPr>
        <w:t>3.有下列情形之一的，税务机关可以拒绝企业提交正式申请：</w:t>
      </w:r>
    </w:p>
    <w:p>
      <w:pPr>
        <w:ind w:left="236" w:leftChars="100" w:firstLine="236" w:firstLineChars="100"/>
        <w:rPr>
          <w:rFonts w:hint="eastAsia" w:eastAsia="宋体"/>
          <w:color w:val="auto"/>
          <w:lang w:eastAsia="zh-CN"/>
        </w:rPr>
      </w:pPr>
      <w:r>
        <w:rPr>
          <w:rFonts w:hint="eastAsia"/>
          <w:color w:val="auto"/>
        </w:rPr>
        <w:t>（1</w:t>
      </w:r>
      <w:r>
        <w:rPr>
          <w:color w:val="auto"/>
        </w:rPr>
        <w:t>）</w:t>
      </w:r>
      <w:r>
        <w:rPr>
          <w:rFonts w:hint="eastAsia"/>
          <w:color w:val="auto"/>
        </w:rPr>
        <w:t>预约定价安排申请草案拟采用的定价原则和计算方法不合理，且企业拒绝协商调整;</w:t>
      </w:r>
    </w:p>
    <w:p>
      <w:pPr>
        <w:ind w:left="236" w:leftChars="100" w:firstLine="236" w:firstLineChars="100"/>
        <w:rPr>
          <w:rFonts w:hint="eastAsia" w:eastAsia="宋体"/>
          <w:color w:val="auto"/>
          <w:lang w:eastAsia="zh-CN"/>
        </w:rPr>
      </w:pPr>
      <w:r>
        <w:rPr>
          <w:rFonts w:hint="eastAsia"/>
          <w:color w:val="auto"/>
        </w:rPr>
        <w:t>（2）企业拒不提供有关资料或者提供的资料不符合税务机关要求，且不按时补正或者更正;</w:t>
      </w:r>
    </w:p>
    <w:p>
      <w:pPr>
        <w:ind w:left="236" w:leftChars="100" w:firstLine="236" w:firstLineChars="100"/>
        <w:rPr>
          <w:rFonts w:hint="eastAsia" w:eastAsia="宋体"/>
          <w:color w:val="auto"/>
          <w:lang w:eastAsia="zh-CN"/>
        </w:rPr>
      </w:pPr>
      <w:r>
        <w:rPr>
          <w:rFonts w:hint="eastAsia"/>
          <w:color w:val="auto"/>
        </w:rPr>
        <w:t>（3）企业拒不配合税务机关进行功能和风险实地访谈;</w:t>
      </w:r>
    </w:p>
    <w:p>
      <w:pPr>
        <w:ind w:left="236" w:leftChars="100" w:firstLine="236" w:firstLineChars="100"/>
        <w:rPr>
          <w:color w:val="auto"/>
        </w:rPr>
      </w:pPr>
      <w:r>
        <w:rPr>
          <w:rFonts w:hint="eastAsia"/>
          <w:color w:val="auto"/>
        </w:rPr>
        <w:t>（4）其他不适合谈签预约定价安排的情况。</w:t>
      </w:r>
    </w:p>
    <w:p>
      <w:pPr>
        <w:ind w:firstLine="472"/>
        <w:rPr>
          <w:rFonts w:hint="eastAsia" w:eastAsia="宋体"/>
          <w:color w:val="auto"/>
          <w:lang w:eastAsia="zh-CN"/>
        </w:rPr>
      </w:pPr>
      <w:r>
        <w:rPr>
          <w:color w:val="auto"/>
        </w:rPr>
        <w:t>4.</w:t>
      </w:r>
      <w:r>
        <w:rPr>
          <w:rFonts w:hint="eastAsia"/>
          <w:color w:val="auto"/>
        </w:rPr>
        <w:t>预约定价安排文本可以包括以下内容：</w:t>
      </w:r>
    </w:p>
    <w:p>
      <w:pPr>
        <w:ind w:firstLine="472"/>
        <w:rPr>
          <w:rFonts w:hint="eastAsia" w:eastAsia="宋体"/>
          <w:color w:val="auto"/>
          <w:lang w:eastAsia="zh-CN"/>
        </w:rPr>
      </w:pPr>
      <w:r>
        <w:rPr>
          <w:rFonts w:hint="eastAsia"/>
          <w:color w:val="auto"/>
        </w:rPr>
        <w:t>（1）企业及其关联方名称、地址等基本信息;</w:t>
      </w:r>
    </w:p>
    <w:p>
      <w:pPr>
        <w:ind w:firstLine="472"/>
        <w:rPr>
          <w:rFonts w:hint="eastAsia" w:eastAsia="宋体"/>
          <w:color w:val="auto"/>
          <w:lang w:eastAsia="zh-CN"/>
        </w:rPr>
      </w:pPr>
      <w:r>
        <w:rPr>
          <w:rFonts w:hint="eastAsia"/>
          <w:color w:val="auto"/>
        </w:rPr>
        <w:t>（2）预约定价安排涉及的关联交易及适用年度;</w:t>
      </w:r>
    </w:p>
    <w:p>
      <w:pPr>
        <w:ind w:firstLine="472"/>
        <w:rPr>
          <w:rFonts w:hint="eastAsia" w:eastAsia="宋体"/>
          <w:color w:val="auto"/>
          <w:lang w:eastAsia="zh-CN"/>
        </w:rPr>
      </w:pPr>
      <w:r>
        <w:rPr>
          <w:rFonts w:hint="eastAsia"/>
          <w:color w:val="auto"/>
        </w:rPr>
        <w:t>（3）预约定价安排选用的定价原则和计算方法，以及可比价格或者可比利润水平等;</w:t>
      </w:r>
    </w:p>
    <w:p>
      <w:pPr>
        <w:ind w:firstLine="472"/>
        <w:rPr>
          <w:rFonts w:hint="eastAsia" w:eastAsia="宋体"/>
          <w:color w:val="auto"/>
          <w:lang w:eastAsia="zh-CN"/>
        </w:rPr>
      </w:pPr>
      <w:r>
        <w:rPr>
          <w:rFonts w:hint="eastAsia"/>
          <w:color w:val="auto"/>
        </w:rPr>
        <w:t>（4）与转让定价方法运用和计算基础相关的术语定义;</w:t>
      </w:r>
    </w:p>
    <w:p>
      <w:pPr>
        <w:ind w:firstLine="472"/>
        <w:rPr>
          <w:rFonts w:hint="eastAsia" w:eastAsia="宋体"/>
          <w:color w:val="auto"/>
          <w:lang w:eastAsia="zh-CN"/>
        </w:rPr>
      </w:pPr>
      <w:r>
        <w:rPr>
          <w:rFonts w:hint="eastAsia"/>
          <w:color w:val="auto"/>
        </w:rPr>
        <w:t>（5）假设条件及假设条件变动通知义务;</w:t>
      </w:r>
    </w:p>
    <w:p>
      <w:pPr>
        <w:ind w:firstLine="472"/>
        <w:rPr>
          <w:rFonts w:hint="eastAsia" w:eastAsia="宋体"/>
          <w:color w:val="auto"/>
          <w:lang w:eastAsia="zh-CN"/>
        </w:rPr>
      </w:pPr>
      <w:r>
        <w:rPr>
          <w:rFonts w:hint="eastAsia"/>
          <w:color w:val="auto"/>
        </w:rPr>
        <w:t>（6）企业年度报告义务;</w:t>
      </w:r>
    </w:p>
    <w:p>
      <w:pPr>
        <w:ind w:firstLine="472"/>
        <w:rPr>
          <w:rFonts w:hint="eastAsia" w:eastAsia="宋体"/>
          <w:color w:val="auto"/>
          <w:lang w:eastAsia="zh-CN"/>
        </w:rPr>
      </w:pPr>
      <w:r>
        <w:rPr>
          <w:rFonts w:hint="eastAsia"/>
          <w:color w:val="auto"/>
        </w:rPr>
        <w:t>（7）预约定价安排的效力;</w:t>
      </w:r>
    </w:p>
    <w:p>
      <w:pPr>
        <w:ind w:firstLine="472"/>
        <w:rPr>
          <w:rFonts w:hint="eastAsia" w:eastAsia="宋体"/>
          <w:color w:val="auto"/>
          <w:lang w:eastAsia="zh-CN"/>
        </w:rPr>
      </w:pPr>
      <w:r>
        <w:rPr>
          <w:rFonts w:hint="eastAsia"/>
          <w:color w:val="auto"/>
        </w:rPr>
        <w:t>（8）预约定价安排的续签;</w:t>
      </w:r>
    </w:p>
    <w:p>
      <w:pPr>
        <w:ind w:firstLine="472"/>
        <w:rPr>
          <w:rFonts w:hint="eastAsia" w:eastAsia="宋体"/>
          <w:color w:val="auto"/>
          <w:lang w:eastAsia="zh-CN"/>
        </w:rPr>
      </w:pPr>
      <w:r>
        <w:rPr>
          <w:rFonts w:hint="eastAsia"/>
          <w:color w:val="auto"/>
        </w:rPr>
        <w:t>（9）预约定价安排的生效、修订和终止;</w:t>
      </w:r>
    </w:p>
    <w:p>
      <w:pPr>
        <w:ind w:firstLine="472"/>
        <w:rPr>
          <w:rFonts w:hint="eastAsia" w:eastAsia="宋体"/>
          <w:color w:val="auto"/>
          <w:lang w:eastAsia="zh-CN"/>
        </w:rPr>
      </w:pPr>
      <w:r>
        <w:rPr>
          <w:rFonts w:hint="eastAsia"/>
          <w:color w:val="auto"/>
        </w:rPr>
        <w:t>（10）争议的解决;</w:t>
      </w:r>
    </w:p>
    <w:p>
      <w:pPr>
        <w:ind w:firstLine="472"/>
        <w:rPr>
          <w:rFonts w:hint="eastAsia" w:eastAsia="宋体"/>
          <w:color w:val="auto"/>
          <w:lang w:eastAsia="zh-CN"/>
        </w:rPr>
      </w:pPr>
      <w:r>
        <w:rPr>
          <w:rFonts w:hint="eastAsia"/>
          <w:color w:val="auto"/>
        </w:rPr>
        <w:t>（11）文件资料等信息的保密义务;</w:t>
      </w:r>
    </w:p>
    <w:p>
      <w:pPr>
        <w:ind w:firstLine="472"/>
        <w:rPr>
          <w:rFonts w:hint="eastAsia" w:eastAsia="宋体"/>
          <w:color w:val="auto"/>
          <w:lang w:eastAsia="zh-CN"/>
        </w:rPr>
      </w:pPr>
      <w:r>
        <w:rPr>
          <w:rFonts w:hint="eastAsia"/>
          <w:color w:val="auto"/>
        </w:rPr>
        <w:t>（12）单边预约定价安排的信息交换;</w:t>
      </w:r>
    </w:p>
    <w:p>
      <w:pPr>
        <w:ind w:firstLine="472"/>
        <w:rPr>
          <w:color w:val="auto"/>
        </w:rPr>
      </w:pPr>
      <w:r>
        <w:rPr>
          <w:rFonts w:hint="eastAsia"/>
          <w:color w:val="auto"/>
        </w:rPr>
        <w:t>（13）附则。</w:t>
      </w:r>
    </w:p>
    <w:p>
      <w:pPr>
        <w:ind w:firstLine="472"/>
        <w:rPr>
          <w:rFonts w:hint="eastAsia" w:eastAsia="宋体"/>
          <w:color w:val="auto"/>
          <w:lang w:eastAsia="zh-CN"/>
        </w:rPr>
      </w:pPr>
      <w:r>
        <w:rPr>
          <w:color w:val="auto"/>
        </w:rPr>
        <w:t>5</w:t>
      </w:r>
      <w:r>
        <w:rPr>
          <w:rFonts w:hint="eastAsia"/>
          <w:color w:val="auto"/>
        </w:rPr>
        <w:t>.预约定价安排适用于主管税务机关向企业送达接收其谈签意向的《税务事项通知书》之日所属纳税年度起3至5个年度的关联交易。</w:t>
      </w:r>
    </w:p>
    <w:p>
      <w:pPr>
        <w:ind w:firstLine="472"/>
        <w:rPr>
          <w:rFonts w:hint="eastAsia" w:eastAsia="宋体"/>
          <w:color w:val="auto"/>
          <w:lang w:eastAsia="zh-CN"/>
        </w:rPr>
      </w:pPr>
      <w:r>
        <w:rPr>
          <w:color w:val="auto"/>
        </w:rPr>
        <w:t>6</w:t>
      </w:r>
      <w:r>
        <w:rPr>
          <w:rFonts w:hint="eastAsia"/>
          <w:color w:val="auto"/>
        </w:rPr>
        <w:t>.企业以前年度的关联交易与预约定价安排适用年度相同或者类似的，经企业申请，税务机关可以将预约定价安排确定的定价原则和计算方法追溯适用于以前年度该关联交易的评估和调整。追溯期最长为10年。</w:t>
      </w:r>
    </w:p>
    <w:p>
      <w:pPr>
        <w:ind w:firstLine="472"/>
        <w:rPr>
          <w:color w:val="auto"/>
        </w:rPr>
      </w:pPr>
      <w:r>
        <w:rPr>
          <w:color w:val="auto"/>
        </w:rPr>
        <w:t>7</w:t>
      </w:r>
      <w:r>
        <w:rPr>
          <w:rFonts w:hint="eastAsia"/>
          <w:color w:val="auto"/>
        </w:rPr>
        <w:t>.预约定价安排的谈签不影响税务机关对企业不适用预约定价安排的年度及关联交易的特别纳税调查调整和监控管理。</w:t>
      </w:r>
    </w:p>
    <w:p>
      <w:pPr>
        <w:ind w:firstLine="472"/>
        <w:rPr>
          <w:color w:val="auto"/>
        </w:rPr>
      </w:pPr>
      <w:r>
        <w:rPr>
          <w:rFonts w:hint="eastAsia"/>
          <w:color w:val="auto"/>
        </w:rPr>
        <w:t>8.预约定价安排的暂停、终止</w:t>
      </w:r>
    </w:p>
    <w:p>
      <w:pPr>
        <w:ind w:firstLine="472"/>
        <w:rPr>
          <w:color w:val="auto"/>
        </w:rPr>
      </w:pPr>
      <w:r>
        <w:rPr>
          <w:rFonts w:hint="eastAsia"/>
          <w:color w:val="auto"/>
        </w:rPr>
        <w:t>在预约定价安排签署前，税务机关和企业均可暂停、终止预约定价安排程序。税务机关发现企业或者其关联方故意不提供与谈签预约定价安排有关的必要资料，或者提供虚假、不完整资料，者存在其他不配合的情形，使预约定价安排难以达成一致的，可以暂停、终止预约定价安排程序。涉及双边或者多边预约定价安排的，经税收协定缔约各方税务主管当局协商，可以暂停、终止预约定价安排程序。税务机关暂停、终止预约定价安排程序的，应当向企业送达《税务事项通知书》，并说明原因；企业暂停、终止预约定价安排程序的，应当向税务机关提交书面说明。</w:t>
      </w:r>
    </w:p>
    <w:p>
      <w:pPr>
        <w:ind w:firstLine="472"/>
        <w:rPr>
          <w:color w:val="auto"/>
        </w:rPr>
      </w:pPr>
      <w:r>
        <w:rPr>
          <w:rFonts w:hint="eastAsia"/>
          <w:color w:val="auto"/>
        </w:rPr>
        <w:t>没有按照规定的权限和程序签署预约定价安排，或者税务机关发现企业隐瞒事实的，应当认定预约定价安排自始无效，并向企业送达《税务事项通知书》，说明原因；发现企业拒不执行预约定价安排或者存在违反预约定价安排的其他情况，可以视情况进行处理，直至终止预约定价安排。</w:t>
      </w:r>
    </w:p>
    <w:p>
      <w:pPr>
        <w:numPr>
          <w:ilvl w:val="0"/>
          <w:numId w:val="6"/>
        </w:numPr>
        <w:ind w:firstLine="472"/>
        <w:rPr>
          <w:color w:val="auto"/>
        </w:rPr>
      </w:pPr>
      <w:r>
        <w:rPr>
          <w:rFonts w:hint="eastAsia"/>
          <w:color w:val="auto"/>
        </w:rPr>
        <w:t>预约定价安排的优先受理</w:t>
      </w:r>
    </w:p>
    <w:p>
      <w:pPr>
        <w:ind w:firstLine="472"/>
        <w:rPr>
          <w:color w:val="auto"/>
        </w:rPr>
      </w:pPr>
      <w:r>
        <w:rPr>
          <w:rFonts w:hint="eastAsia"/>
          <w:color w:val="auto"/>
        </w:rPr>
        <w:t>有下列情形之一的，税务机关可以优先受理企业提交的申请：</w:t>
      </w:r>
    </w:p>
    <w:p>
      <w:pPr>
        <w:ind w:firstLine="472"/>
        <w:rPr>
          <w:color w:val="auto"/>
        </w:rPr>
      </w:pPr>
      <w:r>
        <w:rPr>
          <w:rFonts w:hint="eastAsia"/>
          <w:color w:val="auto"/>
        </w:rPr>
        <w:t>（</w:t>
      </w:r>
      <w:r>
        <w:rPr>
          <w:color w:val="auto"/>
        </w:rPr>
        <w:t>1）企业关联申报和同期资料完备合理，披露充分；</w:t>
      </w:r>
    </w:p>
    <w:p>
      <w:pPr>
        <w:ind w:firstLine="472"/>
        <w:rPr>
          <w:color w:val="auto"/>
        </w:rPr>
      </w:pPr>
      <w:r>
        <w:rPr>
          <w:rFonts w:hint="eastAsia"/>
          <w:color w:val="auto"/>
        </w:rPr>
        <w:t>（</w:t>
      </w:r>
      <w:r>
        <w:rPr>
          <w:color w:val="auto"/>
        </w:rPr>
        <w:t>2）企业纳税信用级别为A级；</w:t>
      </w:r>
    </w:p>
    <w:p>
      <w:pPr>
        <w:ind w:firstLine="472"/>
        <w:rPr>
          <w:color w:val="auto"/>
        </w:rPr>
      </w:pPr>
      <w:r>
        <w:rPr>
          <w:rFonts w:hint="eastAsia"/>
          <w:color w:val="auto"/>
        </w:rPr>
        <w:t>（</w:t>
      </w:r>
      <w:r>
        <w:rPr>
          <w:color w:val="auto"/>
        </w:rPr>
        <w:t>3）税务机关曾经对企业实施特别纳税调查调整，并已经结案；</w:t>
      </w:r>
    </w:p>
    <w:p>
      <w:pPr>
        <w:ind w:firstLine="472"/>
        <w:rPr>
          <w:color w:val="auto"/>
        </w:rPr>
      </w:pPr>
      <w:r>
        <w:rPr>
          <w:rFonts w:hint="eastAsia"/>
          <w:color w:val="auto"/>
        </w:rPr>
        <w:t>（</w:t>
      </w:r>
      <w:r>
        <w:rPr>
          <w:color w:val="auto"/>
        </w:rPr>
        <w:t>4）签署的预约定价安排执行期满，企业申请续签，且预约定价安排所述事实和经营环境没</w:t>
      </w:r>
      <w:r>
        <w:rPr>
          <w:rFonts w:hint="eastAsia"/>
          <w:color w:val="auto"/>
        </w:rPr>
        <w:t>有发生实质性变化；</w:t>
      </w:r>
    </w:p>
    <w:p>
      <w:pPr>
        <w:ind w:firstLine="472"/>
        <w:rPr>
          <w:color w:val="auto"/>
        </w:rPr>
      </w:pPr>
      <w:r>
        <w:rPr>
          <w:rFonts w:hint="eastAsia"/>
          <w:color w:val="auto"/>
        </w:rPr>
        <w:t>（</w:t>
      </w:r>
      <w:r>
        <w:rPr>
          <w:color w:val="auto"/>
        </w:rPr>
        <w:t>5）企业提交的申请材料齐备，对价值链或者供应链的分析完整、清晰，充分考虑成本节约、</w:t>
      </w:r>
      <w:r>
        <w:rPr>
          <w:rFonts w:hint="eastAsia"/>
          <w:color w:val="auto"/>
        </w:rPr>
        <w:t>市场溢价等地域特殊因素，拟采用的定价原则和计算方法合理；</w:t>
      </w:r>
    </w:p>
    <w:p>
      <w:pPr>
        <w:ind w:firstLine="472"/>
        <w:rPr>
          <w:color w:val="auto"/>
        </w:rPr>
      </w:pPr>
      <w:r>
        <w:rPr>
          <w:rFonts w:hint="eastAsia"/>
          <w:color w:val="auto"/>
        </w:rPr>
        <w:t>（</w:t>
      </w:r>
      <w:r>
        <w:rPr>
          <w:color w:val="auto"/>
        </w:rPr>
        <w:t>6）企业积极配合税务机关开展预约定价安排谈签工作；</w:t>
      </w:r>
    </w:p>
    <w:p>
      <w:pPr>
        <w:ind w:firstLine="472"/>
        <w:rPr>
          <w:color w:val="auto"/>
        </w:rPr>
      </w:pPr>
      <w:r>
        <w:rPr>
          <w:rFonts w:hint="eastAsia"/>
          <w:color w:val="auto"/>
        </w:rPr>
        <w:t>（</w:t>
      </w:r>
      <w:r>
        <w:rPr>
          <w:color w:val="auto"/>
        </w:rPr>
        <w:t>7）申请双边或者多边预约定价安排的，所涉及的税收协定缔约对方税务主管当局有较强的</w:t>
      </w:r>
      <w:r>
        <w:rPr>
          <w:rFonts w:hint="eastAsia"/>
          <w:color w:val="auto"/>
        </w:rPr>
        <w:t>谈签意愿，对预约定价安排的重视程度较高；</w:t>
      </w:r>
    </w:p>
    <w:p>
      <w:pPr>
        <w:ind w:firstLine="472"/>
        <w:rPr>
          <w:color w:val="auto"/>
        </w:rPr>
      </w:pPr>
      <w:r>
        <w:rPr>
          <w:rFonts w:hint="eastAsia"/>
          <w:color w:val="auto"/>
        </w:rPr>
        <w:t>（</w:t>
      </w:r>
      <w:r>
        <w:rPr>
          <w:color w:val="auto"/>
        </w:rPr>
        <w:t>8）其他有利于预约定价安排谈签的因素。</w:t>
      </w:r>
    </w:p>
    <w:p>
      <w:pPr>
        <w:ind w:firstLine="472"/>
        <w:rPr>
          <w:color w:val="auto"/>
        </w:rPr>
      </w:pPr>
      <w:r>
        <w:rPr>
          <w:rFonts w:hint="eastAsia"/>
          <w:color w:val="auto"/>
        </w:rPr>
        <w:t>10.涉及多个税务机关的情况</w:t>
      </w:r>
    </w:p>
    <w:p>
      <w:pPr>
        <w:ind w:firstLine="472"/>
        <w:rPr>
          <w:color w:val="auto"/>
        </w:rPr>
      </w:pPr>
      <w:r>
        <w:rPr>
          <w:rFonts w:hint="eastAsia"/>
          <w:color w:val="auto"/>
        </w:rPr>
        <w:t>预约定价安排同时涉及两个或者两个以上省、自治区、直辖市和计划单列市税务机关的，由国家税务总局统一组织协调。企业申请上述单边预约定价安排的，应当同时向国家税务总局及其指定的税务机关提出谈签预约定价安排的相关申请。国家税务总局可以与企业统一签署单边预约定价安排，或者指定税务机关与企业统一签署单边预约定价安排，也可以由各主管税务机关与企业分别签署单边预约定价安排。</w:t>
      </w:r>
    </w:p>
    <w:p>
      <w:pPr>
        <w:ind w:firstLine="472"/>
        <w:rPr>
          <w:color w:val="auto"/>
        </w:rPr>
      </w:pPr>
      <w:r>
        <w:rPr>
          <w:rFonts w:hint="eastAsia"/>
          <w:color w:val="auto"/>
        </w:rPr>
        <w:t>单边预约定价安排涉及一个省、自治区、直辖市和计划单列市内两个或者两个以上主管税务机关的，由省、自治区、直辖市和计划单列市相应税务机关统一组织协调。</w:t>
      </w:r>
    </w:p>
    <w:p>
      <w:pPr>
        <w:numPr>
          <w:ilvl w:val="0"/>
          <w:numId w:val="7"/>
        </w:numPr>
        <w:ind w:firstLine="472"/>
        <w:rPr>
          <w:color w:val="auto"/>
        </w:rPr>
      </w:pPr>
      <w:r>
        <w:rPr>
          <w:rFonts w:hint="eastAsia"/>
          <w:color w:val="auto"/>
        </w:rPr>
        <w:t>情报交换</w:t>
      </w:r>
    </w:p>
    <w:p>
      <w:pPr>
        <w:ind w:firstLine="472"/>
        <w:rPr>
          <w:color w:val="auto"/>
        </w:rPr>
      </w:pPr>
      <w:r>
        <w:rPr>
          <w:rFonts w:hint="eastAsia"/>
          <w:color w:val="auto"/>
        </w:rPr>
        <w:t>除涉及国家安全的信息以外，国家税务总局可以按照对外缔结的国际公约、协定、协议等有关规定，与其他国家（地区）税务主管当局就</w:t>
      </w:r>
      <w:r>
        <w:rPr>
          <w:color w:val="auto"/>
        </w:rPr>
        <w:t>2016年4月1日以后签署的单边预约定价安排文</w:t>
      </w:r>
      <w:r>
        <w:rPr>
          <w:rFonts w:hint="eastAsia"/>
          <w:color w:val="auto"/>
        </w:rPr>
        <w:t>本实施信息交换。企业应当在签署单边预约定价安排时提供其最终控股公司、上一级直接控股公司及单边预约定价安排涉及的境外关联方所在国家（地区）的名单。</w:t>
      </w:r>
    </w:p>
    <w:p>
      <w:pPr>
        <w:numPr>
          <w:ilvl w:val="0"/>
          <w:numId w:val="7"/>
        </w:numPr>
        <w:ind w:firstLine="472"/>
        <w:rPr>
          <w:color w:val="auto"/>
        </w:rPr>
      </w:pPr>
      <w:r>
        <w:rPr>
          <w:rFonts w:hint="eastAsia"/>
          <w:color w:val="auto"/>
        </w:rPr>
        <w:t>保密义务</w:t>
      </w:r>
    </w:p>
    <w:p>
      <w:pPr>
        <w:ind w:firstLine="708" w:firstLineChars="300"/>
        <w:rPr>
          <w:rFonts w:hint="eastAsia"/>
          <w:color w:val="auto"/>
        </w:rPr>
      </w:pPr>
      <w:r>
        <w:rPr>
          <w:rFonts w:hint="eastAsia"/>
          <w:color w:val="auto"/>
        </w:rPr>
        <w:t>税务机关与企业在预约定价安排谈签过程中取得的所有信息资料，双方均负有保密义务。除依法应当向有关部门提供信息的情况外，未经纳税人同意，税务机关不得以任何方式泄露预约定价安排相关信息。税务机关与企业不能达成预约定价安排的，税务机关在协商过程中所取得的有关企业的提议、推理、观念和判断等非事实性信息，不得用于对该预约定价安排涉及关联交易的特别纳税调查调整。</w:t>
      </w:r>
    </w:p>
    <w:p>
      <w:pPr>
        <w:ind w:firstLine="472"/>
        <w:rPr>
          <w:rFonts w:hint="eastAsia"/>
          <w:color w:val="auto"/>
          <w:lang w:val="en-US" w:eastAsia="zh-CN"/>
        </w:rPr>
      </w:pPr>
      <w:r>
        <w:rPr>
          <w:rFonts w:hint="eastAsia"/>
          <w:color w:val="auto"/>
          <w:lang w:val="en-US" w:eastAsia="zh-CN"/>
        </w:rPr>
        <w:t>13.纳税人对报送资料的真实性和合法性承担责任。</w:t>
      </w:r>
    </w:p>
    <w:p>
      <w:pPr>
        <w:ind w:firstLine="472"/>
        <w:rPr>
          <w:rFonts w:hint="eastAsia"/>
          <w:color w:val="auto"/>
          <w:lang w:val="en-US" w:eastAsia="zh-CN"/>
        </w:rPr>
      </w:pPr>
      <w:r>
        <w:rPr>
          <w:rFonts w:hint="eastAsia"/>
          <w:color w:val="auto"/>
          <w:lang w:val="en-US" w:eastAsia="zh-CN"/>
        </w:rPr>
        <w:t>14.最多跑一次是在资料完整且符合法定受理条件的前提下，最多只需要到税务机关跑一次。</w:t>
      </w:r>
    </w:p>
    <w:p>
      <w:pPr>
        <w:ind w:firstLine="472"/>
        <w:rPr>
          <w:color w:val="auto"/>
        </w:rPr>
      </w:pPr>
      <w:r>
        <w:rPr>
          <w:rFonts w:hint="eastAsia"/>
          <w:color w:val="auto"/>
          <w:lang w:val="en-US" w:eastAsia="zh-CN"/>
        </w:rPr>
        <w:t>15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rPr>
        <w:t>。</w:t>
      </w:r>
    </w:p>
    <w:p>
      <w:pPr>
        <w:pStyle w:val="3"/>
        <w:ind w:left="0" w:leftChars="0" w:firstLine="552" w:firstLineChars="200"/>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rFonts w:hint="eastAsia" w:eastAsia="宋体"/>
          <w:color w:val="auto"/>
          <w:lang w:eastAsia="zh-CN"/>
        </w:rPr>
      </w:pPr>
      <w:r>
        <w:rPr>
          <w:rFonts w:hint="eastAsia"/>
          <w:color w:val="auto"/>
        </w:rPr>
        <w:t>主管税务机关国际税收管理部门受理（可以由</w:t>
      </w:r>
      <w:r>
        <w:rPr>
          <w:rFonts w:hint="eastAsia"/>
          <w:color w:val="auto"/>
          <w:lang w:val="en-US" w:eastAsia="zh-CN"/>
        </w:rPr>
        <w:t>办税</w:t>
      </w:r>
      <w:r>
        <w:rPr>
          <w:rFonts w:hint="eastAsia"/>
          <w:color w:val="auto"/>
        </w:rPr>
        <w:t>服务厅接收资料传递至国际税收管理部门）</w:t>
      </w:r>
      <w:r>
        <w:rPr>
          <w:rFonts w:hint="eastAsia"/>
          <w:color w:val="auto"/>
          <w:lang w:eastAsia="zh-CN"/>
        </w:rPr>
        <w:t>。</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BE5B84"/>
    <w:multiLevelType w:val="singleLevel"/>
    <w:tmpl w:val="9CBE5B84"/>
    <w:lvl w:ilvl="0" w:tentative="0">
      <w:start w:val="6"/>
      <w:numFmt w:val="chineseCounting"/>
      <w:suff w:val="nothing"/>
      <w:lvlText w:val="%1、"/>
      <w:lvlJc w:val="left"/>
      <w:rPr>
        <w:rFonts w:hint="eastAsia"/>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446C3251"/>
    <w:multiLevelType w:val="multilevel"/>
    <w:tmpl w:val="446C3251"/>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3">
    <w:nsid w:val="5D889030"/>
    <w:multiLevelType w:val="singleLevel"/>
    <w:tmpl w:val="5D889030"/>
    <w:lvl w:ilvl="0" w:tentative="0">
      <w:start w:val="9"/>
      <w:numFmt w:val="decimal"/>
      <w:suff w:val="nothing"/>
      <w:lvlText w:val="%1."/>
      <w:lvlJc w:val="left"/>
    </w:lvl>
  </w:abstractNum>
  <w:abstractNum w:abstractNumId="4">
    <w:nsid w:val="5D889077"/>
    <w:multiLevelType w:val="singleLevel"/>
    <w:tmpl w:val="5D889077"/>
    <w:lvl w:ilvl="0" w:tentative="0">
      <w:start w:val="11"/>
      <w:numFmt w:val="decimal"/>
      <w:suff w:val="nothing"/>
      <w:lvlText w:val="%1."/>
      <w:lvlJc w:val="left"/>
    </w:lvl>
  </w:abstractNum>
  <w:abstractNum w:abstractNumId="5">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88B0BF8"/>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2019-10-31T05:13:52Z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