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黑体" w:hAnsi="黑体"/>
          <w:color w:val="auto"/>
        </w:rPr>
      </w:pPr>
      <w:bookmarkStart w:id="1" w:name="_GoBack"/>
      <w:bookmarkEnd w:id="1"/>
      <w:bookmarkStart w:id="0" w:name="_Toc30802"/>
      <w:r>
        <w:rPr>
          <w:rFonts w:hint="eastAsia" w:ascii="黑体" w:hAnsi="黑体"/>
          <w:color w:val="auto"/>
        </w:rPr>
        <w:t>1.3.3.</w:t>
      </w:r>
      <w:r>
        <w:rPr>
          <w:rFonts w:hint="eastAsia" w:ascii="黑体" w:hAnsi="黑体"/>
          <w:color w:val="auto"/>
          <w:lang w:val="en-US" w:eastAsia="zh-CN"/>
        </w:rPr>
        <w:t>12</w:t>
      </w:r>
      <w:r>
        <w:rPr>
          <w:rFonts w:hint="eastAsia" w:ascii="黑体" w:hAnsi="黑体"/>
          <w:color w:val="auto"/>
        </w:rPr>
        <w:t>关联业务往来年度报告申报</w:t>
      </w:r>
      <w:bookmarkEnd w:id="0"/>
    </w:p>
    <w:p>
      <w:pPr>
        <w:pStyle w:val="3"/>
        <w:ind w:firstLine="552"/>
        <w:rPr>
          <w:color w:val="auto"/>
        </w:rPr>
      </w:pPr>
      <w:r>
        <w:rPr>
          <w:color w:val="auto"/>
        </w:rPr>
        <w:t>一、事项名称</w:t>
      </w:r>
    </w:p>
    <w:p>
      <w:pPr>
        <w:ind w:firstLine="472"/>
        <w:rPr>
          <w:color w:val="auto"/>
        </w:rPr>
      </w:pPr>
      <w:r>
        <w:rPr>
          <w:rFonts w:hint="eastAsia" w:ascii="黑体" w:hAnsi="黑体" w:cs="黑体"/>
          <w:color w:val="auto"/>
          <w:kern w:val="44"/>
          <w:szCs w:val="44"/>
        </w:rPr>
        <w:t>关联业务往来年度报告申报</w:t>
      </w:r>
    </w:p>
    <w:p>
      <w:pPr>
        <w:pStyle w:val="3"/>
        <w:ind w:firstLine="552"/>
        <w:rPr>
          <w:color w:val="auto"/>
        </w:rPr>
      </w:pPr>
      <w:r>
        <w:rPr>
          <w:color w:val="auto"/>
        </w:rPr>
        <w:t>二、事项类别</w:t>
      </w:r>
    </w:p>
    <w:p>
      <w:pPr>
        <w:pStyle w:val="49"/>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rFonts w:hint="default" w:eastAsia="黑体"/>
          <w:color w:val="auto"/>
          <w:lang w:val="en-US" w:eastAsia="zh-CN"/>
        </w:rPr>
      </w:pPr>
      <w:r>
        <w:rPr>
          <w:color w:val="auto"/>
        </w:rPr>
        <w:t>三、</w:t>
      </w:r>
      <w:r>
        <w:rPr>
          <w:rFonts w:hint="eastAsia"/>
          <w:color w:val="auto"/>
          <w:lang w:val="en-US" w:eastAsia="zh-CN"/>
        </w:rPr>
        <w:t>办理条件</w:t>
      </w:r>
    </w:p>
    <w:p>
      <w:pPr>
        <w:ind w:firstLine="472"/>
        <w:rPr>
          <w:color w:val="auto"/>
        </w:rPr>
      </w:pPr>
      <w:r>
        <w:rPr>
          <w:rFonts w:hint="eastAsia"/>
          <w:color w:val="auto"/>
        </w:rPr>
        <w:t>实行查账征收的居民企业和在中国境内设立机构、场所并据实申报缴纳企业所得税的非居民企业向税务机关报送年度企业所得税纳税申报表时，应当就其与关联方之间的业务往来进行关联申报，附送《中华人民共和国企业年度关联业务往来报告表(2016年版)》。</w:t>
      </w:r>
    </w:p>
    <w:p>
      <w:pPr>
        <w:pStyle w:val="3"/>
        <w:ind w:firstLine="552"/>
        <w:rPr>
          <w:color w:val="auto"/>
        </w:rPr>
      </w:pPr>
      <w:r>
        <w:rPr>
          <w:rFonts w:hint="eastAsia"/>
          <w:color w:val="auto"/>
        </w:rPr>
        <w:t>四、设定依据</w:t>
      </w:r>
    </w:p>
    <w:p>
      <w:pPr>
        <w:ind w:firstLine="472"/>
        <w:rPr>
          <w:color w:val="auto"/>
        </w:rPr>
      </w:pPr>
      <w:r>
        <w:rPr>
          <w:color w:val="auto"/>
        </w:rPr>
        <w:t>1.</w:t>
      </w:r>
      <w:r>
        <w:rPr>
          <w:rFonts w:hint="eastAsia"/>
          <w:color w:val="auto"/>
        </w:rPr>
        <w:t>《房地产税收一体化管理业务规程》（国税发〔</w:t>
      </w:r>
      <w:r>
        <w:rPr>
          <w:color w:val="auto"/>
        </w:rPr>
        <w:t>2007〕114号）</w:t>
      </w:r>
      <w:r>
        <w:rPr>
          <w:rFonts w:hint="eastAsia"/>
          <w:color w:val="auto"/>
        </w:rPr>
        <w:t>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beforeAutospacing="0" w:after="100" w:afterAutospacing="0" w:line="280" w:lineRule="exact"/>
              <w:ind w:firstLine="352"/>
              <w:jc w:val="center"/>
              <w:rPr>
                <w:rFonts w:ascii="宋体" w:hAnsi="宋体" w:eastAsia="宋体" w:cs="宋体"/>
                <w:color w:val="auto"/>
                <w:sz w:val="18"/>
                <w:szCs w:val="18"/>
              </w:rPr>
            </w:pPr>
            <w:r>
              <w:rPr>
                <w:rFonts w:ascii="宋体" w:hAnsi="宋体" w:eastAsia="宋体" w:cs="宋体"/>
                <w:color w:val="auto"/>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color w:val="auto"/>
                <w:sz w:val="18"/>
                <w:szCs w:val="18"/>
              </w:rPr>
              <w:t>《增量房房源信息表》</w:t>
            </w:r>
          </w:p>
        </w:tc>
        <w:tc>
          <w:tcPr>
            <w:tcW w:w="709" w:type="dxa"/>
            <w:shd w:val="clear" w:color="auto" w:fill="auto"/>
            <w:vAlign w:val="center"/>
          </w:tcPr>
          <w:p>
            <w:pPr>
              <w:widowControl/>
              <w:spacing w:line="280" w:lineRule="exact"/>
              <w:ind w:firstLine="0" w:firstLineChars="0"/>
              <w:jc w:val="center"/>
              <w:rPr>
                <w:rStyle w:val="17"/>
                <w:rFonts w:cs="微软雅黑"/>
                <w:color w:val="auto"/>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微软雅黑"/>
                <w:color w:val="auto"/>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微软雅黑"/>
                <w:color w:val="auto"/>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w:t>
            </w:r>
            <w:r>
              <w:rPr>
                <w:rFonts w:cs="宋体"/>
                <w:color w:val="auto"/>
                <w:kern w:val="0"/>
                <w:sz w:val="18"/>
                <w:szCs w:val="18"/>
              </w:rPr>
              <w:t>留存</w:t>
            </w:r>
            <w:r>
              <w:rPr>
                <w:rFonts w:hint="eastAsia" w:cs="宋体"/>
                <w:color w:val="auto"/>
                <w:kern w:val="0"/>
                <w:sz w:val="18"/>
                <w:szCs w:val="18"/>
              </w:rPr>
              <w:t>1份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rFonts w:hint="eastAsia"/>
          <w:color w:val="auto"/>
        </w:rPr>
      </w:pPr>
      <w:r>
        <w:rPr>
          <w:rFonts w:hint="eastAsia"/>
          <w:color w:val="auto"/>
        </w:rPr>
        <w:t>六</w:t>
      </w:r>
      <w:r>
        <w:rPr>
          <w:color w:val="auto"/>
        </w:rPr>
        <w:t>、办理流程</w:t>
      </w:r>
    </w:p>
    <w:p>
      <w:pPr>
        <w:spacing w:line="240" w:lineRule="auto"/>
        <w:ind w:left="472" w:firstLine="0" w:firstLineChars="0"/>
        <w:rPr>
          <w:rFonts w:hint="eastAsia"/>
          <w:color w:val="auto"/>
        </w:rPr>
      </w:pPr>
      <w:r>
        <w:rPr>
          <w:color w:val="auto"/>
        </w:rPr>
        <w:drawing>
          <wp:inline distT="0" distB="0" distL="0" distR="0">
            <wp:extent cx="4237355" cy="1146175"/>
            <wp:effectExtent l="0" t="0" r="10795" b="158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237355" cy="1146175"/>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A01067《增量房房源信息表》</w:t>
      </w:r>
    </w:p>
    <w:p>
      <w:pPr>
        <w:pStyle w:val="3"/>
        <w:ind w:firstLine="552"/>
        <w:rPr>
          <w:color w:val="auto"/>
        </w:rPr>
      </w:pPr>
      <w:r>
        <w:rPr>
          <w:rFonts w:hint="eastAsia"/>
          <w:color w:val="auto"/>
        </w:rPr>
        <w:t>九、注意事项</w:t>
      </w:r>
    </w:p>
    <w:p>
      <w:pPr>
        <w:ind w:firstLine="472"/>
        <w:rPr>
          <w:color w:val="auto"/>
        </w:rPr>
      </w:pPr>
      <w:r>
        <w:rPr>
          <w:color w:val="auto"/>
        </w:rPr>
        <w:t>1.</w:t>
      </w:r>
      <w:r>
        <w:rPr>
          <w:rFonts w:hint="eastAsia"/>
          <w:color w:val="auto"/>
        </w:rPr>
        <w:t>纳税人在办理增量房房源信息报告前，需先进行不动产项目报告。</w:t>
      </w:r>
    </w:p>
    <w:p>
      <w:pPr>
        <w:ind w:firstLine="472"/>
        <w:rPr>
          <w:color w:val="auto"/>
        </w:rPr>
      </w:pPr>
      <w:r>
        <w:rPr>
          <w:color w:val="auto"/>
        </w:rPr>
        <w:t>2.</w:t>
      </w:r>
      <w:r>
        <w:rPr>
          <w:rFonts w:hint="eastAsia"/>
          <w:color w:val="auto"/>
        </w:rPr>
        <w:t>纳税人对报送资料的真实性和合法性承担责任。</w:t>
      </w:r>
    </w:p>
    <w:p>
      <w:pPr>
        <w:ind w:firstLine="472"/>
        <w:jc w:val="left"/>
        <w:rPr>
          <w:color w:val="auto"/>
        </w:rPr>
      </w:pPr>
      <w:r>
        <w:rPr>
          <w:color w:val="auto"/>
        </w:rPr>
        <w:t>3</w:t>
      </w:r>
      <w:r>
        <w:rPr>
          <w:rFonts w:hint="eastAsia"/>
          <w:color w:val="auto"/>
        </w:rPr>
        <w:t>.最多跑一次是在资料完整且符合法定受理条件的前提下，最多只需要到税务机关跑一次。</w:t>
      </w:r>
    </w:p>
    <w:p>
      <w:pPr>
        <w:ind w:firstLine="472"/>
        <w:jc w:val="left"/>
        <w:rPr>
          <w:color w:val="auto"/>
        </w:rPr>
      </w:pPr>
      <w:r>
        <w:rPr>
          <w:color w:val="auto"/>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0C71409"/>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2019-10-31T03:46:52Z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