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8341"/>
      <w:r>
        <w:rPr>
          <w:rFonts w:hint="eastAsia" w:ascii="黑体" w:hAnsi="黑体" w:cs="黑体"/>
          <w:color w:val="auto"/>
        </w:rPr>
        <w:t>1.1.4.1城镇土地使用税房产税税源信息报告</w:t>
      </w:r>
      <w:bookmarkEnd w:id="0"/>
    </w:p>
    <w:p>
      <w:pPr>
        <w:pStyle w:val="3"/>
        <w:ind w:firstLine="552"/>
        <w:rPr>
          <w:color w:val="auto"/>
        </w:rPr>
      </w:pPr>
      <w:r>
        <w:rPr>
          <w:color w:val="auto"/>
        </w:rPr>
        <w:t>一、事项名称</w:t>
      </w:r>
    </w:p>
    <w:p>
      <w:pPr>
        <w:ind w:firstLine="472"/>
        <w:rPr>
          <w:color w:val="auto"/>
        </w:rPr>
      </w:pPr>
      <w:r>
        <w:rPr>
          <w:rFonts w:hint="eastAsia"/>
          <w:color w:val="auto"/>
        </w:rPr>
        <w:t>城镇土地使用税房产税税源信息报告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eastAsia="黑体" w:asciiTheme="majorHAnsi" w:hAnsiTheme="majorHAnsi" w:cstheme="majorBidi"/>
          <w:bCs/>
          <w:color w:val="auto"/>
          <w:sz w:val="28"/>
          <w:szCs w:val="32"/>
          <w:lang w:eastAsia="zh-CN"/>
        </w:rPr>
        <w:t>办理条件</w:t>
      </w:r>
    </w:p>
    <w:p>
      <w:pPr>
        <w:ind w:firstLine="472"/>
        <w:rPr>
          <w:color w:val="auto"/>
        </w:rPr>
      </w:pPr>
      <w:r>
        <w:rPr>
          <w:rFonts w:hint="eastAsia"/>
          <w:color w:val="auto"/>
        </w:rPr>
        <w:t>1.纳税人在首次申报城镇土地使用税和房产税时，应进行城镇土地使用税房产税税源明细采集。</w:t>
      </w:r>
    </w:p>
    <w:p>
      <w:pPr>
        <w:ind w:firstLine="472"/>
        <w:rPr>
          <w:color w:val="auto"/>
        </w:rPr>
      </w:pPr>
      <w:r>
        <w:rPr>
          <w:rFonts w:hint="eastAsia"/>
          <w:color w:val="auto"/>
        </w:rPr>
        <w:t>房产税源明细数据的采集包括从价数据的采集和从租数据的采集，在采集从租数据之前，必须采集从价数据。</w:t>
      </w:r>
    </w:p>
    <w:p>
      <w:pPr>
        <w:ind w:firstLine="472"/>
        <w:rPr>
          <w:color w:val="auto"/>
        </w:rPr>
      </w:pPr>
      <w:r>
        <w:rPr>
          <w:rFonts w:hint="eastAsia"/>
          <w:color w:val="auto"/>
        </w:rPr>
        <w:t>2.明细管理。要求纳税人逐一申报全部土地的税源明细信息；地理位置、土地证号、宗地号、土地等级、土地用途等不相同的土地，分别进行土地税源明细申报。原则上每栋房产登记一条记录，同一产权证涉及多个房产的，应为多条记录（坚决不允许汇总登记，否则明细申报无法实现）。未取得产权证的，要尽可能明细到每一幢房屋。</w:t>
      </w:r>
    </w:p>
    <w:p>
      <w:pPr>
        <w:ind w:firstLine="472"/>
        <w:rPr>
          <w:color w:val="auto"/>
        </w:rPr>
      </w:pPr>
      <w:r>
        <w:rPr>
          <w:rFonts w:hint="eastAsia"/>
          <w:color w:val="auto"/>
        </w:rPr>
        <w:t>3.动态管理。根据纳税人申报，在税收征管信息系统中连续、完整地记录土地、房产税源明细信息的变更情况，即记录每一税源发生的每一次涉税信息变更，以及由此引起的应纳税额的变化，实现税源信息变化的全过程记录、可追溯和动态管理。</w:t>
      </w:r>
    </w:p>
    <w:p>
      <w:pPr>
        <w:ind w:firstLine="472"/>
        <w:rPr>
          <w:color w:val="auto"/>
        </w:rPr>
      </w:pPr>
      <w:r>
        <w:rPr>
          <w:rFonts w:hint="eastAsia"/>
          <w:color w:val="auto"/>
        </w:rPr>
        <w:t>4.纳税人的土地及相关信息发生变化的，应要求纳税人进行税源明细信息变更申报。变更申报的情形包括：</w:t>
      </w:r>
    </w:p>
    <w:p>
      <w:pPr>
        <w:ind w:firstLine="472"/>
        <w:rPr>
          <w:color w:val="auto"/>
        </w:rPr>
      </w:pPr>
      <w:r>
        <w:rPr>
          <w:rFonts w:hint="eastAsia"/>
          <w:color w:val="auto"/>
        </w:rPr>
        <w:t>（1）房屋、土地权属发生转移或变更的，如出售、分割、赠与、继承等；</w:t>
      </w:r>
    </w:p>
    <w:p>
      <w:pPr>
        <w:ind w:firstLine="472"/>
        <w:rPr>
          <w:color w:val="auto"/>
        </w:rPr>
      </w:pPr>
      <w:r>
        <w:rPr>
          <w:rFonts w:hint="eastAsia"/>
          <w:color w:val="auto"/>
        </w:rPr>
        <w:t>（2）减免税信息发生变化的；</w:t>
      </w:r>
    </w:p>
    <w:p>
      <w:pPr>
        <w:ind w:firstLine="472"/>
        <w:rPr>
          <w:color w:val="auto"/>
        </w:rPr>
      </w:pPr>
      <w:r>
        <w:rPr>
          <w:rFonts w:hint="eastAsia"/>
          <w:color w:val="auto"/>
        </w:rPr>
        <w:t>（3）土地纳税等级或税额标准发生变化的，房产原值或租金发生变化的;</w:t>
      </w:r>
    </w:p>
    <w:p>
      <w:pPr>
        <w:ind w:firstLine="472"/>
        <w:rPr>
          <w:color w:val="auto"/>
        </w:rPr>
      </w:pPr>
      <w:r>
        <w:rPr>
          <w:rFonts w:hint="eastAsia"/>
          <w:color w:val="auto"/>
        </w:rPr>
        <w:t>（4）面积、用途、坐落地址等基础信息发生变化的；</w:t>
      </w:r>
    </w:p>
    <w:p>
      <w:pPr>
        <w:ind w:firstLine="472"/>
        <w:rPr>
          <w:color w:val="auto"/>
        </w:rPr>
      </w:pPr>
      <w:r>
        <w:rPr>
          <w:rFonts w:hint="eastAsia"/>
          <w:color w:val="auto"/>
        </w:rPr>
        <w:t>（5）其他导致税源信息变化的情形。</w:t>
      </w:r>
    </w:p>
    <w:p>
      <w:pPr>
        <w:ind w:firstLine="472"/>
        <w:rPr>
          <w:color w:val="auto"/>
        </w:rPr>
      </w:pPr>
      <w:r>
        <w:rPr>
          <w:rFonts w:hint="eastAsia"/>
          <w:color w:val="auto"/>
        </w:rPr>
        <w:t>5.纳税人城镇土地使用税纳税义务终止的，主管税务机关应当对纳税人提交的税源明细变更信息进行核对，确认纳税人足额纳税后，在税收征管信息系统内对有关税源明细信息进行标记，同时保留历史记录。</w:t>
      </w:r>
    </w:p>
    <w:p>
      <w:pPr>
        <w:ind w:firstLine="472"/>
        <w:rPr>
          <w:color w:val="auto"/>
        </w:rPr>
      </w:pPr>
      <w:r>
        <w:rPr>
          <w:rFonts w:hint="eastAsia"/>
          <w:color w:val="auto"/>
        </w:rPr>
        <w:t>6.税源信息变更和税源信息注销同样适用该事项。</w:t>
      </w:r>
    </w:p>
    <w:p>
      <w:pPr>
        <w:pStyle w:val="3"/>
        <w:ind w:firstLine="552"/>
        <w:rPr>
          <w:color w:val="auto"/>
        </w:rPr>
      </w:pPr>
      <w:r>
        <w:rPr>
          <w:rFonts w:hint="eastAsia"/>
          <w:color w:val="auto"/>
        </w:rPr>
        <w:t>四、设定依据</w:t>
      </w:r>
    </w:p>
    <w:p>
      <w:pPr>
        <w:adjustRightInd w:val="0"/>
        <w:snapToGrid w:val="0"/>
        <w:ind w:firstLine="472"/>
        <w:rPr>
          <w:color w:val="auto"/>
        </w:rPr>
      </w:pPr>
      <w:r>
        <w:rPr>
          <w:rFonts w:hint="eastAsia"/>
          <w:color w:val="auto"/>
        </w:rPr>
        <w:t>1.《中华人民共和国税收征收管理法》第二十五条</w:t>
      </w:r>
    </w:p>
    <w:p>
      <w:pPr>
        <w:adjustRightInd w:val="0"/>
        <w:snapToGrid w:val="0"/>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adjustRightInd w:val="0"/>
        <w:snapToGrid w:val="0"/>
        <w:ind w:firstLine="472"/>
        <w:rPr>
          <w:color w:val="auto"/>
        </w:rPr>
      </w:pP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adjustRightInd w:val="0"/>
        <w:snapToGrid w:val="0"/>
        <w:ind w:firstLine="472"/>
        <w:rPr>
          <w:rFonts w:hint="eastAsia" w:eastAsia="宋体"/>
          <w:color w:val="auto"/>
          <w:lang w:eastAsia="zh-CN"/>
        </w:rPr>
      </w:pPr>
      <w:r>
        <w:rPr>
          <w:rFonts w:hint="eastAsia"/>
          <w:color w:val="auto"/>
        </w:rPr>
        <w:t>2.《中华人民共和国房产税暂行条例》第三条</w:t>
      </w:r>
    </w:p>
    <w:p>
      <w:pPr>
        <w:adjustRightInd w:val="0"/>
        <w:snapToGrid w:val="0"/>
        <w:ind w:firstLine="472"/>
        <w:rPr>
          <w:color w:val="auto"/>
        </w:rPr>
      </w:pPr>
      <w:r>
        <w:rPr>
          <w:rFonts w:hint="eastAsia"/>
          <w:color w:val="auto"/>
        </w:rPr>
        <w:t>“房产税依照房产原值一次减除10%至30%后的余值计算缴纳。具体减除幅度，由省、自治区、直辖市人民政府规定。</w:t>
      </w:r>
    </w:p>
    <w:p>
      <w:pPr>
        <w:adjustRightInd w:val="0"/>
        <w:snapToGrid w:val="0"/>
        <w:ind w:firstLine="472"/>
        <w:rPr>
          <w:color w:val="auto"/>
        </w:rPr>
      </w:pPr>
      <w:r>
        <w:rPr>
          <w:rFonts w:hint="eastAsia"/>
          <w:color w:val="auto"/>
        </w:rPr>
        <w:t>没有房产原值作为依据的，由房产所在地税务机关参考同类房产核定。</w:t>
      </w:r>
    </w:p>
    <w:p>
      <w:pPr>
        <w:adjustRightInd w:val="0"/>
        <w:snapToGrid w:val="0"/>
        <w:ind w:firstLine="472"/>
        <w:rPr>
          <w:color w:val="auto"/>
        </w:rPr>
      </w:pPr>
      <w:r>
        <w:rPr>
          <w:rFonts w:hint="eastAsia"/>
          <w:color w:val="auto"/>
        </w:rPr>
        <w:t>房产出租的，以房产租金收入为房产税的计税依据。”</w:t>
      </w:r>
    </w:p>
    <w:p>
      <w:pPr>
        <w:adjustRightInd w:val="0"/>
        <w:snapToGrid w:val="0"/>
        <w:ind w:firstLine="472"/>
        <w:rPr>
          <w:color w:val="auto"/>
        </w:rPr>
      </w:pPr>
      <w:r>
        <w:rPr>
          <w:rFonts w:hint="eastAsia"/>
          <w:color w:val="auto"/>
        </w:rPr>
        <w:t>3.《城镇土地使用税管理指引》（税总发〔2016〕18号）第七条第一款</w:t>
      </w:r>
    </w:p>
    <w:p>
      <w:pPr>
        <w:adjustRightInd w:val="0"/>
        <w:snapToGrid w:val="0"/>
        <w:ind w:firstLine="472"/>
        <w:rPr>
          <w:color w:val="auto"/>
        </w:rPr>
      </w:pPr>
      <w:r>
        <w:rPr>
          <w:rFonts w:hint="eastAsia"/>
          <w:color w:val="auto"/>
        </w:rPr>
        <w:t>“明细管理。要求纳税人逐一申报全部土地的税源明细信息；地理位置、土地证号、宗地号、土地等级、土地用途等不相同的土地，分别进行土地税源明细申报；税源明细信息发生变化的，进行变更申报。”</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hint="eastAsia" w:ascii="宋体" w:hAnsi="宋体" w:eastAsia="宋体" w:cs="微软雅黑"/>
                <w:color w:val="auto"/>
                <w:sz w:val="18"/>
                <w:szCs w:val="18"/>
              </w:rPr>
              <w:t>1</w:t>
            </w:r>
          </w:p>
        </w:tc>
        <w:tc>
          <w:tcPr>
            <w:tcW w:w="1969"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《城镇土地使用税房产税税源明细表》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587" w:type="dxa"/>
            <w:shd w:val="clear" w:color="auto" w:fill="auto"/>
            <w:vAlign w:val="center"/>
          </w:tcPr>
          <w:p>
            <w:pPr>
              <w:widowControl/>
              <w:spacing w:line="280" w:lineRule="exact"/>
              <w:ind w:firstLine="0" w:firstLineChars="0"/>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olor w:val="auto"/>
                <w:sz w:val="18"/>
                <w:szCs w:val="18"/>
              </w:rPr>
              <w:t>2</w:t>
            </w:r>
          </w:p>
        </w:tc>
        <w:tc>
          <w:tcPr>
            <w:tcW w:w="1969" w:type="dxa"/>
            <w:shd w:val="clear" w:color="auto" w:fill="auto"/>
            <w:vAlign w:val="center"/>
          </w:tcPr>
          <w:p>
            <w:pPr>
              <w:widowControl/>
              <w:spacing w:line="280" w:lineRule="exact"/>
              <w:ind w:firstLine="0" w:firstLineChars="0"/>
              <w:jc w:val="left"/>
              <w:rPr>
                <w:rFonts w:cs="微软雅黑"/>
                <w:color w:val="auto"/>
                <w:sz w:val="18"/>
                <w:szCs w:val="18"/>
              </w:rPr>
            </w:pPr>
            <w:r>
              <w:rPr>
                <w:rFonts w:hint="eastAsia"/>
                <w:color w:val="auto"/>
                <w:sz w:val="18"/>
                <w:szCs w:val="18"/>
              </w:rPr>
              <w:t>不动产权证书或房屋所有权（产权）证书原件及</w:t>
            </w:r>
            <w:r>
              <w:rPr>
                <w:color w:val="auto"/>
                <w:sz w:val="18"/>
                <w:szCs w:val="18"/>
              </w:rPr>
              <w:t>复印件</w:t>
            </w:r>
          </w:p>
        </w:tc>
        <w:tc>
          <w:tcPr>
            <w:tcW w:w="850" w:type="dxa"/>
            <w:shd w:val="clear" w:color="auto" w:fill="auto"/>
            <w:vAlign w:val="center"/>
          </w:tcPr>
          <w:p>
            <w:pPr>
              <w:widowControl/>
              <w:spacing w:line="280" w:lineRule="exact"/>
              <w:ind w:firstLine="0" w:firstLineChars="0"/>
              <w:jc w:val="center"/>
              <w:rPr>
                <w:rStyle w:val="17"/>
                <w:rFonts w:cs="微软雅黑"/>
                <w:b w:val="0"/>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缴纳房产税的纳税人报送</w:t>
            </w:r>
            <w:r>
              <w:rPr>
                <w:rFonts w:hint="eastAsia"/>
                <w:color w:val="auto"/>
                <w:sz w:val="18"/>
                <w:szCs w:val="18"/>
              </w:rPr>
              <w:t>。纳税人进行信息变更、注销时，附报资料所载的内容未发生变化的，免于重复报送。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查验后返还，税务机关留存复印件</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ascii="宋体" w:hAnsi="宋体" w:cs="微软雅黑"/>
                <w:color w:val="auto"/>
                <w:sz w:val="18"/>
                <w:szCs w:val="18"/>
              </w:rPr>
            </w:pPr>
            <w:r>
              <w:rPr>
                <w:rFonts w:hint="eastAsia" w:ascii="宋体" w:hAnsi="宋体" w:eastAsia="宋体" w:cs="微软雅黑"/>
                <w:color w:val="auto"/>
                <w:sz w:val="18"/>
                <w:szCs w:val="18"/>
              </w:rPr>
              <w:t>3</w:t>
            </w:r>
          </w:p>
        </w:tc>
        <w:tc>
          <w:tcPr>
            <w:tcW w:w="1969" w:type="dxa"/>
            <w:shd w:val="clear" w:color="auto" w:fill="auto"/>
            <w:vAlign w:val="center"/>
          </w:tcPr>
          <w:p>
            <w:pPr>
              <w:widowControl/>
              <w:spacing w:line="280" w:lineRule="exact"/>
              <w:ind w:firstLine="0" w:firstLineChars="0"/>
              <w:jc w:val="left"/>
              <w:rPr>
                <w:rFonts w:cs="微软雅黑"/>
                <w:color w:val="auto"/>
                <w:sz w:val="18"/>
                <w:szCs w:val="18"/>
              </w:rPr>
            </w:pPr>
            <w:r>
              <w:rPr>
                <w:rFonts w:hint="eastAsia"/>
                <w:color w:val="auto"/>
                <w:sz w:val="18"/>
                <w:szCs w:val="18"/>
              </w:rPr>
              <w:t>不动产权证书或土地使用权证原件及</w:t>
            </w:r>
            <w:r>
              <w:rPr>
                <w:color w:val="auto"/>
                <w:sz w:val="18"/>
                <w:szCs w:val="18"/>
              </w:rPr>
              <w:t>复印件</w:t>
            </w:r>
          </w:p>
        </w:tc>
        <w:tc>
          <w:tcPr>
            <w:tcW w:w="850"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缴纳城镇土地使用税的纳税人。纳税人进行信息变更、注销时，内容未发生变化的，免于重复报送。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查验后返还，税务机关留存复印件</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both"/>
              <w:rPr>
                <w:rFonts w:ascii="宋体" w:hAnsi="宋体" w:cs="微软雅黑"/>
                <w:color w:val="auto"/>
                <w:sz w:val="18"/>
                <w:szCs w:val="18"/>
              </w:rPr>
            </w:pPr>
            <w:r>
              <w:rPr>
                <w:rFonts w:hint="eastAsia" w:ascii="宋体" w:hAnsi="宋体" w:eastAsia="宋体"/>
                <w:color w:val="auto"/>
                <w:sz w:val="18"/>
                <w:szCs w:val="18"/>
              </w:rPr>
              <w:t>4</w:t>
            </w:r>
          </w:p>
        </w:tc>
        <w:tc>
          <w:tcPr>
            <w:tcW w:w="1969" w:type="dxa"/>
            <w:shd w:val="clear" w:color="auto" w:fill="auto"/>
            <w:vAlign w:val="center"/>
          </w:tcPr>
          <w:p>
            <w:pPr>
              <w:widowControl/>
              <w:spacing w:line="280" w:lineRule="exact"/>
              <w:ind w:firstLine="0" w:firstLineChars="0"/>
              <w:rPr>
                <w:rFonts w:cs="微软雅黑"/>
                <w:color w:val="auto"/>
                <w:sz w:val="18"/>
                <w:szCs w:val="18"/>
              </w:rPr>
            </w:pPr>
            <w:r>
              <w:rPr>
                <w:rFonts w:hint="eastAsia" w:cs="宋体"/>
                <w:color w:val="auto"/>
                <w:kern w:val="0"/>
                <w:sz w:val="18"/>
                <w:szCs w:val="18"/>
              </w:rPr>
              <w:t>房屋租赁协议原件及</w:t>
            </w:r>
            <w:r>
              <w:rPr>
                <w:rFonts w:cs="宋体"/>
                <w:color w:val="auto"/>
                <w:kern w:val="0"/>
                <w:sz w:val="18"/>
                <w:szCs w:val="18"/>
              </w:rPr>
              <w:t>复印件</w:t>
            </w:r>
          </w:p>
        </w:tc>
        <w:tc>
          <w:tcPr>
            <w:tcW w:w="850" w:type="dxa"/>
            <w:shd w:val="clear" w:color="auto" w:fill="auto"/>
            <w:vAlign w:val="center"/>
          </w:tcPr>
          <w:p>
            <w:pPr>
              <w:widowControl/>
              <w:spacing w:line="280" w:lineRule="exact"/>
              <w:ind w:firstLine="0" w:firstLineChars="0"/>
              <w:jc w:val="center"/>
              <w:rPr>
                <w:rFonts w:cs="微软雅黑"/>
                <w:color w:val="auto"/>
                <w:sz w:val="18"/>
                <w:szCs w:val="18"/>
              </w:rPr>
            </w:pPr>
            <w:r>
              <w:rPr>
                <w:rStyle w:val="17"/>
                <w:rFonts w:hint="eastAsia" w:cs="微软雅黑"/>
                <w:b w:val="0"/>
                <w:color w:val="auto"/>
                <w:sz w:val="18"/>
                <w:szCs w:val="18"/>
              </w:rPr>
              <w:t>1</w:t>
            </w:r>
          </w:p>
        </w:tc>
        <w:tc>
          <w:tcPr>
            <w:tcW w:w="980"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587" w:type="dxa"/>
            <w:shd w:val="clear" w:color="auto" w:fill="auto"/>
            <w:vAlign w:val="center"/>
          </w:tcPr>
          <w:p>
            <w:pPr>
              <w:pStyle w:val="13"/>
              <w:widowControl/>
              <w:spacing w:before="100" w:beforeAutospacing="0" w:after="100" w:afterAutospacing="0" w:line="280" w:lineRule="exact"/>
              <w:jc w:val="center"/>
              <w:rPr>
                <w:rFonts w:ascii="宋体" w:hAnsi="宋体" w:cs="微软雅黑"/>
                <w:color w:val="auto"/>
                <w:sz w:val="18"/>
                <w:szCs w:val="18"/>
              </w:rPr>
            </w:pPr>
            <w:r>
              <w:rPr>
                <w:rFonts w:hint="eastAsia" w:ascii="宋体" w:hAnsi="宋体" w:eastAsia="宋体" w:cs="微软雅黑"/>
                <w:color w:val="auto"/>
                <w:sz w:val="18"/>
                <w:szCs w:val="18"/>
              </w:rPr>
              <w:t>为出租房屋并缴纳房产税的纳税人。纳税人进行信息变更、注销时，内容未发生变化的，免于重复报送。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查验后返还，税务机关留存复印件</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37" o:spt="75" type="#_x0000_t75" style="height:102.75pt;width:451.5pt;" o:ole="t" filled="f" o:preferrelative="t" stroked="f" coordsize="21600,21600">
            <v:path/>
            <v:fill on="f" focussize="0,0"/>
            <v:stroke on="f" joinstyle="miter"/>
            <v:imagedata r:id="rId11" o:title=""/>
            <o:lock v:ext="edit" aspectratio="f"/>
            <w10:wrap type="none"/>
            <w10:anchorlock/>
          </v:shape>
          <o:OLEObject Type="Embed" ProgID="Visio.Drawing.11" ShapeID="_x0000_i103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1.《城镇土地使用税房产税税源明细表》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s="微软雅黑"/>
          <w:color w:val="auto"/>
        </w:rPr>
        <w:t>应重点关注数据逻辑关系是否正确。如城镇土地使用税和房产税税源明细表中相关信息的逻辑关系，税源明细表和申报表间的逻辑关系，以及从价计征和从租计征房产税税源明细的逻辑关系等。</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2E225E8"/>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2019-10-31T03:31:36Z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