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6090"/>
      <w:r>
        <w:rPr>
          <w:rFonts w:hint="eastAsia" w:ascii="黑体" w:hAnsi="黑体"/>
          <w:color w:val="auto"/>
          <w:lang w:val="en-US" w:eastAsia="zh-CN"/>
        </w:rPr>
        <w:t>1</w:t>
      </w:r>
      <w:r>
        <w:rPr>
          <w:rFonts w:hint="eastAsia" w:ascii="黑体" w:hAnsi="黑体"/>
          <w:color w:val="auto"/>
        </w:rPr>
        <w:t>.</w:t>
      </w:r>
      <w:r>
        <w:rPr>
          <w:rFonts w:hint="eastAsia" w:ascii="黑体" w:hAnsi="黑体"/>
          <w:color w:val="auto"/>
          <w:lang w:val="en-US" w:eastAsia="zh-CN"/>
        </w:rPr>
        <w:t>3</w:t>
      </w:r>
      <w:r>
        <w:rPr>
          <w:rFonts w:hint="eastAsia" w:ascii="黑体" w:hAnsi="黑体"/>
          <w:color w:val="auto"/>
        </w:rPr>
        <w:t>.</w:t>
      </w:r>
      <w:r>
        <w:rPr>
          <w:rFonts w:hint="eastAsia" w:ascii="黑体" w:hAnsi="黑体"/>
          <w:color w:val="auto"/>
          <w:lang w:val="en-US" w:eastAsia="zh-CN"/>
        </w:rPr>
        <w:t>8.1</w:t>
      </w:r>
      <w:r>
        <w:rPr>
          <w:rFonts w:hint="eastAsia" w:ascii="黑体" w:hAnsi="黑体"/>
          <w:color w:val="auto"/>
        </w:rPr>
        <w:t>车船税申报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车船税申报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车船税申报是指在中华人民共和国境内，车辆、船舶（以下简称车船）的所有人或者管理人为车船税的纳税人，应依照税收法律、法规、规章及其他有关规定，在规定的纳税期限内，填报《车船税纳税申报表》及税务机关要求的相关资料向税务机关进行纳税申报，税务机关应当受理，并向纳税人开具含有车船信息完税凭证的业务活动。</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eastAsia"/>
          <w:color w:val="auto"/>
        </w:rPr>
      </w:pPr>
      <w:r>
        <w:rPr>
          <w:rFonts w:hint="eastAsia"/>
          <w:color w:val="auto"/>
        </w:rPr>
        <w:t>2.《中华人民共和国车船税法》第一条</w:t>
      </w:r>
    </w:p>
    <w:p>
      <w:pPr>
        <w:ind w:firstLine="472"/>
        <w:rPr>
          <w:color w:val="auto"/>
        </w:rPr>
      </w:pPr>
      <w:r>
        <w:rPr>
          <w:rFonts w:hint="eastAsia"/>
          <w:color w:val="auto"/>
        </w:rPr>
        <w:t>“在中华人民共和国境内属于本法所附《车船税税目税额表》规定的车辆、船舶（以下简称车船）的所有人或者管理人，为车船税的纳税人，应当依照本法缴纳车船税。”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《车船税纳税申报表》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《车船税税源明细表（车辆）》</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申报车船税税源是车辆时报送</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《车船税税源明细表（船舶）》</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申报车船税税源是船舶时报送</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rPr>
          <w:rFonts w:hint="eastAsia"/>
          <w:color w:val="auto"/>
        </w:rPr>
      </w:pPr>
      <w:r>
        <w:rPr>
          <w:color w:val="auto"/>
        </w:rPr>
        <w:pict>
          <v:shape id="_x0000_s1049" o:spid="_x0000_s1049" o:spt="75" type="#_x0000_t75" style="position:absolute;left:0pt;margin-left:6.75pt;margin-top:34.7pt;height:101.35pt;width:423.6pt;mso-wrap-distance-bottom:0pt;mso-wrap-distance-left:9pt;mso-wrap-distance-right:9pt;mso-wrap-distance-top:0pt;z-index:251734016;mso-width-relative:page;mso-height-relative:page;" o:ole="t" filled="f" o:preferrelative="t" stroked="f" coordsize="21600,21600">
            <v:path/>
            <v:fill on="f" focussize="0,0"/>
            <v:stroke on="f"/>
            <v:imagedata r:id="rId10" o:title=""/>
            <o:lock v:ext="edit" aspectratio="t"/>
            <w10:wrap type="square"/>
          </v:shape>
          <o:OLEObject Type="Embed" ProgID="Visio.Drawing.15" ShapeID="_x0000_s1049" DrawAspect="Content" ObjectID="_1468075725">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rPr>
        <w:t>1.A06110《车船税纳税申报表》（A06110《车船税纳税申报表》（填写样例）)</w:t>
      </w:r>
    </w:p>
    <w:p>
      <w:pPr>
        <w:ind w:firstLine="472"/>
        <w:rPr>
          <w:rFonts w:hint="eastAsia"/>
          <w:color w:val="auto"/>
        </w:rPr>
      </w:pPr>
      <w:r>
        <w:rPr>
          <w:rFonts w:hint="eastAsia"/>
          <w:color w:val="auto"/>
        </w:rPr>
        <w:t>2.A06553《车船税税源明细表（车辆）》</w:t>
      </w:r>
    </w:p>
    <w:p>
      <w:pPr>
        <w:ind w:firstLine="472"/>
        <w:rPr>
          <w:rFonts w:hint="default" w:eastAsia="宋体"/>
          <w:color w:val="auto"/>
          <w:lang w:val="en-US" w:eastAsia="zh-CN"/>
        </w:rPr>
      </w:pPr>
      <w:r>
        <w:rPr>
          <w:rFonts w:hint="eastAsia"/>
          <w:color w:val="auto"/>
        </w:rPr>
        <w:t>3.A06555《车船税税源明细表（船舶）》</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1.在车船税纳税申报时，车架号及船舶识别号作为车辆及船舶的税源唯一标识，工作人员应仔细核对。</w:t>
      </w:r>
    </w:p>
    <w:p>
      <w:pPr>
        <w:ind w:firstLine="472"/>
        <w:rPr>
          <w:rFonts w:hint="eastAsia"/>
          <w:color w:val="auto"/>
        </w:rPr>
      </w:pPr>
      <w:r>
        <w:rPr>
          <w:rFonts w:hint="eastAsia"/>
          <w:color w:val="auto"/>
        </w:rPr>
        <w:t>2.对首次进行车船税纳税申报的纳税人，需要申报其全部车船的主附表信息。此后办理纳税申报时，如果纳税人的车船及相关信息未发生变化的，可不再填报信息，仅提供相关证件，由税务机关按上次申报信息生成申报表。对车船或纳税人有关信息发生变化的，纳税人仅就变化的内容进行填报。已获取第三方信息的地区，税务机关可将第三方信息导入纳税申报系统，直接生成申报表由纳税人进行签章确认。</w:t>
      </w:r>
    </w:p>
    <w:p>
      <w:pPr>
        <w:ind w:firstLine="472"/>
        <w:rPr>
          <w:rFonts w:hint="eastAsia"/>
          <w:color w:val="auto"/>
        </w:rPr>
      </w:pPr>
      <w:r>
        <w:rPr>
          <w:rFonts w:hint="eastAsia"/>
          <w:color w:val="auto"/>
        </w:rPr>
        <w:t>3.车船税的纳税地点为车船的登记地或者车船税扣缴义务人所在地。依法不需要办理登记的车船，应当依据车船的所有人或管理人所在地确定征管范围。车船登记地或车船所有人或管理人所在地以外的车船税，税务机关不应征收。凡在交通运输部直属海事管理机构登记管理的应税船舶，其车船税由船籍港所在地的税务部门委托当地交通运输部直属海事管理机构代征。</w:t>
      </w:r>
    </w:p>
    <w:p>
      <w:pPr>
        <w:ind w:firstLine="472"/>
        <w:rPr>
          <w:rFonts w:hint="eastAsia"/>
          <w:color w:val="auto"/>
        </w:rPr>
      </w:pPr>
      <w:r>
        <w:rPr>
          <w:rFonts w:hint="eastAsia"/>
          <w:color w:val="auto"/>
        </w:rPr>
        <w:t>4.车船税纳税义务发生时间为取得车船所有权或者管理权的当月。车船税按年申报，分月计算，一次性缴纳。纳税年度为公历1月1日至12月31日。</w:t>
      </w:r>
    </w:p>
    <w:p>
      <w:pPr>
        <w:ind w:firstLine="472"/>
        <w:rPr>
          <w:color w:val="auto"/>
        </w:rPr>
      </w:pPr>
      <w:r>
        <w:rPr>
          <w:rFonts w:hint="eastAsia"/>
          <w:color w:val="auto"/>
          <w:lang w:val="en-US" w:eastAsia="zh-CN"/>
        </w:rPr>
        <w:t>5</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6</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7</w:t>
      </w:r>
      <w:r>
        <w:rPr>
          <w:rFonts w:hint="eastAsia"/>
          <w:color w:val="auto"/>
        </w:rPr>
        <w:t>.最多跑一次是在资料完整且符合法定受理条件的前提下，最多只需要到税务机关跑一次。</w:t>
      </w:r>
    </w:p>
    <w:p>
      <w:pPr>
        <w:ind w:firstLine="472"/>
        <w:jc w:val="left"/>
        <w:rPr>
          <w:rFonts w:hint="eastAsia" w:eastAsia="宋体"/>
          <w:color w:val="auto"/>
          <w:lang w:val="en-US" w:eastAsia="zh-CN"/>
        </w:rPr>
      </w:pPr>
      <w:r>
        <w:rPr>
          <w:rFonts w:hint="eastAsia"/>
          <w:color w:val="auto"/>
          <w:lang w:val="en-US" w:eastAsia="zh-CN"/>
        </w:rPr>
        <w:t>8</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A712BCA"/>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2019-10-31T06:24:03Z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