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3614"/>
      <w:r>
        <w:rPr>
          <w:rFonts w:hint="eastAsia" w:ascii="黑体" w:hAnsi="黑体"/>
          <w:color w:val="auto"/>
        </w:rPr>
        <w:t>1.3.9.2印花税票代售报告</w:t>
      </w:r>
      <w:bookmarkEnd w:id="0"/>
    </w:p>
    <w:p>
      <w:pPr>
        <w:pStyle w:val="3"/>
        <w:ind w:firstLine="552"/>
        <w:rPr>
          <w:color w:val="auto"/>
        </w:rPr>
      </w:pPr>
      <w:r>
        <w:rPr>
          <w:color w:val="auto"/>
        </w:rPr>
        <w:t>一、事项名称</w:t>
      </w:r>
    </w:p>
    <w:p>
      <w:pPr>
        <w:ind w:firstLine="472"/>
        <w:rPr>
          <w:color w:val="auto"/>
        </w:rPr>
      </w:pPr>
      <w:r>
        <w:rPr>
          <w:rFonts w:hint="eastAsia"/>
          <w:color w:val="auto"/>
        </w:rPr>
        <w:t>印花税票代售报告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发起方式：人工发起（代征人）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网上办理：否</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Chars="0"/>
        <w:rPr>
          <w:color w:val="auto"/>
        </w:rPr>
      </w:pPr>
      <w:r>
        <w:rPr>
          <w:rFonts w:hint="eastAsia"/>
          <w:color w:val="auto"/>
        </w:rPr>
        <w:t>印花税票代售报告是指税务机关委托单位或者个人代售印花税票，受托单位或者个人可以向税务机关提出代售印花税票申请，代售户所售印花税票取得的税款，须专户存储，并按照规定的期限，向当地税务机关结报，或者填开专用缴款书直接向银行缴纳的业务活动。</w:t>
      </w:r>
    </w:p>
    <w:p>
      <w:pPr>
        <w:pStyle w:val="3"/>
        <w:ind w:firstLine="552"/>
        <w:rPr>
          <w:color w:val="auto"/>
        </w:rPr>
      </w:pPr>
      <w:r>
        <w:rPr>
          <w:rFonts w:hint="eastAsia"/>
          <w:color w:val="auto"/>
        </w:rPr>
        <w:t>四、设定依据</w:t>
      </w:r>
    </w:p>
    <w:p>
      <w:pPr>
        <w:pStyle w:val="47"/>
        <w:ind w:firstLineChars="0"/>
        <w:rPr>
          <w:color w:val="auto"/>
        </w:rPr>
      </w:pPr>
      <w:r>
        <w:rPr>
          <w:color w:val="auto"/>
        </w:rPr>
        <w:t>1.《中华人民共和国税收征收管理法》第二十五条第一款</w:t>
      </w:r>
    </w:p>
    <w:p>
      <w:pPr>
        <w:pStyle w:val="47"/>
        <w:ind w:firstLineChars="0"/>
        <w:rPr>
          <w:bCs/>
          <w:color w:val="auto"/>
        </w:rPr>
      </w:pPr>
      <w:r>
        <w:rPr>
          <w:rFonts w:hint="eastAsia"/>
          <w:bCs/>
          <w:color w:val="auto"/>
        </w:rPr>
        <w:t>“</w:t>
      </w:r>
      <w:r>
        <w:rPr>
          <w:rFonts w:hint="eastAsia"/>
          <w:color w:val="auto"/>
        </w:rPr>
        <w:t>纳税人必须依照法律、行政法规规定或者税务机关依照法律、行政法规的规定确定的申报期限、申报内容如实办理纳税申报</w:t>
      </w:r>
      <w:r>
        <w:rPr>
          <w:color w:val="auto"/>
        </w:rPr>
        <w:t>,报送纳税申报表、财务会计报表以及税务机关根据实际需要要求纳税人报送的其他纳税资料。</w:t>
      </w:r>
      <w:r>
        <w:rPr>
          <w:rFonts w:hint="eastAsia"/>
          <w:bCs/>
          <w:color w:val="auto"/>
        </w:rPr>
        <w:t>”</w:t>
      </w:r>
    </w:p>
    <w:p>
      <w:pPr>
        <w:pStyle w:val="47"/>
        <w:ind w:firstLineChars="0"/>
        <w:rPr>
          <w:color w:val="auto"/>
        </w:rPr>
      </w:pPr>
      <w:r>
        <w:rPr>
          <w:color w:val="auto"/>
        </w:rPr>
        <w:t>2.《中华人民共和国印花税暂行条例施行细则》第三十一条</w:t>
      </w:r>
    </w:p>
    <w:p>
      <w:pPr>
        <w:pStyle w:val="47"/>
        <w:ind w:firstLineChars="0"/>
        <w:rPr>
          <w:color w:val="auto"/>
        </w:rPr>
      </w:pPr>
      <w:r>
        <w:rPr>
          <w:rFonts w:hint="eastAsia"/>
          <w:bCs/>
          <w:color w:val="auto"/>
        </w:rPr>
        <w:t>“</w:t>
      </w:r>
      <w:r>
        <w:rPr>
          <w:rFonts w:hint="eastAsia"/>
          <w:color w:val="auto"/>
        </w:rPr>
        <w:t>印花税票可以委托单位或个人代售，并由税务机关付给代售金额５％的手续费。支付来源从实征印花税款中提取。</w:t>
      </w:r>
      <w:r>
        <w:rPr>
          <w:rFonts w:hint="eastAsia"/>
          <w:bCs/>
          <w:color w:val="auto"/>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2"/>
              <w:widowControl/>
              <w:spacing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62"/>
              <w:widowControl/>
              <w:spacing w:line="280" w:lineRule="exact"/>
              <w:rPr>
                <w:rFonts w:ascii="宋体" w:hAnsi="宋体" w:eastAsia="宋体"/>
                <w:color w:val="auto"/>
                <w:sz w:val="18"/>
                <w:szCs w:val="18"/>
              </w:rPr>
            </w:pPr>
            <w:r>
              <w:rPr>
                <w:rFonts w:hint="eastAsia" w:eastAsia="宋体" w:cs="宋体"/>
                <w:color w:val="auto"/>
                <w:sz w:val="18"/>
                <w:szCs w:val="18"/>
              </w:rPr>
              <w:t>《印花税票代售报告表》</w:t>
            </w:r>
          </w:p>
        </w:tc>
        <w:tc>
          <w:tcPr>
            <w:tcW w:w="709" w:type="dxa"/>
            <w:shd w:val="clear" w:color="auto" w:fill="auto"/>
            <w:vAlign w:val="center"/>
          </w:tcPr>
          <w:p>
            <w:pPr>
              <w:pStyle w:val="62"/>
              <w:widowControl/>
              <w:spacing w:line="280" w:lineRule="exact"/>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62"/>
              <w:widowControl/>
              <w:spacing w:line="280" w:lineRule="exact"/>
              <w:ind w:firstLine="352"/>
              <w:rPr>
                <w:rFonts w:ascii="宋体" w:hAnsi="宋体" w:eastAsia="宋体" w:cs="微软雅黑"/>
                <w:color w:val="auto"/>
                <w:sz w:val="18"/>
                <w:szCs w:val="18"/>
              </w:rPr>
            </w:pPr>
          </w:p>
        </w:tc>
        <w:tc>
          <w:tcPr>
            <w:tcW w:w="1134" w:type="dxa"/>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2"/>
              <w:widowControl/>
              <w:spacing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《中华人民共和国印花税票销售凭证》</w:t>
            </w:r>
            <w:r>
              <w:rPr>
                <w:rFonts w:hint="eastAsia" w:cs="微软雅黑"/>
                <w:color w:val="auto"/>
                <w:sz w:val="18"/>
                <w:szCs w:val="18"/>
              </w:rPr>
              <w:t>第二联</w:t>
            </w:r>
          </w:p>
        </w:tc>
        <w:tc>
          <w:tcPr>
            <w:tcW w:w="709" w:type="dxa"/>
            <w:shd w:val="clear" w:color="auto" w:fill="auto"/>
            <w:vAlign w:val="center"/>
          </w:tcPr>
          <w:p>
            <w:pPr>
              <w:pStyle w:val="62"/>
              <w:widowControl/>
              <w:spacing w:line="280" w:lineRule="exact"/>
              <w:jc w:val="center"/>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1</w:t>
            </w:r>
          </w:p>
        </w:tc>
        <w:tc>
          <w:tcPr>
            <w:tcW w:w="992" w:type="dxa"/>
            <w:shd w:val="clear" w:color="auto" w:fill="auto"/>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62"/>
              <w:widowControl/>
              <w:spacing w:line="280" w:lineRule="exact"/>
              <w:ind w:firstLine="352"/>
              <w:rPr>
                <w:rFonts w:ascii="宋体" w:hAnsi="宋体" w:eastAsia="宋体" w:cs="微软雅黑"/>
                <w:color w:val="auto"/>
                <w:sz w:val="18"/>
                <w:szCs w:val="18"/>
              </w:rPr>
            </w:pPr>
          </w:p>
        </w:tc>
        <w:tc>
          <w:tcPr>
            <w:tcW w:w="1134" w:type="dxa"/>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62"/>
              <w:widowControl/>
              <w:spacing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pStyle w:val="62"/>
              <w:widowControl/>
              <w:spacing w:line="280" w:lineRule="exact"/>
              <w:rPr>
                <w:rFonts w:eastAsia="宋体" w:cs="宋体"/>
                <w:color w:val="auto"/>
                <w:sz w:val="18"/>
                <w:szCs w:val="18"/>
              </w:rPr>
            </w:pPr>
            <w:r>
              <w:rPr>
                <w:rFonts w:eastAsia="宋体" w:cs="宋体"/>
                <w:color w:val="auto"/>
                <w:sz w:val="18"/>
                <w:szCs w:val="18"/>
              </w:rPr>
              <w:t>《中华人民共和国税收缴款书（银行经收专用）》</w:t>
            </w:r>
            <w:r>
              <w:rPr>
                <w:rFonts w:hint="eastAsia" w:ascii="宋体" w:hAnsi="宋体" w:eastAsia="宋体" w:cs="微软雅黑"/>
                <w:color w:val="auto"/>
                <w:sz w:val="18"/>
                <w:szCs w:val="18"/>
              </w:rPr>
              <w:t>第</w:t>
            </w:r>
            <w:r>
              <w:rPr>
                <w:rFonts w:hint="eastAsia" w:cs="微软雅黑"/>
                <w:color w:val="auto"/>
                <w:sz w:val="18"/>
                <w:szCs w:val="18"/>
              </w:rPr>
              <w:t>一</w:t>
            </w:r>
            <w:r>
              <w:rPr>
                <w:rFonts w:hint="eastAsia" w:ascii="宋体" w:hAnsi="宋体" w:eastAsia="宋体" w:cs="微软雅黑"/>
                <w:color w:val="auto"/>
                <w:sz w:val="18"/>
                <w:szCs w:val="18"/>
              </w:rPr>
              <w:t>联</w:t>
            </w:r>
          </w:p>
        </w:tc>
        <w:tc>
          <w:tcPr>
            <w:tcW w:w="709" w:type="dxa"/>
            <w:shd w:val="clear" w:color="auto" w:fill="auto"/>
            <w:vAlign w:val="center"/>
          </w:tcPr>
          <w:p>
            <w:pPr>
              <w:pStyle w:val="62"/>
              <w:widowControl/>
              <w:spacing w:line="280" w:lineRule="exact"/>
              <w:jc w:val="center"/>
              <w:rPr>
                <w:rStyle w:val="17"/>
                <w:rFonts w:ascii="宋体" w:hAnsi="宋体" w:eastAsia="宋体" w:cs="微软雅黑"/>
                <w:b w:val="0"/>
                <w:color w:val="auto"/>
                <w:sz w:val="18"/>
                <w:szCs w:val="18"/>
              </w:rPr>
            </w:pPr>
            <w:r>
              <w:rPr>
                <w:rStyle w:val="17"/>
                <w:rFonts w:hint="eastAsia" w:ascii="宋体" w:hAnsi="宋体" w:eastAsia="宋体" w:cs="微软雅黑"/>
                <w:b w:val="0"/>
                <w:color w:val="auto"/>
                <w:sz w:val="18"/>
                <w:szCs w:val="18"/>
              </w:rPr>
              <w:t>1</w:t>
            </w:r>
          </w:p>
        </w:tc>
        <w:tc>
          <w:tcPr>
            <w:tcW w:w="992" w:type="dxa"/>
            <w:shd w:val="clear" w:color="auto" w:fill="auto"/>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w:t>
            </w:r>
            <w:r>
              <w:rPr>
                <w:rFonts w:ascii="宋体" w:hAnsi="宋体" w:eastAsia="宋体" w:cs="微软雅黑"/>
                <w:color w:val="auto"/>
                <w:sz w:val="18"/>
                <w:szCs w:val="18"/>
              </w:rPr>
              <w:t>报送</w:t>
            </w:r>
          </w:p>
        </w:tc>
        <w:tc>
          <w:tcPr>
            <w:tcW w:w="1134" w:type="dxa"/>
            <w:shd w:val="clear" w:color="auto" w:fill="auto"/>
            <w:vAlign w:val="center"/>
          </w:tcPr>
          <w:p>
            <w:pPr>
              <w:pStyle w:val="62"/>
              <w:widowControl/>
              <w:spacing w:line="280" w:lineRule="exact"/>
              <w:rPr>
                <w:rFonts w:eastAsia="宋体" w:cs="宋体"/>
                <w:color w:val="auto"/>
                <w:sz w:val="18"/>
                <w:szCs w:val="18"/>
              </w:rPr>
            </w:pPr>
            <w:r>
              <w:rPr>
                <w:rFonts w:eastAsia="宋体" w:cs="宋体"/>
                <w:color w:val="auto"/>
                <w:sz w:val="18"/>
                <w:szCs w:val="18"/>
              </w:rPr>
              <w:t>扣缴义务人汇总缴库开具税票的提供</w:t>
            </w:r>
          </w:p>
        </w:tc>
        <w:tc>
          <w:tcPr>
            <w:tcW w:w="1134" w:type="dxa"/>
            <w:vAlign w:val="center"/>
          </w:tcPr>
          <w:p>
            <w:pPr>
              <w:pStyle w:val="62"/>
              <w:widowControl/>
              <w:spacing w:line="280" w:lineRule="exact"/>
              <w:jc w:val="center"/>
              <w:rPr>
                <w:rFonts w:ascii="宋体" w:hAnsi="宋体" w:eastAsia="宋体" w:cs="微软雅黑"/>
                <w:b/>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bl>
    <w:p>
      <w:pPr>
        <w:pStyle w:val="3"/>
        <w:ind w:firstLine="199" w:firstLineChars="72"/>
        <w:rPr>
          <w:color w:val="auto"/>
        </w:rPr>
      </w:pPr>
      <w:r>
        <w:rPr>
          <w:rFonts w:hint="eastAsia"/>
          <w:color w:val="auto"/>
        </w:rPr>
        <w:t>六</w:t>
      </w:r>
      <w:r>
        <w:rPr>
          <w:color w:val="auto"/>
        </w:rPr>
        <w:t>、办理流程</w:t>
      </w:r>
    </w:p>
    <w:p>
      <w:pPr>
        <w:ind w:firstLineChars="0"/>
        <w:rPr>
          <w:color w:val="auto"/>
        </w:rPr>
      </w:pPr>
    </w:p>
    <w:p>
      <w:pPr>
        <w:ind w:left="472" w:firstLine="0" w:firstLineChars="0"/>
        <w:rPr>
          <w:color w:val="auto"/>
        </w:rPr>
      </w:pPr>
      <w:r>
        <w:rPr>
          <w:color w:val="auto"/>
        </w:rPr>
        <w:pict>
          <v:shape id="_x0000_s1052" o:spid="_x0000_s1052" o:spt="75" type="#_x0000_t75" style="position:absolute;left:0pt;margin-left:-0.7pt;margin-top:8.1pt;height:152.1pt;width:458.55pt;mso-wrap-distance-bottom:0pt;mso-wrap-distance-left:9pt;mso-wrap-distance-right:9pt;mso-wrap-distance-top:0pt;z-index:251743232;mso-width-relative:page;mso-height-relative:page;" filled="f" o:preferrelative="t" stroked="f" coordsize="21600,21600">
            <v:path/>
            <v:fill on="f" focussize="0,0"/>
            <v:stroke on="f" joinstyle="miter"/>
            <v:imagedata r:id="rId10" o:title=""/>
            <o:lock v:ext="edit" aspectratio="t"/>
            <w10:wrap type="square"/>
          </v:shape>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A06126《印花税票代售报告表》</w:t>
      </w:r>
    </w:p>
    <w:p>
      <w:pPr>
        <w:pStyle w:val="3"/>
        <w:ind w:firstLine="552"/>
        <w:rPr>
          <w:color w:val="auto"/>
        </w:rPr>
      </w:pPr>
      <w:r>
        <w:rPr>
          <w:rFonts w:hint="eastAsia"/>
          <w:color w:val="auto"/>
        </w:rPr>
        <w:t>九、注意事项</w:t>
      </w:r>
    </w:p>
    <w:p>
      <w:pPr>
        <w:ind w:firstLine="472"/>
        <w:rPr>
          <w:color w:val="auto"/>
        </w:rPr>
      </w:pPr>
      <w:r>
        <w:rPr>
          <w:color w:val="auto"/>
        </w:rPr>
        <w:t>1.纳税人既有应退税款又有欠缴税款的，可以办理“抵缴欠税”业务。</w:t>
      </w:r>
    </w:p>
    <w:p>
      <w:pPr>
        <w:ind w:firstLine="472"/>
        <w:rPr>
          <w:color w:val="auto"/>
        </w:rPr>
      </w:pPr>
      <w:r>
        <w:rPr>
          <w:color w:val="auto"/>
        </w:rPr>
        <w:t>2.纳税人对报送资料的真实性和合法性承担责任。</w:t>
      </w:r>
    </w:p>
    <w:p>
      <w:pPr>
        <w:ind w:firstLine="472"/>
        <w:rPr>
          <w:rFonts w:hint="eastAsia"/>
          <w:color w:val="auto"/>
        </w:rPr>
      </w:pPr>
      <w:r>
        <w:rPr>
          <w:rFonts w:hint="eastAsia"/>
          <w:color w:val="auto"/>
        </w:rPr>
        <w:t>3</w:t>
      </w:r>
      <w:r>
        <w:rPr>
          <w:color w:val="auto"/>
        </w:rPr>
        <w:t>.最多跑一次是在资料完整且符合法定受理条件的前提下，最多只需要到税务机关跑一次。</w:t>
      </w:r>
    </w:p>
    <w:p>
      <w:pPr>
        <w:ind w:firstLine="472"/>
        <w:rPr>
          <w:color w:val="auto"/>
        </w:rPr>
      </w:pPr>
      <w:r>
        <w:rPr>
          <w:rFonts w:hint="eastAsia"/>
          <w:color w:val="auto"/>
        </w:rPr>
        <w:t>4.</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F50573B"/>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2019-10-31T06:24:39Z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