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269"/>
      <w:r>
        <w:rPr>
          <w:rFonts w:hint="eastAsia" w:ascii="黑体" w:hAnsi="黑体" w:cs="黑体"/>
          <w:color w:val="auto"/>
          <w:lang w:val="en-US" w:eastAsia="zh-CN"/>
        </w:rPr>
        <w:t>1.1.4.4</w:t>
      </w:r>
      <w:r>
        <w:rPr>
          <w:rFonts w:hint="eastAsia" w:ascii="黑体" w:hAnsi="黑体" w:cs="黑体"/>
          <w:color w:val="auto"/>
        </w:rPr>
        <w:t>房地产税收一体化信息报告</w:t>
      </w:r>
      <w:bookmarkEnd w:id="0"/>
    </w:p>
    <w:p>
      <w:pPr>
        <w:pStyle w:val="3"/>
        <w:ind w:firstLine="552"/>
        <w:rPr>
          <w:color w:val="auto"/>
        </w:rPr>
      </w:pPr>
      <w:r>
        <w:rPr>
          <w:color w:val="auto"/>
        </w:rPr>
        <w:t>一、事项名称</w:t>
      </w:r>
    </w:p>
    <w:p>
      <w:pPr>
        <w:ind w:firstLine="472"/>
        <w:rPr>
          <w:rFonts w:hint="eastAsia" w:eastAsia="宋体"/>
          <w:color w:val="auto"/>
          <w:lang w:eastAsia="zh-CN"/>
        </w:rPr>
      </w:pPr>
      <w:r>
        <w:rPr>
          <w:rFonts w:hint="eastAsia"/>
          <w:color w:val="auto"/>
        </w:rPr>
        <w:t>房地产税收一体化信息报告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sz w:val="28"/>
          <w:szCs w:val="32"/>
          <w:lang w:eastAsia="zh-CN"/>
        </w:rPr>
        <w:t>办理条件</w:t>
      </w:r>
    </w:p>
    <w:p>
      <w:pPr>
        <w:ind w:firstLine="472"/>
        <w:rPr>
          <w:rFonts w:hint="eastAsia"/>
          <w:color w:val="auto"/>
        </w:rPr>
      </w:pPr>
      <w:r>
        <w:rPr>
          <w:rFonts w:hint="eastAsia"/>
          <w:color w:val="auto"/>
        </w:rPr>
        <w:t>房地产一体化相关资料是指税务机关在房地产税收一体化管理过程中要求相关纳税人报送相关资料的业务活动。</w:t>
      </w:r>
    </w:p>
    <w:p>
      <w:pPr>
        <w:ind w:firstLine="472"/>
        <w:rPr>
          <w:rFonts w:hint="eastAsia"/>
          <w:color w:val="auto"/>
        </w:rPr>
      </w:pPr>
      <w:r>
        <w:rPr>
          <w:rFonts w:hint="eastAsia"/>
          <w:color w:val="auto"/>
        </w:rPr>
        <w:t>房地产一体化相关资料的报送范围有：土地出（转）让信息采集、税源申报明细报告、增量房房源信息采集、存量房销售信息采集等。</w:t>
      </w:r>
    </w:p>
    <w:p>
      <w:pPr>
        <w:ind w:firstLine="472"/>
        <w:rPr>
          <w:rFonts w:hint="eastAsia"/>
          <w:color w:val="auto"/>
        </w:rPr>
      </w:pPr>
      <w:r>
        <w:rPr>
          <w:rFonts w:hint="eastAsia"/>
          <w:color w:val="auto"/>
        </w:rPr>
        <w:t>房地产税收一体化管理，是以涉及房地产各税种日常管理为基础，通过各级税务与国土、建设、规划、发改委、房管、监察等部门协作，涉税信息共享，先税后证、以票控税、源泉控管，提高房地产税收管理的科学化、精细化、规范化水平的重要举措。</w:t>
      </w:r>
    </w:p>
    <w:p>
      <w:pPr>
        <w:ind w:firstLine="472"/>
        <w:rPr>
          <w:rFonts w:hint="eastAsia"/>
          <w:color w:val="auto"/>
        </w:rPr>
      </w:pPr>
      <w:r>
        <w:rPr>
          <w:rFonts w:hint="eastAsia"/>
          <w:color w:val="auto"/>
        </w:rPr>
        <w:t>房地产税收包括土地使用权取得和房地产开发、交易、保有等环节涉及的增值税、城市维护建设税、教育费附加、企业所得税、个人所得税、土地增值税、城镇土地使用税、房产税、印花税、耕地占用税、契税等税种。</w:t>
      </w:r>
    </w:p>
    <w:p>
      <w:pPr>
        <w:ind w:firstLine="472"/>
        <w:rPr>
          <w:rFonts w:hint="eastAsia"/>
          <w:color w:val="auto"/>
        </w:rPr>
      </w:pPr>
      <w:r>
        <w:rPr>
          <w:rFonts w:hint="eastAsia"/>
          <w:color w:val="auto"/>
        </w:rPr>
        <w:t>范围如下：</w:t>
      </w:r>
    </w:p>
    <w:p>
      <w:pPr>
        <w:ind w:firstLine="472"/>
        <w:rPr>
          <w:rFonts w:hint="eastAsia"/>
          <w:color w:val="auto"/>
        </w:rPr>
      </w:pPr>
      <w:r>
        <w:rPr>
          <w:rFonts w:hint="eastAsia"/>
          <w:color w:val="auto"/>
        </w:rPr>
        <w:t>1.土地出（转）让信息采集</w:t>
      </w:r>
    </w:p>
    <w:p>
      <w:pPr>
        <w:ind w:firstLine="472"/>
        <w:rPr>
          <w:rFonts w:hint="eastAsia"/>
          <w:color w:val="auto"/>
        </w:rPr>
      </w:pPr>
      <w:r>
        <w:rPr>
          <w:rFonts w:hint="eastAsia"/>
          <w:color w:val="auto"/>
        </w:rPr>
        <w:t>在土地出（转）让环节，土地出（转）让方进行相关税种申报时，出让或转让的土地在税务机关没有基础资料的，税务机关应根据纳税人提供的土地出让（转让）合同信息，采集土地出（转）让信息，赋予其土地税源编号；已在税务机关登记过基础资料的土地进行分拆转让的（体现为土地面积发生变化），分拆后的土地重新采集土地出（转）让信息，赋予其新的土地税源编号，同时记录分拆前后土地税源编号的对应关系。</w:t>
      </w:r>
    </w:p>
    <w:p>
      <w:pPr>
        <w:ind w:firstLine="472"/>
        <w:rPr>
          <w:rFonts w:hint="eastAsia"/>
          <w:color w:val="auto"/>
        </w:rPr>
      </w:pPr>
      <w:r>
        <w:rPr>
          <w:rFonts w:hint="eastAsia"/>
          <w:color w:val="auto"/>
        </w:rPr>
        <w:t>在受理契税纳税申报后，需对该土地税源编号对应的土地出让（转让）合同信息进行检测，若土地出（转）让信息相关合同信息为空时，进行信息补录；未补录的，直接将契税的合同相关信息反写土地出（转）让信息中。</w:t>
      </w:r>
    </w:p>
    <w:p>
      <w:pPr>
        <w:ind w:firstLine="472"/>
        <w:rPr>
          <w:rFonts w:hint="eastAsia"/>
          <w:color w:val="auto"/>
        </w:rPr>
      </w:pPr>
      <w:r>
        <w:rPr>
          <w:rFonts w:hint="eastAsia"/>
          <w:color w:val="auto"/>
        </w:rPr>
        <w:t>2.税源申报明细报告</w:t>
      </w:r>
    </w:p>
    <w:p>
      <w:pPr>
        <w:ind w:firstLine="472"/>
        <w:rPr>
          <w:rFonts w:hint="eastAsia"/>
          <w:color w:val="auto"/>
        </w:rPr>
      </w:pPr>
      <w:r>
        <w:rPr>
          <w:rFonts w:hint="eastAsia"/>
          <w:color w:val="auto"/>
        </w:rPr>
        <w:t>房地产税收一体化管理的土地使用权取得环节、房地产开发环节、房地产交易环节、房地产保有环节四大环节中，在纳税人进行相关税收申报后，对于申报时不能以每宗土地或每个项目或每套房产等进行单独申报的，可进行申报明细信息的补充报告，涉及的税种有印花税、营业税、教育费附加、城市维护建设税、个人所得税、企业所得税、房产税；不论纳税人采用的是分税种申报表还是通用申报表，或者是通过征收开票流程直接进行预缴税款，都可以向主管税务机关填报《税源申报明细报告表》，进行税源申报明细报告。</w:t>
      </w:r>
    </w:p>
    <w:p>
      <w:pPr>
        <w:ind w:firstLine="472"/>
        <w:rPr>
          <w:color w:val="auto"/>
        </w:rPr>
      </w:pPr>
      <w:r>
        <w:rPr>
          <w:rFonts w:hint="eastAsia"/>
          <w:color w:val="auto"/>
        </w:rPr>
        <w:t>3.增量房房源信息采集</w:t>
      </w:r>
    </w:p>
    <w:p>
      <w:pPr>
        <w:ind w:firstLine="472"/>
        <w:rPr>
          <w:color w:val="auto"/>
        </w:rPr>
      </w:pPr>
      <w:r>
        <w:rPr>
          <w:rFonts w:hint="eastAsia"/>
          <w:color w:val="auto"/>
        </w:rPr>
        <w:t>房地产开发商进行项目税收申报时，应当向税务机关报送房屋销售合同和《增量房房</w:t>
      </w:r>
      <w:r>
        <w:rPr>
          <w:color w:val="auto"/>
        </w:rPr>
        <w:t>源</w:t>
      </w:r>
      <w:r>
        <w:rPr>
          <w:rFonts w:hint="eastAsia"/>
          <w:color w:val="auto"/>
        </w:rPr>
        <w:t>信息表》，采集相关报送信息后，产生房源编号，同时记录与不动产项目编号关联关系；纳税人已销售房产发生退回的，当期应收房款栏目以负数形式体现。</w:t>
      </w:r>
    </w:p>
    <w:p>
      <w:pPr>
        <w:ind w:firstLine="472"/>
        <w:rPr>
          <w:rFonts w:hint="eastAsia"/>
          <w:color w:val="auto"/>
        </w:rPr>
      </w:pPr>
      <w:r>
        <w:rPr>
          <w:rFonts w:hint="eastAsia"/>
          <w:color w:val="auto"/>
        </w:rPr>
        <w:t>4.存量房销售信息采集</w:t>
      </w:r>
    </w:p>
    <w:p>
      <w:pPr>
        <w:ind w:firstLine="472"/>
        <w:rPr>
          <w:color w:val="auto"/>
        </w:rPr>
      </w:pPr>
      <w:r>
        <w:rPr>
          <w:rFonts w:hint="eastAsia"/>
          <w:color w:val="auto"/>
        </w:rPr>
        <w:t>纳税人在房产交易相关税收申报时，如果交易的房产之前没有相关信息时，纳税人应向主管税务机关提供交易的房产合同或房产证及复印件，记录存量房交易信息，并赋予其房源编号，如同时记录该房屋的土地座落位置，则赋予其土地税源编号，建立房屋与土地的关联关系。</w:t>
      </w:r>
    </w:p>
    <w:p>
      <w:pPr>
        <w:pStyle w:val="3"/>
        <w:ind w:firstLine="552"/>
        <w:rPr>
          <w:color w:val="auto"/>
        </w:rPr>
      </w:pPr>
      <w:r>
        <w:rPr>
          <w:rFonts w:hint="eastAsia"/>
          <w:color w:val="auto"/>
        </w:rPr>
        <w:t>四、设定依据</w:t>
      </w:r>
    </w:p>
    <w:p>
      <w:pPr>
        <w:ind w:firstLine="472"/>
        <w:rPr>
          <w:rFonts w:hint="eastAsia" w:eastAsia="宋体"/>
          <w:color w:val="auto"/>
          <w:lang w:val="en-US" w:eastAsia="zh-CN"/>
        </w:rPr>
      </w:pPr>
      <w:r>
        <w:rPr>
          <w:rFonts w:hint="eastAsia"/>
          <w:color w:val="auto"/>
        </w:rPr>
        <w:t>1.《国家税务总局关于印发〈房地产税收一体化管理业务规程〉的通知》（国税发〔2007〕114号）全文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3"/>
              <w:widowControl/>
              <w:spacing w:before="100" w:after="10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1</w:t>
            </w:r>
          </w:p>
        </w:tc>
        <w:tc>
          <w:tcPr>
            <w:tcW w:w="1969"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《税源申报明细报告表》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报送税源申报明细报告的企业</w:t>
            </w:r>
          </w:p>
        </w:tc>
        <w:tc>
          <w:tcPr>
            <w:tcW w:w="1134" w:type="dxa"/>
            <w:vAlign w:val="center"/>
          </w:tcPr>
          <w:p>
            <w:pPr>
              <w:widowControl/>
              <w:spacing w:before="100" w:after="100" w:line="280" w:lineRule="exact"/>
              <w:ind w:left="0" w:leftChars="0" w:firstLine="0" w:firstLineChars="0"/>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2</w:t>
            </w:r>
          </w:p>
        </w:tc>
        <w:tc>
          <w:tcPr>
            <w:tcW w:w="1969"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《增量房房</w:t>
            </w:r>
            <w:r>
              <w:rPr>
                <w:rFonts w:cs="宋体"/>
                <w:color w:val="auto"/>
                <w:kern w:val="0"/>
                <w:sz w:val="18"/>
                <w:szCs w:val="18"/>
              </w:rPr>
              <w:t>源</w:t>
            </w:r>
            <w:r>
              <w:rPr>
                <w:rFonts w:hint="eastAsia" w:cs="宋体"/>
                <w:color w:val="auto"/>
                <w:kern w:val="0"/>
                <w:sz w:val="18"/>
                <w:szCs w:val="18"/>
              </w:rPr>
              <w:t>信息表》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cs="宋体"/>
                <w:color w:val="auto"/>
                <w:kern w:val="0"/>
                <w:sz w:val="18"/>
                <w:szCs w:val="18"/>
              </w:rPr>
            </w:pPr>
            <w:r>
              <w:rPr>
                <w:rFonts w:hint="eastAsia"/>
                <w:color w:val="auto"/>
                <w:sz w:val="18"/>
                <w:szCs w:val="18"/>
              </w:rPr>
              <w:t>报送增量房房</w:t>
            </w:r>
            <w:r>
              <w:rPr>
                <w:color w:val="auto"/>
                <w:sz w:val="18"/>
                <w:szCs w:val="18"/>
              </w:rPr>
              <w:t>源</w:t>
            </w:r>
            <w:r>
              <w:rPr>
                <w:rFonts w:hint="eastAsia"/>
                <w:color w:val="auto"/>
                <w:sz w:val="18"/>
                <w:szCs w:val="18"/>
              </w:rPr>
              <w:t>信息的企业</w:t>
            </w:r>
          </w:p>
        </w:tc>
        <w:tc>
          <w:tcPr>
            <w:tcW w:w="1134" w:type="dxa"/>
            <w:vAlign w:val="center"/>
          </w:tcPr>
          <w:p>
            <w:pPr>
              <w:widowControl/>
              <w:spacing w:before="100" w:after="100" w:line="280" w:lineRule="exact"/>
              <w:ind w:left="0" w:leftChars="0" w:firstLine="0" w:firstLineChars="0"/>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3</w:t>
            </w:r>
          </w:p>
        </w:tc>
        <w:tc>
          <w:tcPr>
            <w:tcW w:w="1969"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《存量房销售信息表》</w:t>
            </w:r>
          </w:p>
        </w:tc>
        <w:tc>
          <w:tcPr>
            <w:tcW w:w="85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olor w:val="auto"/>
                <w:sz w:val="18"/>
                <w:szCs w:val="18"/>
              </w:rPr>
              <w:t>报送存量房销售信息的企业</w:t>
            </w:r>
          </w:p>
        </w:tc>
        <w:tc>
          <w:tcPr>
            <w:tcW w:w="1134" w:type="dxa"/>
            <w:vAlign w:val="center"/>
          </w:tcPr>
          <w:p>
            <w:pPr>
              <w:widowControl/>
              <w:spacing w:before="100" w:after="100" w:line="280" w:lineRule="exact"/>
              <w:ind w:left="0" w:leftChars="0" w:firstLine="0" w:firstLineChars="0"/>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cs="宋体"/>
                <w:color w:val="auto"/>
                <w:kern w:val="0"/>
                <w:sz w:val="18"/>
                <w:szCs w:val="18"/>
              </w:rPr>
            </w:pPr>
            <w:r>
              <w:rPr>
                <w:rFonts w:ascii="宋体" w:hAnsi="宋体" w:eastAsia="宋体" w:cs="微软雅黑"/>
                <w:color w:val="auto"/>
                <w:sz w:val="18"/>
                <w:szCs w:val="18"/>
              </w:rPr>
              <w:t>4</w:t>
            </w:r>
          </w:p>
        </w:tc>
        <w:tc>
          <w:tcPr>
            <w:tcW w:w="1969"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房屋销售合同</w:t>
            </w:r>
          </w:p>
        </w:tc>
        <w:tc>
          <w:tcPr>
            <w:tcW w:w="85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开发商与购房者初次签订购房合同时</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hint="eastAsia" w:ascii="宋体" w:hAnsi="宋体" w:cs="宋体"/>
                <w:color w:val="auto"/>
                <w:sz w:val="18"/>
                <w:szCs w:val="18"/>
              </w:rPr>
            </w:pPr>
            <w:r>
              <w:rPr>
                <w:rFonts w:ascii="宋体" w:hAnsi="宋体" w:eastAsia="宋体" w:cs="微软雅黑"/>
                <w:color w:val="auto"/>
                <w:sz w:val="18"/>
                <w:szCs w:val="18"/>
              </w:rPr>
              <w:t>5</w:t>
            </w:r>
          </w:p>
        </w:tc>
        <w:tc>
          <w:tcPr>
            <w:tcW w:w="1969" w:type="dxa"/>
            <w:shd w:val="clear" w:color="auto" w:fill="auto"/>
            <w:vAlign w:val="center"/>
          </w:tcPr>
          <w:p>
            <w:pPr>
              <w:widowControl/>
              <w:spacing w:line="280" w:lineRule="exact"/>
              <w:ind w:firstLine="0" w:firstLineChars="0"/>
              <w:rPr>
                <w:rFonts w:hint="eastAsia" w:cs="Arial"/>
                <w:color w:val="auto"/>
                <w:sz w:val="18"/>
                <w:szCs w:val="18"/>
              </w:rPr>
            </w:pPr>
            <w:r>
              <w:rPr>
                <w:rFonts w:hint="eastAsia" w:cs="宋体"/>
                <w:color w:val="auto"/>
                <w:kern w:val="0"/>
                <w:sz w:val="18"/>
                <w:szCs w:val="18"/>
              </w:rPr>
              <w:t>土地出让（转让）合同</w:t>
            </w:r>
          </w:p>
        </w:tc>
        <w:tc>
          <w:tcPr>
            <w:tcW w:w="850" w:type="dxa"/>
            <w:shd w:val="clear" w:color="auto" w:fill="auto"/>
            <w:vAlign w:val="center"/>
          </w:tcPr>
          <w:p>
            <w:pPr>
              <w:widowControl/>
              <w:spacing w:line="280" w:lineRule="exact"/>
              <w:ind w:firstLine="0" w:firstLineChars="0"/>
              <w:jc w:val="center"/>
              <w:rPr>
                <w:rFonts w:hint="eastAsia" w:ascii="宋体" w:hAnsi="宋体" w:cs="宋体"/>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报送土地出（转）让信息的企业</w:t>
            </w:r>
          </w:p>
        </w:tc>
        <w:tc>
          <w:tcPr>
            <w:tcW w:w="1134" w:type="dxa"/>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hint="eastAsia" w:ascii="宋体" w:hAnsi="宋体" w:cs="宋体"/>
                <w:color w:val="auto"/>
                <w:sz w:val="18"/>
                <w:szCs w:val="18"/>
              </w:rPr>
            </w:pPr>
            <w:r>
              <w:rPr>
                <w:rFonts w:hint="eastAsia" w:ascii="宋体" w:hAnsi="宋体" w:eastAsia="宋体" w:cs="微软雅黑"/>
                <w:color w:val="auto"/>
                <w:sz w:val="18"/>
                <w:szCs w:val="18"/>
              </w:rPr>
              <w:t>6.</w:t>
            </w:r>
          </w:p>
        </w:tc>
        <w:tc>
          <w:tcPr>
            <w:tcW w:w="1969" w:type="dxa"/>
            <w:shd w:val="clear" w:color="auto" w:fill="auto"/>
            <w:vAlign w:val="center"/>
          </w:tcPr>
          <w:p>
            <w:pPr>
              <w:widowControl/>
              <w:spacing w:line="280" w:lineRule="exact"/>
              <w:ind w:firstLine="0" w:firstLineChars="0"/>
              <w:rPr>
                <w:rFonts w:hint="eastAsia" w:cs="Arial"/>
                <w:color w:val="auto"/>
                <w:sz w:val="18"/>
                <w:szCs w:val="18"/>
              </w:rPr>
            </w:pPr>
            <w:r>
              <w:rPr>
                <w:rFonts w:hint="eastAsia" w:cs="宋体"/>
                <w:color w:val="auto"/>
                <w:kern w:val="0"/>
                <w:sz w:val="18"/>
                <w:szCs w:val="18"/>
              </w:rPr>
              <w:t>土地出让（转让）合同复印件</w:t>
            </w:r>
          </w:p>
        </w:tc>
        <w:tc>
          <w:tcPr>
            <w:tcW w:w="850" w:type="dxa"/>
            <w:shd w:val="clear" w:color="auto" w:fill="auto"/>
            <w:vAlign w:val="center"/>
          </w:tcPr>
          <w:p>
            <w:pPr>
              <w:widowControl/>
              <w:spacing w:line="280" w:lineRule="exact"/>
              <w:ind w:firstLine="0" w:firstLineChars="0"/>
              <w:jc w:val="center"/>
              <w:rPr>
                <w:rFonts w:hint="eastAsia" w:ascii="宋体" w:hAnsi="宋体" w:cs="宋体"/>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报送土地出（转）让信息的企业</w:t>
            </w:r>
          </w:p>
        </w:tc>
        <w:tc>
          <w:tcPr>
            <w:tcW w:w="1134" w:type="dxa"/>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hint="eastAsia" w:ascii="宋体" w:hAnsi="宋体" w:cs="宋体"/>
                <w:color w:val="auto"/>
                <w:sz w:val="18"/>
                <w:szCs w:val="18"/>
              </w:rPr>
            </w:pPr>
            <w:r>
              <w:rPr>
                <w:rFonts w:hint="eastAsia" w:ascii="宋体" w:hAnsi="宋体" w:eastAsia="宋体" w:cs="微软雅黑"/>
                <w:color w:val="auto"/>
                <w:sz w:val="18"/>
                <w:szCs w:val="18"/>
              </w:rPr>
              <w:t>7</w:t>
            </w:r>
          </w:p>
        </w:tc>
        <w:tc>
          <w:tcPr>
            <w:tcW w:w="1969" w:type="dxa"/>
            <w:shd w:val="clear" w:color="auto" w:fill="auto"/>
            <w:vAlign w:val="center"/>
          </w:tcPr>
          <w:p>
            <w:pPr>
              <w:widowControl/>
              <w:spacing w:line="280" w:lineRule="exact"/>
              <w:ind w:firstLine="0" w:firstLineChars="0"/>
              <w:rPr>
                <w:rFonts w:hint="eastAsia" w:cs="Arial"/>
                <w:color w:val="auto"/>
                <w:sz w:val="18"/>
                <w:szCs w:val="18"/>
              </w:rPr>
            </w:pPr>
            <w:r>
              <w:rPr>
                <w:rFonts w:hint="eastAsia" w:cs="宋体"/>
                <w:color w:val="auto"/>
                <w:kern w:val="0"/>
                <w:sz w:val="18"/>
                <w:szCs w:val="18"/>
              </w:rPr>
              <w:t>土地使用证复印件</w:t>
            </w:r>
          </w:p>
        </w:tc>
        <w:tc>
          <w:tcPr>
            <w:tcW w:w="850" w:type="dxa"/>
            <w:shd w:val="clear" w:color="auto" w:fill="auto"/>
            <w:vAlign w:val="center"/>
          </w:tcPr>
          <w:p>
            <w:pPr>
              <w:widowControl/>
              <w:spacing w:line="280" w:lineRule="exact"/>
              <w:ind w:firstLine="0" w:firstLineChars="0"/>
              <w:jc w:val="center"/>
              <w:rPr>
                <w:rFonts w:hint="eastAsia" w:ascii="宋体" w:hAnsi="宋体" w:cs="宋体"/>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报送土地出（转）让信息的企业进行行交易前未登记的情况</w:t>
            </w:r>
          </w:p>
        </w:tc>
        <w:tc>
          <w:tcPr>
            <w:tcW w:w="1134" w:type="dxa"/>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hint="eastAsia" w:ascii="宋体" w:hAnsi="宋体" w:cs="宋体"/>
                <w:color w:val="auto"/>
                <w:sz w:val="18"/>
                <w:szCs w:val="18"/>
              </w:rPr>
            </w:pPr>
            <w:r>
              <w:rPr>
                <w:rFonts w:hint="eastAsia" w:ascii="宋体" w:hAnsi="宋体" w:eastAsia="宋体" w:cs="微软雅黑"/>
                <w:color w:val="auto"/>
                <w:sz w:val="18"/>
                <w:szCs w:val="18"/>
              </w:rPr>
              <w:t>8</w:t>
            </w:r>
          </w:p>
        </w:tc>
        <w:tc>
          <w:tcPr>
            <w:tcW w:w="1969" w:type="dxa"/>
            <w:shd w:val="clear" w:color="auto" w:fill="auto"/>
            <w:vAlign w:val="center"/>
          </w:tcPr>
          <w:p>
            <w:pPr>
              <w:widowControl/>
              <w:spacing w:line="280" w:lineRule="exact"/>
              <w:ind w:firstLine="0" w:firstLineChars="0"/>
              <w:rPr>
                <w:rFonts w:hint="eastAsia" w:cs="Arial"/>
                <w:color w:val="auto"/>
                <w:sz w:val="18"/>
                <w:szCs w:val="18"/>
              </w:rPr>
            </w:pPr>
            <w:r>
              <w:rPr>
                <w:rFonts w:hint="eastAsia" w:cs="宋体"/>
                <w:color w:val="auto"/>
                <w:kern w:val="0"/>
                <w:sz w:val="18"/>
                <w:szCs w:val="18"/>
              </w:rPr>
              <w:t>房屋转让合同复印件</w:t>
            </w:r>
          </w:p>
        </w:tc>
        <w:tc>
          <w:tcPr>
            <w:tcW w:w="850" w:type="dxa"/>
            <w:shd w:val="clear" w:color="auto" w:fill="auto"/>
            <w:vAlign w:val="center"/>
          </w:tcPr>
          <w:p>
            <w:pPr>
              <w:widowControl/>
              <w:spacing w:line="280" w:lineRule="exact"/>
              <w:ind w:firstLine="0" w:firstLineChars="0"/>
              <w:jc w:val="center"/>
              <w:rPr>
                <w:rFonts w:hint="eastAsia" w:ascii="宋体" w:hAnsi="宋体" w:cs="宋体"/>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报送存量房销售信息的企业进行交易的存量房房产之前未进行过登记的情况</w:t>
            </w:r>
          </w:p>
        </w:tc>
        <w:tc>
          <w:tcPr>
            <w:tcW w:w="1134" w:type="dxa"/>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3"/>
              <w:widowControl/>
              <w:spacing w:before="100" w:after="100" w:line="280" w:lineRule="exact"/>
              <w:ind w:firstLine="0" w:firstLineChars="0"/>
              <w:jc w:val="center"/>
              <w:rPr>
                <w:rFonts w:hint="eastAsia" w:ascii="宋体" w:hAnsi="宋体" w:cs="宋体"/>
                <w:color w:val="auto"/>
                <w:sz w:val="18"/>
                <w:szCs w:val="18"/>
              </w:rPr>
            </w:pPr>
            <w:r>
              <w:rPr>
                <w:rFonts w:hint="eastAsia" w:ascii="宋体" w:hAnsi="宋体" w:eastAsia="宋体" w:cs="微软雅黑"/>
                <w:color w:val="auto"/>
                <w:sz w:val="18"/>
                <w:szCs w:val="18"/>
              </w:rPr>
              <w:t>9</w:t>
            </w:r>
          </w:p>
        </w:tc>
        <w:tc>
          <w:tcPr>
            <w:tcW w:w="1969" w:type="dxa"/>
            <w:shd w:val="clear" w:color="auto" w:fill="auto"/>
            <w:vAlign w:val="center"/>
          </w:tcPr>
          <w:p>
            <w:pPr>
              <w:widowControl/>
              <w:spacing w:line="280" w:lineRule="exact"/>
              <w:ind w:firstLine="0" w:firstLineChars="0"/>
              <w:rPr>
                <w:rFonts w:hint="eastAsia" w:cs="Arial"/>
                <w:color w:val="auto"/>
                <w:sz w:val="18"/>
                <w:szCs w:val="18"/>
              </w:rPr>
            </w:pPr>
            <w:r>
              <w:rPr>
                <w:rFonts w:hint="eastAsia" w:cs="宋体"/>
                <w:color w:val="auto"/>
                <w:kern w:val="0"/>
                <w:sz w:val="18"/>
                <w:szCs w:val="18"/>
              </w:rPr>
              <w:t>房产证复印件</w:t>
            </w:r>
          </w:p>
        </w:tc>
        <w:tc>
          <w:tcPr>
            <w:tcW w:w="850" w:type="dxa"/>
            <w:shd w:val="clear" w:color="auto" w:fill="auto"/>
            <w:vAlign w:val="center"/>
          </w:tcPr>
          <w:p>
            <w:pPr>
              <w:widowControl/>
              <w:spacing w:line="280" w:lineRule="exact"/>
              <w:ind w:firstLine="0" w:firstLineChars="0"/>
              <w:jc w:val="center"/>
              <w:rPr>
                <w:rFonts w:hint="eastAsia" w:ascii="宋体" w:hAnsi="宋体" w:cs="宋体"/>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hint="eastAsia" w:cs="宋体"/>
                <w:color w:val="auto"/>
                <w:kern w:val="0"/>
                <w:sz w:val="18"/>
                <w:szCs w:val="18"/>
              </w:rPr>
            </w:pPr>
            <w:r>
              <w:rPr>
                <w:rFonts w:hint="eastAsia" w:cs="宋体"/>
                <w:color w:val="auto"/>
                <w:kern w:val="0"/>
                <w:sz w:val="18"/>
                <w:szCs w:val="18"/>
              </w:rPr>
              <w:t>报送存量房销售信息的企业进行交易的存量房房产之前未进行过登记的情况</w:t>
            </w:r>
          </w:p>
        </w:tc>
        <w:tc>
          <w:tcPr>
            <w:tcW w:w="1134" w:type="dxa"/>
            <w:vAlign w:val="center"/>
          </w:tcPr>
          <w:p>
            <w:pPr>
              <w:widowControl/>
              <w:spacing w:line="280" w:lineRule="exact"/>
              <w:ind w:firstLine="0" w:firstLineChars="0"/>
              <w:jc w:val="center"/>
              <w:rPr>
                <w:rFonts w:hint="eastAsia" w:ascii="宋体" w:hAnsi="宋体" w:eastAsia="宋体" w:cs="Arial"/>
                <w:color w:val="auto"/>
                <w:kern w:val="2"/>
                <w:sz w:val="18"/>
                <w:szCs w:val="18"/>
                <w:lang w:val="en-US" w:eastAsia="zh-CN" w:bidi="ar-SA"/>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rStyle w:val="45"/>
          <w:bCs w:val="0"/>
          <w:color w:val="auto"/>
        </w:rPr>
        <w:object>
          <v:shape id="_x0000_i1040" o:spt="75" type="#_x0000_t75" style="height:78.4pt;width:442.05pt;" o:ole="t" filled="f" o:preferrelative="t" stroked="f" coordsize="21600,21600">
            <v:path/>
            <v:fill on="f" focussize="0,0"/>
            <v:stroke on="f"/>
            <v:imagedata r:id="rId11" o:title=""/>
            <o:lock v:ext="edit" aspectratio="f"/>
            <w10:wrap type="none"/>
            <w10:anchorlock/>
          </v:shape>
          <o:OLEObject Type="Embed" ProgID="" ShapeID="_x0000_i104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eastAsia="宋体"/>
          <w:color w:val="auto"/>
          <w:lang w:val="en-US" w:eastAsia="zh-CN"/>
        </w:rPr>
      </w:pPr>
      <w:r>
        <w:rPr>
          <w:rFonts w:hint="eastAsia"/>
          <w:color w:val="auto"/>
        </w:rPr>
        <w:t>1.A06347《税源申报明细报告表》</w:t>
      </w:r>
      <w:r>
        <w:rPr>
          <w:rFonts w:hint="eastAsia"/>
          <w:color w:val="auto"/>
          <w:lang w:val="en-US" w:eastAsia="zh-CN"/>
        </w:rPr>
        <w:t>(</w:t>
      </w:r>
      <w:r>
        <w:rPr>
          <w:rFonts w:hint="eastAsia"/>
          <w:color w:val="auto"/>
        </w:rPr>
        <w:t>A06347</w:t>
      </w:r>
      <w:r>
        <w:rPr>
          <w:rFonts w:hint="eastAsia"/>
          <w:color w:val="auto"/>
          <w:lang w:val="en-US" w:eastAsia="zh-CN"/>
        </w:rPr>
        <w:t>《税源申报明细报告表》（填写样例）)</w:t>
      </w:r>
    </w:p>
    <w:p>
      <w:pPr>
        <w:ind w:firstLine="472"/>
        <w:rPr>
          <w:rFonts w:hint="default"/>
          <w:color w:val="auto"/>
          <w:lang w:val="en-US" w:eastAsia="zh-CN"/>
        </w:rPr>
      </w:pPr>
      <w:r>
        <w:rPr>
          <w:rFonts w:hint="eastAsia"/>
          <w:color w:val="auto"/>
          <w:lang w:val="en-US" w:eastAsia="zh-CN"/>
        </w:rPr>
        <w:t>2.A06539《增量房销售信息表》(A06539《增量房销售信息表》（填写样例）)</w:t>
      </w:r>
    </w:p>
    <w:p>
      <w:pPr>
        <w:ind w:firstLine="472"/>
        <w:rPr>
          <w:rFonts w:hint="default"/>
          <w:color w:val="auto"/>
          <w:lang w:val="en-US" w:eastAsia="zh-CN"/>
        </w:rPr>
      </w:pPr>
      <w:r>
        <w:rPr>
          <w:rFonts w:hint="eastAsia"/>
          <w:color w:val="auto"/>
          <w:lang w:val="en-US" w:eastAsia="zh-CN"/>
        </w:rPr>
        <w:t>3.A06540《存量房销售信息表》(A06540《存量房销售信息表》（填写样例）)</w:t>
      </w:r>
    </w:p>
    <w:p>
      <w:pPr>
        <w:pStyle w:val="3"/>
        <w:ind w:firstLine="552"/>
        <w:rPr>
          <w:color w:val="auto"/>
        </w:rPr>
      </w:pPr>
      <w:r>
        <w:rPr>
          <w:rFonts w:hint="eastAsia"/>
          <w:color w:val="auto"/>
        </w:rPr>
        <w:t>九、注意事项</w:t>
      </w:r>
    </w:p>
    <w:p>
      <w:pPr>
        <w:ind w:firstLine="472"/>
        <w:rPr>
          <w:color w:val="auto"/>
        </w:rPr>
      </w:pPr>
      <w:r>
        <w:rPr>
          <w:color w:val="auto"/>
        </w:rPr>
        <w:t>1.税务机关应在系统内确定纳税人需要提交的资料清单和报送资料。</w:t>
      </w:r>
    </w:p>
    <w:p>
      <w:pPr>
        <w:ind w:firstLine="480"/>
        <w:rPr>
          <w:strike/>
          <w:color w:val="auto"/>
          <w:szCs w:val="24"/>
        </w:rPr>
      </w:pPr>
      <w:r>
        <w:rPr>
          <w:color w:val="auto"/>
        </w:rPr>
        <w:t>2.同一个属期内的相同的报送资料，系统仅能采集一次，对于重复报送的资料的采集，需要考虑对已采集数据</w:t>
      </w:r>
      <w:r>
        <w:rPr>
          <w:rFonts w:hint="eastAsia"/>
          <w:color w:val="auto"/>
        </w:rPr>
        <w:t>进行</w:t>
      </w:r>
      <w:r>
        <w:rPr>
          <w:color w:val="auto"/>
        </w:rPr>
        <w:t>更正的情况。</w:t>
      </w:r>
    </w:p>
    <w:p>
      <w:pPr>
        <w:ind w:left="0" w:leftChars="0" w:firstLine="472" w:firstLineChars="200"/>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C761A6E"/>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2019-10-31T03:32:11Z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