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4486"/>
      <w:r>
        <w:rPr>
          <w:rFonts w:hint="eastAsia" w:ascii="黑体" w:hAnsi="黑体"/>
          <w:color w:val="auto"/>
        </w:rPr>
        <w:t>1.2.6发票真伪鉴定</w:t>
      </w:r>
      <w:bookmarkEnd w:id="0"/>
    </w:p>
    <w:p>
      <w:pPr>
        <w:pStyle w:val="3"/>
        <w:ind w:firstLine="552"/>
        <w:rPr>
          <w:color w:val="auto"/>
        </w:rPr>
      </w:pPr>
      <w:r>
        <w:rPr>
          <w:color w:val="auto"/>
        </w:rPr>
        <w:t>一、事项名称</w:t>
      </w:r>
    </w:p>
    <w:p>
      <w:pPr>
        <w:ind w:firstLine="472"/>
        <w:rPr>
          <w:color w:val="auto"/>
        </w:rPr>
      </w:pPr>
      <w:r>
        <w:rPr>
          <w:rFonts w:hint="eastAsia"/>
          <w:color w:val="auto"/>
        </w:rPr>
        <w:t>发票真伪鉴定</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办结方式：条件即办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1.税务机关应当提供查询发票真伪的便捷渠道。</w:t>
      </w:r>
    </w:p>
    <w:p>
      <w:pPr>
        <w:ind w:firstLine="472"/>
        <w:rPr>
          <w:color w:val="auto"/>
        </w:rPr>
      </w:pPr>
      <w:r>
        <w:rPr>
          <w:rFonts w:hint="eastAsia"/>
          <w:color w:val="auto"/>
        </w:rPr>
        <w:t>2.用票单位和个人有权申请税务机关对发票的真伪进行鉴别，收到申请的税务机关应当受理并负责鉴别发票的真伪，鉴别有困难的，可以提请发票监制税务机关协助鉴别。</w:t>
      </w:r>
    </w:p>
    <w:p>
      <w:pPr>
        <w:ind w:firstLine="472"/>
        <w:rPr>
          <w:color w:val="auto"/>
        </w:rPr>
      </w:pPr>
      <w:r>
        <w:rPr>
          <w:rFonts w:hint="eastAsia"/>
          <w:color w:val="auto"/>
        </w:rPr>
        <w:t>3.在伪造、变造现场以及买卖地、存放地查获的发票，由当地税务机关鉴别。</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1.《中华人民共和国发票管理办法》第二十四条</w:t>
      </w:r>
    </w:p>
    <w:p>
      <w:pPr>
        <w:adjustRightInd w:val="0"/>
        <w:snapToGrid w:val="0"/>
        <w:ind w:firstLine="472"/>
        <w:rPr>
          <w:color w:val="auto"/>
        </w:rPr>
      </w:pPr>
      <w:r>
        <w:rPr>
          <w:rFonts w:hint="eastAsia"/>
          <w:color w:val="auto"/>
        </w:rPr>
        <w:t>“第二十四条使用电子计算机开具发票，须经主管税务机关批准，并使用税务机关统一监制的机外发票，开具后的存根联应当按照顺序号装订成册。”</w:t>
      </w:r>
    </w:p>
    <w:p>
      <w:pPr>
        <w:adjustRightInd w:val="0"/>
        <w:snapToGrid w:val="0"/>
        <w:ind w:firstLine="472"/>
        <w:rPr>
          <w:color w:val="auto"/>
        </w:rPr>
      </w:pPr>
      <w:r>
        <w:rPr>
          <w:rFonts w:hint="eastAsia"/>
          <w:color w:val="auto"/>
        </w:rPr>
        <w:t>2.《中华人民共和国发票管理办法实施细则》（国家税务总局令第25号公布，国家税务总局令第37号、第44号、第48号修改）第三十三条</w:t>
      </w:r>
    </w:p>
    <w:p>
      <w:pPr>
        <w:adjustRightInd w:val="0"/>
        <w:snapToGrid w:val="0"/>
        <w:ind w:firstLine="472"/>
        <w:rPr>
          <w:color w:val="auto"/>
        </w:rPr>
      </w:pPr>
      <w:r>
        <w:rPr>
          <w:rFonts w:hint="eastAsia"/>
          <w:color w:val="auto"/>
        </w:rPr>
        <w:t>“第三十三条用票单位和个人有权申请税务机关对发票的真伪进行鉴别。收到申请的税务机关应当受理并负责鉴别发票的真伪；鉴别有困难的，可以提请发票监制税务机关协助鉴别。</w:t>
      </w:r>
    </w:p>
    <w:p>
      <w:pPr>
        <w:adjustRightInd w:val="0"/>
        <w:snapToGrid w:val="0"/>
        <w:ind w:firstLine="472"/>
        <w:rPr>
          <w:color w:val="auto"/>
        </w:rPr>
      </w:pPr>
      <w:r>
        <w:rPr>
          <w:rFonts w:hint="eastAsia"/>
          <w:color w:val="auto"/>
        </w:rPr>
        <w:t>在伪造、变造现场以及买卖地、存放地查获的发票，由当地税务机关鉴别。”</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待鉴别发票</w:t>
            </w:r>
          </w:p>
        </w:tc>
        <w:tc>
          <w:tcPr>
            <w:tcW w:w="850"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80"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587" w:type="dxa"/>
            <w:shd w:val="clear" w:color="auto" w:fill="auto"/>
            <w:vAlign w:val="center"/>
          </w:tcPr>
          <w:p>
            <w:pPr>
              <w:pStyle w:val="13"/>
              <w:widowControl/>
              <w:spacing w:beforeAutospacing="0" w:afterAutospacing="0" w:line="280" w:lineRule="exact"/>
              <w:jc w:val="center"/>
              <w:rPr>
                <w:rFonts w:cs="宋体"/>
                <w:color w:val="auto"/>
                <w:sz w:val="18"/>
                <w:szCs w:val="18"/>
              </w:rPr>
            </w:pP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2</w:t>
            </w:r>
          </w:p>
        </w:tc>
        <w:tc>
          <w:tcPr>
            <w:tcW w:w="1969" w:type="dxa"/>
            <w:shd w:val="clear" w:color="auto" w:fill="auto"/>
            <w:vAlign w:val="center"/>
          </w:tcPr>
          <w:p>
            <w:pPr>
              <w:widowControl/>
              <w:spacing w:line="280" w:lineRule="exact"/>
              <w:ind w:firstLine="0" w:firstLineChars="0"/>
              <w:jc w:val="left"/>
              <w:rPr>
                <w:rFonts w:hint="eastAsia" w:eastAsia="宋体" w:cs="宋体"/>
                <w:color w:val="auto"/>
                <w:kern w:val="0"/>
                <w:sz w:val="18"/>
                <w:szCs w:val="18"/>
                <w:lang w:eastAsia="zh-CN"/>
              </w:rPr>
            </w:pPr>
            <w:r>
              <w:rPr>
                <w:rFonts w:hint="eastAsia" w:cs="宋体"/>
                <w:color w:val="auto"/>
                <w:kern w:val="0"/>
                <w:sz w:val="18"/>
                <w:szCs w:val="18"/>
              </w:rPr>
              <w:t>《税务登记证》副本</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80"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587"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未实行“多证合一、一照一码、两证整合”登记模式的纳税人报送，已实行实名办税的纳税人可取消报送。</w:t>
            </w:r>
          </w:p>
        </w:tc>
        <w:tc>
          <w:tcPr>
            <w:tcW w:w="1134" w:type="dxa"/>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3</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color w:val="auto"/>
                <w:sz w:val="18"/>
                <w:szCs w:val="24"/>
              </w:rPr>
              <w:t>待鉴定发票复印件或者电子数据</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80"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587"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行政执法部门鉴定发票的提供</w:t>
            </w:r>
          </w:p>
        </w:tc>
        <w:tc>
          <w:tcPr>
            <w:tcW w:w="1134" w:type="dxa"/>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4</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单位介绍信</w:t>
            </w:r>
          </w:p>
        </w:tc>
        <w:tc>
          <w:tcPr>
            <w:tcW w:w="850"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80"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587"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行政执法部门鉴定发票的提供</w:t>
            </w:r>
          </w:p>
        </w:tc>
        <w:tc>
          <w:tcPr>
            <w:tcW w:w="1134" w:type="dxa"/>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r>
        <w:rPr>
          <w:color w:val="auto"/>
        </w:rPr>
        <w:object>
          <v:shape id="_x0000_i1077" o:spt="75" type="#_x0000_t75" style="height:160.75pt;width:490.6pt;" o:ole="t" filled="f" o:preferrelative="t" stroked="f" coordsize="21600,21600">
            <v:path/>
            <v:fill on="f" focussize="0,0"/>
            <v:stroke on="f" joinstyle="miter"/>
            <v:imagedata r:id="rId11" o:title=""/>
            <o:lock v:ext="edit" aspectratio="t"/>
            <w10:wrap type="none"/>
            <w10:anchorlock/>
          </v:shape>
          <o:OLEObject Type="Embed" ProgID="Visio.Drawing.11" ShapeID="_x0000_i107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资料齐全、符合法定形式的，税务机关受理后即时办结或限时办结。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E344D56"/>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2019-10-31T03:42:35Z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