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2812"/>
      <w:r>
        <w:rPr>
          <w:rFonts w:ascii="黑体" w:hAnsi="黑体" w:cs="黑体"/>
          <w:color w:val="auto"/>
        </w:rPr>
        <w:t>1.1.1.6</w:t>
      </w:r>
      <w:r>
        <w:rPr>
          <w:rFonts w:hint="eastAsia" w:ascii="黑体" w:hAnsi="黑体" w:cs="黑体"/>
          <w:color w:val="auto"/>
        </w:rPr>
        <w:t>跨区税源登记</w:t>
      </w:r>
      <w:bookmarkEnd w:id="0"/>
    </w:p>
    <w:p>
      <w:pPr>
        <w:pStyle w:val="3"/>
        <w:ind w:firstLine="552"/>
        <w:rPr>
          <w:color w:val="auto"/>
        </w:rPr>
      </w:pPr>
      <w:r>
        <w:rPr>
          <w:color w:val="auto"/>
        </w:rPr>
        <w:t>一、事项名称</w:t>
      </w:r>
    </w:p>
    <w:p>
      <w:pPr>
        <w:ind w:firstLine="472"/>
        <w:rPr>
          <w:color w:val="auto"/>
        </w:rPr>
      </w:pPr>
      <w:r>
        <w:rPr>
          <w:color w:val="auto"/>
        </w:rPr>
        <w:t>跨区税源登记</w:t>
      </w:r>
    </w:p>
    <w:p>
      <w:pPr>
        <w:pStyle w:val="3"/>
        <w:ind w:firstLine="552"/>
        <w:rPr>
          <w:color w:val="auto"/>
        </w:rPr>
      </w:pPr>
      <w:r>
        <w:rPr>
          <w:color w:val="auto"/>
        </w:rPr>
        <w:t>二、事项类别</w:t>
      </w:r>
    </w:p>
    <w:p>
      <w:pPr>
        <w:pStyle w:val="49"/>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网上办理：否</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跨区税源登记是指已办理税务登记的纳税人在主管税务机关管辖范围之外发生取得房屋、土地财产产权的应税行为，或取得房屋租赁收入的应税行为，需要缴纳房产税、土地使用税、增值税等，为确认其纳税身份而到房屋、土地所在地税务机关进行信息报告的业务活动。</w:t>
      </w:r>
    </w:p>
    <w:p>
      <w:pPr>
        <w:pStyle w:val="3"/>
        <w:ind w:firstLine="552"/>
        <w:rPr>
          <w:color w:val="auto"/>
        </w:rPr>
      </w:pPr>
      <w:r>
        <w:rPr>
          <w:rFonts w:hint="eastAsia"/>
          <w:color w:val="auto"/>
        </w:rPr>
        <w:t>四、设定依据</w:t>
      </w:r>
    </w:p>
    <w:p>
      <w:pPr>
        <w:ind w:firstLine="472"/>
        <w:rPr>
          <w:color w:val="auto"/>
        </w:rPr>
      </w:pPr>
      <w:r>
        <w:rPr>
          <w:color w:val="auto"/>
        </w:rPr>
        <w:t>1.《中华人民共和国房产税暂行条例》（国发〔1986〕90号）第九条</w:t>
      </w:r>
    </w:p>
    <w:p>
      <w:pPr>
        <w:ind w:firstLine="472"/>
        <w:rPr>
          <w:color w:val="auto"/>
        </w:rPr>
      </w:pPr>
      <w:r>
        <w:rPr>
          <w:rFonts w:hint="eastAsia"/>
          <w:color w:val="auto"/>
        </w:rPr>
        <w:t>“房产税由房产所在地的税务机关征收。”</w:t>
      </w:r>
    </w:p>
    <w:p>
      <w:pPr>
        <w:ind w:firstLine="472"/>
        <w:rPr>
          <w:color w:val="auto"/>
        </w:rPr>
      </w:pPr>
      <w:r>
        <w:rPr>
          <w:color w:val="auto"/>
        </w:rPr>
        <w:t>2.《中华人民共和国城镇土地使用税暂行条例》（中华人民共和国国务院令第483号）第十条</w:t>
      </w:r>
    </w:p>
    <w:p>
      <w:pPr>
        <w:ind w:firstLine="472"/>
        <w:rPr>
          <w:rFonts w:hint="eastAsia"/>
          <w:color w:val="auto"/>
        </w:rPr>
      </w:pPr>
      <w:r>
        <w:rPr>
          <w:rFonts w:hint="eastAsia"/>
          <w:color w:val="auto"/>
        </w:rPr>
        <w:t>“土地使用税由土地所在地的税务机关征收。土地管理机关应当向土地所在地的税务机关提供土地使用权属资料。”</w:t>
      </w:r>
    </w:p>
    <w:p>
      <w:pPr>
        <w:ind w:firstLine="472"/>
        <w:rPr>
          <w:color w:val="auto"/>
        </w:rPr>
      </w:pPr>
      <w:r>
        <w:rPr>
          <w:color w:val="auto"/>
        </w:rPr>
        <w:t>3.《营业税改征增值税试点实施办法》（财税2016第36号）</w:t>
      </w:r>
      <w:r>
        <w:rPr>
          <w:rFonts w:hint="eastAsia"/>
          <w:color w:val="auto"/>
        </w:rPr>
        <w:t>第二条</w:t>
      </w:r>
    </w:p>
    <w:p>
      <w:pPr>
        <w:ind w:firstLine="472"/>
        <w:rPr>
          <w:color w:val="auto"/>
        </w:rPr>
      </w:pPr>
      <w:r>
        <w:rPr>
          <w:color w:val="auto"/>
        </w:rPr>
        <w:t>“单位以承包、承租、挂靠方式经营的，承包人、承租人、挂靠人（以下统称承包人）以发包人、出租人、被挂靠人（以下统称发包人）名义对外经营并由发包人承担相关法律责任的，以该发包人为纳税人。否则，以承包人为纳税人。”</w:t>
      </w:r>
    </w:p>
    <w:p>
      <w:pPr>
        <w:ind w:firstLine="472"/>
        <w:rPr>
          <w:color w:val="auto"/>
        </w:rPr>
      </w:pPr>
      <w:r>
        <w:rPr>
          <w:color w:val="auto"/>
        </w:rPr>
        <w:t>4.《国家税务总局关于发布&lt;纳税人提供不动产经营租赁服务增值税征收管理暂行办法&gt;的公告》（国家税务总局公告2016年第16号）</w:t>
      </w:r>
      <w:r>
        <w:rPr>
          <w:rFonts w:hint="eastAsia"/>
          <w:color w:val="auto"/>
        </w:rPr>
        <w:t>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工商营业执照副本或其他核准执业证件</w:t>
            </w:r>
          </w:p>
        </w:tc>
        <w:tc>
          <w:tcPr>
            <w:tcW w:w="709"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s="宋体"/>
                <w:color w:val="auto"/>
                <w:kern w:val="0"/>
                <w:sz w:val="18"/>
                <w:szCs w:val="18"/>
              </w:rPr>
              <w:t>法定代表人（负责人）居民身份证或其他合法身份证件</w:t>
            </w:r>
          </w:p>
        </w:tc>
        <w:tc>
          <w:tcPr>
            <w:tcW w:w="709" w:type="dxa"/>
            <w:shd w:val="clear" w:color="auto" w:fill="auto"/>
            <w:vAlign w:val="center"/>
          </w:tcPr>
          <w:p>
            <w:pPr>
              <w:widowControl/>
              <w:spacing w:line="280" w:lineRule="exact"/>
              <w:ind w:firstLine="0" w:firstLineChars="0"/>
              <w:jc w:val="center"/>
              <w:rPr>
                <w:b/>
                <w:color w:val="auto"/>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3</w:t>
            </w:r>
          </w:p>
        </w:tc>
        <w:tc>
          <w:tcPr>
            <w:tcW w:w="2551" w:type="dxa"/>
            <w:shd w:val="clear" w:color="auto" w:fill="auto"/>
            <w:vAlign w:val="center"/>
          </w:tcPr>
          <w:p>
            <w:pPr>
              <w:widowControl/>
              <w:spacing w:line="280" w:lineRule="exact"/>
              <w:ind w:firstLine="0" w:firstLineChars="0"/>
              <w:jc w:val="left"/>
              <w:rPr>
                <w:rFonts w:hint="default" w:eastAsia="宋体"/>
                <w:color w:val="auto"/>
                <w:sz w:val="18"/>
                <w:szCs w:val="18"/>
                <w:lang w:val="en-US" w:eastAsia="zh-CN"/>
              </w:rPr>
            </w:pPr>
            <w:r>
              <w:rPr>
                <w:rFonts w:hint="eastAsia" w:cs="宋体"/>
                <w:color w:val="auto"/>
                <w:kern w:val="0"/>
                <w:sz w:val="18"/>
                <w:szCs w:val="18"/>
              </w:rPr>
              <w:t>产权证或买卖契约等合法的产权证明原件</w:t>
            </w:r>
          </w:p>
        </w:tc>
        <w:tc>
          <w:tcPr>
            <w:tcW w:w="709"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跨区缴纳房产税、土地使用税、耕地占用税纳税人</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spacing w:line="240" w:lineRule="auto"/>
        <w:ind w:firstLine="0" w:firstLineChars="0"/>
        <w:rPr>
          <w:color w:val="auto"/>
        </w:rPr>
      </w:pPr>
      <w:r>
        <w:rPr>
          <w:color w:val="auto"/>
        </w:rPr>
        <w:drawing>
          <wp:inline distT="0" distB="0" distL="0" distR="0">
            <wp:extent cx="5457190" cy="1143000"/>
            <wp:effectExtent l="0" t="0" r="1016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457190" cy="1143000"/>
                    </a:xfrm>
                    <a:prstGeom prst="rect">
                      <a:avLst/>
                    </a:prstGeom>
                    <a:noFill/>
                  </pic:spPr>
                </pic:pic>
              </a:graphicData>
            </a:graphic>
          </wp:inline>
        </w:drawing>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无</w:t>
      </w:r>
    </w:p>
    <w:p>
      <w:pPr>
        <w:pStyle w:val="3"/>
        <w:ind w:firstLine="552"/>
        <w:rPr>
          <w:color w:val="auto"/>
        </w:rPr>
      </w:pPr>
      <w:r>
        <w:rPr>
          <w:rFonts w:hint="eastAsia"/>
          <w:color w:val="auto"/>
        </w:rPr>
        <w:t>九、注意事项</w:t>
      </w:r>
    </w:p>
    <w:p>
      <w:pPr>
        <w:ind w:firstLine="472"/>
        <w:rPr>
          <w:color w:val="auto"/>
        </w:rPr>
      </w:pPr>
      <w:r>
        <w:rPr>
          <w:color w:val="auto"/>
        </w:rPr>
        <w:t>1</w:t>
      </w:r>
      <w:r>
        <w:rPr>
          <w:rFonts w:hint="eastAsia"/>
          <w:color w:val="auto"/>
        </w:rPr>
        <w:t>.纳税人对报送资料的真实性和合法性承担责任。</w:t>
      </w:r>
    </w:p>
    <w:p>
      <w:pPr>
        <w:ind w:firstLine="472"/>
        <w:jc w:val="left"/>
        <w:rPr>
          <w:color w:val="auto"/>
        </w:rPr>
      </w:pPr>
      <w:r>
        <w:rPr>
          <w:color w:val="auto"/>
        </w:rPr>
        <w:t>2</w:t>
      </w:r>
      <w:r>
        <w:rPr>
          <w:rFonts w:hint="eastAsia"/>
          <w:color w:val="auto"/>
        </w:rPr>
        <w:t>.最多跑一次是在资料完整且符合法定受理条件的前提下，最多只需要到税务机关跑一次。</w:t>
      </w:r>
    </w:p>
    <w:p>
      <w:pPr>
        <w:ind w:firstLine="472"/>
        <w:jc w:val="left"/>
        <w:rPr>
          <w:color w:val="auto"/>
        </w:rPr>
      </w:pPr>
      <w:r>
        <w:rPr>
          <w:color w:val="auto"/>
        </w:rPr>
        <w:t>3</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1DCA6CAF"/>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2019-10-31T03:28:10Z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