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52"/>
        <w:rPr>
          <w:rFonts w:ascii="黑体" w:hAnsi="黑体"/>
          <w:color w:val="auto"/>
        </w:rPr>
      </w:pPr>
      <w:bookmarkStart w:id="1" w:name="_GoBack"/>
      <w:bookmarkEnd w:id="1"/>
      <w:bookmarkStart w:id="0" w:name="_Toc30174"/>
      <w:r>
        <w:rPr>
          <w:rFonts w:hint="default" w:ascii="黑体" w:hAnsi="黑体" w:eastAsia="黑体" w:cstheme="minorBidi"/>
          <w:color w:val="auto"/>
        </w:rPr>
        <w:t>4.3.1.5.2</w:t>
      </w:r>
      <w:r>
        <w:rPr>
          <w:rFonts w:hint="default" w:ascii="黑体" w:hAnsi="黑体"/>
          <w:color w:val="auto"/>
        </w:rPr>
        <w:t>复议听证（依申请）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contextualSpacing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复议听证（依申请）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13"/>
        <w:widowControl/>
        <w:numPr>
          <w:ilvl w:val="0"/>
          <w:numId w:val="3"/>
        </w:numPr>
        <w:spacing w:beforeAutospacing="0" w:afterAutospacing="0" w:line="578" w:lineRule="exact"/>
        <w:rPr>
          <w:rFonts w:hint="eastAsia"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发起方式：人工发起（纳税人)</w:t>
      </w:r>
    </w:p>
    <w:p>
      <w:pPr>
        <w:pStyle w:val="13"/>
        <w:widowControl/>
        <w:numPr>
          <w:ilvl w:val="0"/>
          <w:numId w:val="3"/>
        </w:numPr>
        <w:spacing w:beforeAutospacing="0" w:afterAutospacing="0" w:line="578" w:lineRule="exact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办结方式：限时办结</w:t>
      </w:r>
    </w:p>
    <w:p>
      <w:pPr>
        <w:pStyle w:val="13"/>
        <w:widowControl/>
        <w:numPr>
          <w:ilvl w:val="0"/>
          <w:numId w:val="3"/>
        </w:numPr>
        <w:spacing w:beforeAutospacing="0" w:afterAutospacing="0" w:line="578" w:lineRule="exact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全省通办：否</w:t>
      </w:r>
    </w:p>
    <w:p>
      <w:pPr>
        <w:pStyle w:val="13"/>
        <w:widowControl/>
        <w:numPr>
          <w:ilvl w:val="0"/>
          <w:numId w:val="3"/>
        </w:numPr>
        <w:spacing w:beforeAutospacing="0" w:afterAutospacing="0" w:line="578" w:lineRule="exact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网上办理：否</w:t>
      </w:r>
    </w:p>
    <w:p>
      <w:pPr>
        <w:pStyle w:val="13"/>
        <w:widowControl/>
        <w:numPr>
          <w:ilvl w:val="0"/>
          <w:numId w:val="3"/>
        </w:numPr>
        <w:spacing w:beforeAutospacing="0" w:afterAutospacing="0" w:line="578" w:lineRule="exact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适用层级：省、市、县(市、区)级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最多跑一次：否</w:t>
      </w:r>
    </w:p>
    <w:p>
      <w:pPr>
        <w:pStyle w:val="3"/>
        <w:ind w:firstLine="552"/>
        <w:rPr>
          <w:rFonts w:hint="eastAsia" w:eastAsia="黑体"/>
          <w:color w:val="auto"/>
          <w:lang w:eastAsia="zh-CN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复议听证（依申请）是指对重大、复杂的案件，在申请人提出要求时，行政复议机构可以采取听证的方式进行</w:t>
      </w:r>
      <w:r>
        <w:rPr>
          <w:rFonts w:ascii="宋体" w:hAnsi="宋体" w:eastAsia="宋体" w:cstheme="minorBidi"/>
          <w:color w:val="auto"/>
        </w:rPr>
        <w:t>案件的</w:t>
      </w:r>
      <w:r>
        <w:rPr>
          <w:rFonts w:hint="eastAsia" w:ascii="宋体" w:hAnsi="宋体" w:eastAsia="宋体" w:cstheme="minorBidi"/>
          <w:color w:val="auto"/>
        </w:rPr>
        <w:t>审理。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1.《中华人民共和国行政复议法实施条例》（中华人民共和国国务院令第</w:t>
      </w:r>
      <w:r>
        <w:rPr>
          <w:rFonts w:ascii="宋体" w:hAnsi="宋体" w:eastAsia="宋体" w:cstheme="minorBidi"/>
          <w:color w:val="auto"/>
        </w:rPr>
        <w:t>499号）第三十三条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ascii="宋体" w:hAnsi="宋体" w:eastAsia="宋体" w:cstheme="minorBidi"/>
          <w:color w:val="auto"/>
        </w:rPr>
        <w:t>2.</w:t>
      </w:r>
      <w:r>
        <w:rPr>
          <w:rFonts w:hint="eastAsia" w:ascii="宋体" w:hAnsi="宋体" w:eastAsia="宋体" w:cstheme="minorBidi"/>
          <w:color w:val="auto"/>
        </w:rPr>
        <w:t>《税务行政复议规则》（国家税务总局令第</w:t>
      </w:r>
      <w:r>
        <w:rPr>
          <w:rFonts w:ascii="宋体" w:hAnsi="宋体" w:eastAsia="宋体" w:cstheme="minorBidi"/>
          <w:color w:val="auto"/>
        </w:rPr>
        <w:t>21号）第六十五条</w:t>
      </w:r>
      <w:r>
        <w:rPr>
          <w:rFonts w:hint="eastAsia" w:ascii="宋体" w:hAnsi="宋体" w:eastAsia="宋体" w:cstheme="minorBidi"/>
          <w:color w:val="auto"/>
        </w:rPr>
        <w:t>至</w:t>
      </w:r>
      <w:r>
        <w:rPr>
          <w:rFonts w:ascii="宋体" w:hAnsi="宋体" w:eastAsia="宋体" w:cstheme="minorBidi"/>
          <w:color w:val="auto"/>
        </w:rPr>
        <w:t>第六十九条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“第六十五条对重大、复杂的案件，申请人提出要求或者行政复议机构认为必要时，可以采取听证的方式审理。　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第六十六条行政复议机构决定举行听证的，应当将举行听证的时间、地点和具体要求等事项通知申请人、被申请人和第三人。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第三人不参加听证的，不影响听证的举行。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第六十七条听证应当公开举行，但是涉及国家秘密、商业秘密或者个人隐私的除外。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第六十八条行政复议听证人员不得少于2人，听证主持人由行政复议机构指定。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第六十九条听证应当制作笔录。申请人、被申请人和第三人应当确认听证笔录内容。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hint="eastAsia" w:ascii="宋体" w:hAnsi="宋体" w:eastAsia="宋体" w:cstheme="minorBidi"/>
          <w:color w:val="auto"/>
        </w:rPr>
        <w:t>行政复议听证笔录应当附卷，作为行政复议机构审理案件的依据之一。”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rPr>
          <w:rFonts w:ascii="宋体" w:hAnsi="宋体" w:eastAsia="宋体" w:cstheme="minorBidi"/>
          <w:color w:val="auto"/>
        </w:rPr>
      </w:pPr>
      <w:r>
        <w:rPr>
          <w:rFonts w:ascii="宋体" w:hAnsi="宋体" w:eastAsia="宋体" w:cstheme="minorBidi"/>
          <w:color w:val="auto"/>
        </w:rPr>
        <w:t>3.</w:t>
      </w:r>
      <w:r>
        <w:rPr>
          <w:rFonts w:hint="eastAsia" w:ascii="宋体" w:hAnsi="宋体" w:eastAsia="宋体" w:cstheme="minorBidi"/>
          <w:color w:val="auto"/>
        </w:rPr>
        <w:t>《国家税务总局关于修改〈税务行政复议规则〉的决定》（国家税务总局令第</w:t>
      </w:r>
      <w:r>
        <w:rPr>
          <w:rFonts w:ascii="宋体" w:hAnsi="宋体" w:eastAsia="宋体" w:cstheme="minorBidi"/>
          <w:color w:val="auto"/>
        </w:rPr>
        <w:t>39号）</w:t>
      </w:r>
      <w:r>
        <w:rPr>
          <w:rFonts w:hint="eastAsia" w:ascii="宋体" w:hAnsi="宋体" w:eastAsia="宋体" w:cstheme="minorBidi"/>
          <w:color w:val="auto"/>
        </w:rPr>
        <w:t>全文</w:t>
      </w:r>
    </w:p>
    <w:p>
      <w:pPr>
        <w:tabs>
          <w:tab w:val="left" w:pos="618"/>
        </w:tabs>
        <w:ind w:firstLine="472"/>
        <w:rPr>
          <w:color w:val="auto"/>
          <w:szCs w:val="24"/>
        </w:rPr>
      </w:pPr>
      <w:r>
        <w:rPr>
          <w:rFonts w:hint="eastAsia" w:cstheme="minorBidi"/>
          <w:color w:val="auto"/>
        </w:rPr>
        <w:t>4．</w:t>
      </w:r>
      <w:r>
        <w:rPr>
          <w:rFonts w:hint="eastAsia"/>
          <w:color w:val="auto"/>
          <w:szCs w:val="24"/>
        </w:rPr>
        <w:t>《国家税务总局关于修改部分税务部门规章的决定》（国家税务总局令第</w:t>
      </w:r>
      <w:r>
        <w:rPr>
          <w:color w:val="auto"/>
          <w:szCs w:val="24"/>
        </w:rPr>
        <w:t>44号）</w:t>
      </w:r>
      <w:r>
        <w:rPr>
          <w:rFonts w:hint="eastAsia"/>
          <w:color w:val="auto"/>
          <w:szCs w:val="24"/>
        </w:rPr>
        <w:t>全文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  <w:lang w:val="en-US" w:eastAsia="zh-CN"/>
              </w:rPr>
              <w:t>行政</w:t>
            </w: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复议听证申请书》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rStyle w:val="45"/>
          <w:bCs w:val="0"/>
          <w:color w:val="auto"/>
        </w:rPr>
        <w:object>
          <v:shape id="_x0000_i1194" o:spt="75" type="#_x0000_t75" style="height:167.8pt;width:463.9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194" DrawAspect="Content" ObjectID="_1468075725" r:id="rId10">
            <o:LockedField>false</o:LockedField>
          </o:OLEObject>
        </w:object>
      </w:r>
    </w:p>
    <w:p>
      <w:pPr>
        <w:ind w:left="472" w:firstLine="0" w:firstLineChars="0"/>
        <w:rPr>
          <w:color w:val="auto"/>
        </w:rPr>
      </w:pP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</w:t>
      </w:r>
      <w:r>
        <w:rPr>
          <w:rFonts w:hint="eastAsia"/>
          <w:color w:val="auto"/>
          <w:szCs w:val="24"/>
        </w:rPr>
        <w:t>限时办结</w:t>
      </w:r>
      <w:r>
        <w:rPr>
          <w:rFonts w:hint="eastAsia"/>
          <w:color w:val="auto"/>
        </w:rPr>
        <w:t>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1.A12018《</w:t>
      </w:r>
      <w:r>
        <w:rPr>
          <w:rFonts w:hint="eastAsia"/>
          <w:color w:val="auto"/>
          <w:lang w:val="en-US" w:eastAsia="zh-CN"/>
        </w:rPr>
        <w:t>行政</w:t>
      </w:r>
      <w:r>
        <w:rPr>
          <w:rFonts w:hint="eastAsia"/>
          <w:color w:val="auto"/>
        </w:rPr>
        <w:t>复议听证申请书》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2.最多跑一次是在资料完整且符合法定受理条件的前提下，最多只需要到税务机关跑一次。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主管税务机关</w:t>
      </w:r>
      <w:r>
        <w:rPr>
          <w:rFonts w:hint="eastAsia"/>
          <w:color w:val="auto"/>
        </w:rPr>
        <w:t>办理时间可在国家税务总局河南省税务局网站查询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网址：http://henan.chinatax.gov.cn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主管税务机关法制管理部门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主管税务机关地址</w:t>
      </w:r>
      <w:r>
        <w:rPr>
          <w:rFonts w:hint="eastAsia"/>
          <w:color w:val="auto"/>
        </w:rPr>
        <w:t>可在国家税务总局河南省税务局网站查询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网址：http://henan.chinatax.gov.cn</w:t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44B2A69"/>
    <w:multiLevelType w:val="multilevel"/>
    <w:tmpl w:val="744B2A69"/>
    <w:lvl w:ilvl="0" w:tentative="0">
      <w:start w:val="1"/>
      <w:numFmt w:val="bullet"/>
      <w:lvlText w:val=""/>
      <w:lvlJc w:val="left"/>
      <w:pPr>
        <w:ind w:left="98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0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2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4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6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8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2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47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3A3777C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2019-10-31T05:15:59Z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