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15947"/>
      <w:r>
        <w:rPr>
          <w:rFonts w:hint="eastAsia" w:ascii="黑体" w:hAnsi="黑体"/>
          <w:color w:val="auto"/>
        </w:rPr>
        <w:t>2.1.8重点税源监控企业相关资料</w:t>
      </w:r>
      <w:bookmarkEnd w:id="0"/>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一、事项名称</w:t>
      </w:r>
    </w:p>
    <w:p>
      <w:pPr>
        <w:ind w:firstLine="472"/>
        <w:rPr>
          <w:rFonts w:hint="eastAsia"/>
          <w:color w:val="auto"/>
        </w:rPr>
      </w:pPr>
      <w:r>
        <w:rPr>
          <w:rFonts w:hint="eastAsia"/>
          <w:color w:val="auto"/>
        </w:rPr>
        <w:t>重点税源监控企业相关资料</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二、事项类别</w:t>
      </w:r>
    </w:p>
    <w:p>
      <w:pPr>
        <w:pStyle w:val="47"/>
        <w:numPr>
          <w:ilvl w:val="0"/>
          <w:numId w:val="3"/>
        </w:numPr>
        <w:ind w:firstLineChars="0"/>
        <w:rPr>
          <w:color w:val="auto"/>
        </w:rPr>
      </w:pPr>
      <w:r>
        <w:rPr>
          <w:rFonts w:hint="eastAsia"/>
          <w:color w:val="auto"/>
        </w:rPr>
        <w:t>发起方式：人工发起（税务机关）</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keepNext/>
        <w:keepLines/>
        <w:widowControl w:val="0"/>
        <w:spacing w:line="578" w:lineRule="exact"/>
        <w:ind w:firstLine="552" w:firstLineChars="200"/>
        <w:jc w:val="both"/>
        <w:outlineLvl w:val="1"/>
        <w:rPr>
          <w:rFonts w:eastAsia="黑体"/>
          <w:color w:val="auto"/>
          <w:sz w:val="28"/>
        </w:rPr>
      </w:pPr>
      <w:r>
        <w:rPr>
          <w:rFonts w:eastAsia="黑体" w:asciiTheme="majorHAnsi" w:hAnsiTheme="majorHAnsi" w:cstheme="majorBidi"/>
          <w:bCs/>
          <w:color w:val="auto"/>
          <w:kern w:val="2"/>
          <w:sz w:val="28"/>
          <w:szCs w:val="32"/>
          <w:lang w:val="en-US" w:eastAsia="zh-CN" w:bidi="ar-SA"/>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kern w:val="20"/>
          <w:szCs w:val="21"/>
        </w:rPr>
      </w:pPr>
      <w:r>
        <w:rPr>
          <w:rFonts w:hint="eastAsia"/>
          <w:color w:val="auto"/>
          <w:kern w:val="20"/>
          <w:szCs w:val="21"/>
        </w:rPr>
        <w:t>重点税源监控企业数据采集是指纳入国家税务总局监控的重点税源企业按期向税务机关报送《重点税源企业基本信息表》等报表资料。</w:t>
      </w:r>
    </w:p>
    <w:p>
      <w:pPr>
        <w:pStyle w:val="3"/>
        <w:ind w:firstLine="552"/>
        <w:rPr>
          <w:rFonts w:eastAsia="黑体"/>
          <w:color w:val="auto"/>
          <w:sz w:val="28"/>
        </w:rPr>
      </w:pPr>
      <w:r>
        <w:rPr>
          <w:rFonts w:hint="eastAsia" w:eastAsia="黑体"/>
          <w:color w:val="auto"/>
          <w:sz w:val="28"/>
          <w:lang w:val="en-US" w:eastAsia="zh-CN"/>
        </w:rPr>
        <w:t>四</w:t>
      </w:r>
      <w:r>
        <w:rPr>
          <w:rFonts w:hint="eastAsia" w:eastAsia="黑体"/>
          <w:color w:val="auto"/>
          <w:sz w:val="28"/>
        </w:rPr>
        <w:t>、</w:t>
      </w:r>
      <w:r>
        <w:rPr>
          <w:rFonts w:hint="eastAsia" w:eastAsia="黑体"/>
          <w:color w:val="auto"/>
          <w:sz w:val="28"/>
          <w:lang w:val="en-US" w:eastAsia="zh-CN"/>
        </w:rPr>
        <w:t>设定</w:t>
      </w:r>
      <w:r>
        <w:rPr>
          <w:rFonts w:hint="eastAsia" w:eastAsia="黑体"/>
          <w:color w:val="auto"/>
          <w:sz w:val="28"/>
        </w:rPr>
        <w:t>依据</w:t>
      </w:r>
    </w:p>
    <w:p>
      <w:pPr>
        <w:ind w:firstLine="472"/>
        <w:rPr>
          <w:rFonts w:hint="eastAsia"/>
          <w:color w:val="auto"/>
          <w:kern w:val="20"/>
          <w:szCs w:val="21"/>
        </w:rPr>
      </w:pPr>
      <w:r>
        <w:rPr>
          <w:rFonts w:hint="eastAsia"/>
          <w:color w:val="auto"/>
        </w:rPr>
        <w:t>1.《中华人民共和国税收</w:t>
      </w:r>
      <w:r>
        <w:rPr>
          <w:rFonts w:hint="eastAsia"/>
          <w:color w:val="auto"/>
          <w:kern w:val="20"/>
          <w:szCs w:val="21"/>
        </w:rPr>
        <w:t>征收管理法》（中华人民共和国主席令第49号）第二十五条</w:t>
      </w:r>
    </w:p>
    <w:p>
      <w:pPr>
        <w:ind w:firstLine="472"/>
        <w:rPr>
          <w:rFonts w:hint="eastAsia"/>
          <w:color w:val="auto"/>
          <w:kern w:val="20"/>
          <w:szCs w:val="21"/>
        </w:rPr>
      </w:pPr>
      <w:r>
        <w:rPr>
          <w:rFonts w:hint="eastAsia"/>
          <w:color w:val="auto"/>
          <w:kern w:val="20"/>
          <w:szCs w:val="21"/>
          <w:lang w:eastAsia="zh-CN"/>
        </w:rPr>
        <w:t>“</w:t>
      </w:r>
      <w:r>
        <w:rPr>
          <w:rFonts w:hint="eastAsia"/>
          <w:color w:val="auto"/>
          <w:kern w:val="20"/>
          <w:szCs w:val="21"/>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rFonts w:hint="eastAsia"/>
          <w:color w:val="auto"/>
          <w:kern w:val="20"/>
          <w:szCs w:val="21"/>
          <w:lang w:eastAsia="zh-CN"/>
        </w:rPr>
      </w:pPr>
      <w:r>
        <w:rPr>
          <w:rFonts w:hint="eastAsia"/>
          <w:color w:val="auto"/>
          <w:kern w:val="20"/>
          <w:szCs w:val="21"/>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r>
        <w:rPr>
          <w:rFonts w:hint="eastAsia"/>
          <w:color w:val="auto"/>
          <w:kern w:val="20"/>
          <w:szCs w:val="21"/>
          <w:lang w:eastAsia="zh-CN"/>
        </w:rPr>
        <w:t>”</w:t>
      </w:r>
    </w:p>
    <w:p>
      <w:pPr>
        <w:ind w:firstLine="472"/>
        <w:rPr>
          <w:rFonts w:hint="eastAsia" w:eastAsia="宋体"/>
          <w:color w:val="auto"/>
          <w:lang w:eastAsia="zh-CN"/>
        </w:rPr>
      </w:pPr>
      <w:r>
        <w:rPr>
          <w:rFonts w:hint="eastAsia"/>
          <w:color w:val="auto"/>
          <w:kern w:val="20"/>
          <w:szCs w:val="21"/>
        </w:rPr>
        <w:t>2.《国家税务总局关于下发2017年重点税源监控报表制度的</w:t>
      </w:r>
      <w:r>
        <w:rPr>
          <w:rFonts w:hint="eastAsia"/>
          <w:color w:val="auto"/>
        </w:rPr>
        <w:t>通知》（税总函〔2016〕668号）</w:t>
      </w:r>
      <w:r>
        <w:rPr>
          <w:rFonts w:hint="eastAsia"/>
          <w:color w:val="auto"/>
          <w:lang w:eastAsia="zh-CN"/>
        </w:rPr>
        <w:t>全文</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s="宋体"/>
                <w:color w:val="auto"/>
                <w:sz w:val="18"/>
                <w:szCs w:val="18"/>
              </w:rPr>
              <w:t>____</w:t>
            </w:r>
            <w:r>
              <w:rPr>
                <w:rFonts w:hint="eastAsia" w:ascii="宋体" w:hAnsi="宋体" w:eastAsia="宋体" w:cs="宋体"/>
                <w:color w:val="auto"/>
                <w:sz w:val="18"/>
                <w:szCs w:val="18"/>
              </w:rPr>
              <w:t>_</w:t>
            </w:r>
            <w:r>
              <w:rPr>
                <w:rFonts w:ascii="宋体" w:hAnsi="宋体" w:eastAsia="宋体" w:cs="宋体"/>
                <w:color w:val="auto"/>
                <w:sz w:val="18"/>
                <w:szCs w:val="18"/>
              </w:rPr>
              <w:t>年重点税源企业基本信息表（XXB表）</w:t>
            </w:r>
          </w:p>
        </w:tc>
        <w:tc>
          <w:tcPr>
            <w:tcW w:w="709"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2</w:t>
            </w:r>
          </w:p>
        </w:tc>
        <w:tc>
          <w:tcPr>
            <w:tcW w:w="25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sz w:val="18"/>
                <w:szCs w:val="18"/>
              </w:rPr>
              <w:t>_____</w:t>
            </w:r>
            <w:r>
              <w:rPr>
                <w:rFonts w:cs="宋体"/>
                <w:color w:val="auto"/>
                <w:sz w:val="18"/>
                <w:szCs w:val="18"/>
              </w:rPr>
              <w:t>年</w:t>
            </w:r>
            <w:r>
              <w:rPr>
                <w:rFonts w:hint="eastAsia" w:cs="宋体"/>
                <w:color w:val="auto"/>
                <w:kern w:val="0"/>
                <w:sz w:val="18"/>
                <w:szCs w:val="18"/>
              </w:rPr>
              <w:t>月重点税源企业税收信息（月报）表</w:t>
            </w:r>
          </w:p>
        </w:tc>
        <w:tc>
          <w:tcPr>
            <w:tcW w:w="709"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3</w:t>
            </w:r>
          </w:p>
        </w:tc>
        <w:tc>
          <w:tcPr>
            <w:tcW w:w="25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s="宋体"/>
                <w:color w:val="auto"/>
                <w:sz w:val="18"/>
                <w:szCs w:val="18"/>
              </w:rPr>
              <w:t>_____</w:t>
            </w:r>
            <w:r>
              <w:rPr>
                <w:rFonts w:eastAsia="宋体" w:cs="宋体"/>
                <w:color w:val="auto"/>
                <w:sz w:val="18"/>
                <w:szCs w:val="18"/>
              </w:rPr>
              <w:t>年</w:t>
            </w:r>
            <w:r>
              <w:rPr>
                <w:rFonts w:hint="eastAsia" w:eastAsia="宋体" w:cs="宋体"/>
                <w:color w:val="auto"/>
                <w:sz w:val="18"/>
                <w:szCs w:val="18"/>
              </w:rPr>
              <w:t>月重点税源企业主要产品与税收信息（月报）表</w:t>
            </w:r>
          </w:p>
        </w:tc>
        <w:tc>
          <w:tcPr>
            <w:tcW w:w="709"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4</w:t>
            </w:r>
          </w:p>
        </w:tc>
        <w:tc>
          <w:tcPr>
            <w:tcW w:w="25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s="宋体"/>
                <w:color w:val="auto"/>
                <w:sz w:val="18"/>
                <w:szCs w:val="18"/>
              </w:rPr>
              <w:t>_____</w:t>
            </w:r>
            <w:r>
              <w:rPr>
                <w:rFonts w:eastAsia="宋体" w:cs="宋体"/>
                <w:color w:val="auto"/>
                <w:sz w:val="18"/>
                <w:szCs w:val="18"/>
              </w:rPr>
              <w:t>年</w:t>
            </w:r>
            <w:r>
              <w:rPr>
                <w:rFonts w:hint="eastAsia" w:eastAsia="宋体" w:cs="宋体"/>
                <w:color w:val="auto"/>
                <w:sz w:val="18"/>
                <w:szCs w:val="18"/>
              </w:rPr>
              <w:t>季度重点税源企业财务信息（季报）表</w:t>
            </w:r>
          </w:p>
        </w:tc>
        <w:tc>
          <w:tcPr>
            <w:tcW w:w="709"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val="en-US" w:eastAsia="zh-CN"/>
              </w:rPr>
              <w:t>5</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s="宋体"/>
                <w:color w:val="auto"/>
                <w:sz w:val="18"/>
                <w:szCs w:val="18"/>
              </w:rPr>
              <w:t>重点税源企业景气调查问卷（季报）表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keepNext/>
        <w:keepLines/>
        <w:widowControl w:val="0"/>
        <w:spacing w:line="240" w:lineRule="auto"/>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六</w:t>
      </w:r>
      <w:r>
        <w:rPr>
          <w:rFonts w:eastAsia="黑体" w:asciiTheme="majorHAnsi" w:hAnsiTheme="majorHAnsi" w:cstheme="majorBidi"/>
          <w:bCs/>
          <w:color w:val="auto"/>
          <w:kern w:val="2"/>
          <w:sz w:val="28"/>
          <w:szCs w:val="32"/>
          <w:lang w:val="en-US" w:eastAsia="zh-CN" w:bidi="ar-SA"/>
        </w:rPr>
        <w:t>、办理流程</w:t>
      </w:r>
    </w:p>
    <w:p>
      <w:pPr>
        <w:numPr>
          <w:ilvl w:val="0"/>
          <w:numId w:val="0"/>
        </w:numPr>
        <w:spacing w:line="240" w:lineRule="auto"/>
        <w:ind w:firstLine="552"/>
        <w:jc w:val="center"/>
        <w:rPr>
          <w:rFonts w:ascii="宋体" w:hAnsi="宋体" w:eastAsia="宋体" w:cs="Times New Roman"/>
          <w:b w:val="0"/>
          <w:bCs w:val="0"/>
          <w:color w:val="auto"/>
          <w:sz w:val="24"/>
        </w:rPr>
      </w:pPr>
      <w:r>
        <w:rPr>
          <w:rFonts w:ascii="宋体" w:hAnsi="宋体" w:eastAsia="宋体" w:cs="Times New Roman"/>
          <w:b w:val="0"/>
          <w:bCs w:val="0"/>
          <w:color w:val="auto"/>
          <w:sz w:val="24"/>
        </w:rPr>
        <w:object>
          <v:shape id="_x0000_i1143" o:spt="75" type="#_x0000_t75" style="height:117.75pt;width:440.25pt;" o:ole="t" filled="f" o:preferrelative="t" stroked="f" coordsize="21600,21600">
            <v:path/>
            <v:fill on="f" focussize="0,0"/>
            <v:stroke on="f"/>
            <v:imagedata r:id="rId11" o:title=""/>
            <o:lock v:ext="edit" aspectratio="t"/>
            <w10:wrap type="none"/>
            <w10:anchorlock/>
          </v:shape>
          <o:OLEObject Type="Embed" ProgID="Visio.Drawing.11" ShapeID="_x0000_i1143" DrawAspect="Content" ObjectID="_1468075725" r:id="rId10">
            <o:LockedField>false</o:LockedField>
          </o:OLEObject>
        </w:objec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七、办理时限</w:t>
      </w:r>
    </w:p>
    <w:p>
      <w:pPr>
        <w:ind w:firstLine="471" w:firstLineChars="0"/>
        <w:rPr>
          <w:color w:val="auto"/>
        </w:rPr>
      </w:pPr>
      <w:r>
        <w:rPr>
          <w:rFonts w:hint="eastAsia"/>
          <w:color w:val="auto"/>
        </w:rPr>
        <w:t>资料齐全、符合法定形式的，税务机关受理后即时办结。</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八、表证单书</w:t>
      </w:r>
    </w:p>
    <w:p>
      <w:pPr>
        <w:ind w:firstLine="472"/>
        <w:rPr>
          <w:rFonts w:hint="eastAsia"/>
          <w:color w:val="auto"/>
        </w:rPr>
      </w:pPr>
      <w:r>
        <w:rPr>
          <w:rFonts w:hint="eastAsia"/>
          <w:color w:val="auto"/>
        </w:rPr>
        <w:t>1.《_____年重点税源企业基本信息表（XXB表）》</w:t>
      </w:r>
    </w:p>
    <w:p>
      <w:pPr>
        <w:ind w:firstLine="472"/>
        <w:rPr>
          <w:rFonts w:hint="eastAsia"/>
          <w:color w:val="auto"/>
        </w:rPr>
      </w:pPr>
      <w:r>
        <w:rPr>
          <w:rFonts w:hint="eastAsia"/>
          <w:color w:val="auto"/>
          <w:lang w:val="en-US" w:eastAsia="zh-CN"/>
        </w:rPr>
        <w:t>2</w:t>
      </w:r>
      <w:r>
        <w:rPr>
          <w:rFonts w:hint="eastAsia"/>
          <w:color w:val="auto"/>
        </w:rPr>
        <w:t>.《_____年月重点税源企业税收信息（月报）表》</w:t>
      </w:r>
    </w:p>
    <w:p>
      <w:pPr>
        <w:ind w:firstLine="472"/>
        <w:rPr>
          <w:rFonts w:hint="eastAsia"/>
          <w:color w:val="auto"/>
        </w:rPr>
      </w:pPr>
      <w:r>
        <w:rPr>
          <w:rFonts w:hint="eastAsia"/>
          <w:color w:val="auto"/>
          <w:lang w:val="en-US" w:eastAsia="zh-CN"/>
        </w:rPr>
        <w:t>3</w:t>
      </w:r>
      <w:r>
        <w:rPr>
          <w:rFonts w:hint="eastAsia"/>
          <w:color w:val="auto"/>
        </w:rPr>
        <w:t>.《_____年月重点税源企业主要产品与税收信息（月报）表》</w:t>
      </w:r>
    </w:p>
    <w:p>
      <w:pPr>
        <w:ind w:firstLine="472"/>
        <w:rPr>
          <w:rFonts w:hint="eastAsia"/>
          <w:color w:val="auto"/>
        </w:rPr>
      </w:pPr>
      <w:r>
        <w:rPr>
          <w:rFonts w:hint="eastAsia"/>
          <w:color w:val="auto"/>
          <w:lang w:val="en-US" w:eastAsia="zh-CN"/>
        </w:rPr>
        <w:t>4</w:t>
      </w:r>
      <w:r>
        <w:rPr>
          <w:rFonts w:hint="eastAsia"/>
          <w:color w:val="auto"/>
        </w:rPr>
        <w:t>.《_____年季度重点税源企业财务信息（季报）表》</w:t>
      </w:r>
    </w:p>
    <w:p>
      <w:pPr>
        <w:ind w:firstLine="472"/>
        <w:rPr>
          <w:rFonts w:hint="eastAsia"/>
          <w:color w:val="auto"/>
        </w:rPr>
      </w:pPr>
      <w:r>
        <w:rPr>
          <w:rFonts w:hint="eastAsia"/>
          <w:color w:val="auto"/>
          <w:lang w:val="en-US" w:eastAsia="zh-CN"/>
        </w:rPr>
        <w:t>5</w:t>
      </w:r>
      <w:r>
        <w:rPr>
          <w:rFonts w:hint="eastAsia"/>
          <w:color w:val="auto"/>
        </w:rPr>
        <w:t>.《重点税源企业景气调查问卷（季报）表》</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九、注意事项</w:t>
      </w:r>
    </w:p>
    <w:p>
      <w:pPr>
        <w:ind w:firstLine="472"/>
        <w:jc w:val="left"/>
        <w:rPr>
          <w:rFonts w:hint="eastAsia"/>
          <w:color w:val="auto"/>
        </w:rPr>
      </w:pPr>
      <w:r>
        <w:rPr>
          <w:rFonts w:hint="eastAsia"/>
          <w:color w:val="auto"/>
          <w:lang w:val="en-US" w:eastAsia="zh-CN"/>
        </w:rPr>
        <w:t>1.</w:t>
      </w:r>
      <w:r>
        <w:rPr>
          <w:rFonts w:hint="eastAsia" w:ascii="宋体" w:hAnsi="宋体" w:eastAsia="宋体"/>
          <w:color w:val="auto"/>
          <w:kern w:val="20"/>
          <w:szCs w:val="21"/>
        </w:rPr>
        <w:t>由于重点调查企业的确定，关系到调查数据的典型性、代表性甚至有效性，税务机关应采取有力措施，保证调查企业范围各项要求的全面落实，应用先进的调查方法，正确运用审核公式，严格按照填表说明要求，保证数据质量</w:t>
      </w:r>
      <w:r>
        <w:rPr>
          <w:rFonts w:hint="eastAsia"/>
          <w:color w:val="auto"/>
        </w:rPr>
        <w:t>。</w:t>
      </w:r>
    </w:p>
    <w:p>
      <w:pPr>
        <w:ind w:firstLine="472"/>
        <w:jc w:val="left"/>
        <w:rPr>
          <w:rFonts w:hint="eastAsia"/>
          <w:color w:val="auto"/>
        </w:rPr>
      </w:pPr>
      <w:r>
        <w:rPr>
          <w:rFonts w:hint="eastAsia"/>
          <w:color w:val="auto"/>
          <w:lang w:val="en-US" w:eastAsia="zh-CN"/>
        </w:rPr>
        <w:t>2.</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3</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4</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keepNext/>
        <w:keepLines/>
        <w:widowControl w:val="0"/>
        <w:spacing w:line="578" w:lineRule="exact"/>
        <w:ind w:firstLine="552" w:firstLineChars="200"/>
        <w:jc w:val="both"/>
        <w:outlineLvl w:val="1"/>
        <w:rPr>
          <w:rFonts w:hint="eastAsia"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十二、办理机构</w:t>
      </w:r>
    </w:p>
    <w:p>
      <w:pPr>
        <w:ind w:firstLine="472"/>
        <w:rPr>
          <w:color w:val="auto"/>
        </w:rPr>
      </w:pPr>
      <w:r>
        <w:rPr>
          <w:rFonts w:hint="eastAsia"/>
          <w:color w:val="auto"/>
        </w:rPr>
        <w:t>主管税务机关</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十三、收费标准</w:t>
      </w:r>
    </w:p>
    <w:p>
      <w:pPr>
        <w:ind w:firstLine="472"/>
        <w:rPr>
          <w:color w:val="auto"/>
        </w:rPr>
      </w:pPr>
      <w:r>
        <w:rPr>
          <w:rFonts w:hint="eastAsia"/>
          <w:color w:val="auto"/>
        </w:rPr>
        <w:t>不收费</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eastAsia="黑体"/>
          <w:color w:val="auto"/>
        </w:rPr>
      </w:pPr>
      <w:r>
        <w:rPr>
          <w:rFonts w:hint="eastAsia" w:eastAsia="黑体"/>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041141"/>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2019-10-31T04:54:48Z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