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4090"/>
      <w:r>
        <w:rPr>
          <w:rFonts w:hint="eastAsia" w:ascii="黑体" w:hAnsi="黑体" w:cs="黑体"/>
          <w:color w:val="auto"/>
        </w:rPr>
        <w:t>1.3.17.12工会经费代征申报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lang w:val="en-US" w:eastAsia="zh-CN"/>
        </w:rPr>
        <w:t>工会经费代征</w:t>
      </w:r>
      <w:r>
        <w:rPr>
          <w:rFonts w:hint="eastAsia"/>
          <w:color w:val="auto"/>
        </w:rPr>
        <w:t>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工会经费代征申报是指根据《中华人民共和国工会法》、《河南省工会条例》、《国家税务总局关于加强税务机关代收费项目管理的通知》和全国总工会的有关规定，建立工会组织的单位按每月全部职工工资总额2%向同级税务部门申报缴纳工会经费；未建立工会组织的单位按每月全部职工工资总额2%向同级税务部门申报缴纳工会筹备金的业务活动。</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1.《国家税务总局关于加强税务机关代收费项目管理的通知》（</w:t>
      </w:r>
      <w:r>
        <w:rPr>
          <w:color w:val="auto"/>
        </w:rPr>
        <w:t>国税发〔2005〕160号</w:t>
      </w:r>
      <w:r>
        <w:rPr>
          <w:rFonts w:hint="eastAsia"/>
          <w:color w:val="auto"/>
        </w:rPr>
        <w:t>）</w:t>
      </w:r>
      <w:r>
        <w:rPr>
          <w:rFonts w:hint="eastAsia"/>
          <w:color w:val="auto"/>
          <w:lang w:eastAsia="zh-CN"/>
        </w:rPr>
        <w:t>全文</w:t>
      </w:r>
    </w:p>
    <w:p>
      <w:pPr>
        <w:ind w:firstLine="472"/>
        <w:rPr>
          <w:rFonts w:hint="eastAsia"/>
          <w:color w:val="auto"/>
          <w:lang w:eastAsia="zh-CN"/>
        </w:rPr>
      </w:pPr>
      <w:r>
        <w:rPr>
          <w:rFonts w:hint="eastAsia"/>
          <w:color w:val="auto"/>
        </w:rPr>
        <w:t>2.《中华人民共和国工会法》（主席令</w:t>
      </w:r>
      <w:r>
        <w:rPr>
          <w:color w:val="auto"/>
        </w:rPr>
        <w:t>第五十七号</w:t>
      </w:r>
      <w:r>
        <w:rPr>
          <w:rFonts w:hint="eastAsia"/>
          <w:color w:val="auto"/>
        </w:rPr>
        <w:t>）</w:t>
      </w:r>
      <w:r>
        <w:rPr>
          <w:rFonts w:hint="eastAsia"/>
          <w:color w:val="auto"/>
          <w:lang w:eastAsia="zh-CN"/>
        </w:rPr>
        <w:t>第四十二条</w:t>
      </w:r>
    </w:p>
    <w:p>
      <w:pPr>
        <w:ind w:firstLine="472"/>
        <w:rPr>
          <w:rFonts w:hint="eastAsia" w:eastAsia="宋体"/>
          <w:color w:val="auto"/>
          <w:lang w:eastAsia="zh-CN"/>
        </w:rPr>
      </w:pPr>
      <w:r>
        <w:rPr>
          <w:rFonts w:hint="eastAsia"/>
          <w:color w:val="auto"/>
          <w:lang w:eastAsia="zh-CN"/>
        </w:rPr>
        <w:t>“工会经费的来源：（一）工会会员缴纳的会费；（二）建立工会组织的企业、事业单位、机关按每月全部职工工资总额的百分之二向工会拨缴的经费；（三）工会所属的企业、事业单位上缴的收入；（四）人民政府的补助；（五）其他收入。前款第二项规定的企业、事业单位拨缴的经费在税前列支。工会经费主要用于为职工服务和工会活动。经费使用的具体办法由中华全国总工会制定。”</w:t>
      </w:r>
    </w:p>
    <w:p>
      <w:pPr>
        <w:ind w:firstLine="472"/>
        <w:rPr>
          <w:rFonts w:hint="eastAsia"/>
          <w:color w:val="auto"/>
        </w:rPr>
      </w:pPr>
      <w:r>
        <w:rPr>
          <w:color w:val="auto"/>
        </w:rPr>
        <w:t>3.</w:t>
      </w:r>
      <w:r>
        <w:rPr>
          <w:rFonts w:hint="eastAsia"/>
          <w:color w:val="auto"/>
        </w:rPr>
        <w:t>《河南省工会条例》（河南省</w:t>
      </w:r>
      <w:r>
        <w:rPr>
          <w:color w:val="auto"/>
        </w:rPr>
        <w:t>人民代表大会常务</w:t>
      </w:r>
      <w:r>
        <w:rPr>
          <w:rFonts w:hint="eastAsia"/>
          <w:color w:val="auto"/>
        </w:rPr>
        <w:t>委员会公告第17号）第三十条</w:t>
      </w:r>
    </w:p>
    <w:p>
      <w:pPr>
        <w:ind w:firstLine="472"/>
        <w:rPr>
          <w:rFonts w:hint="eastAsia"/>
          <w:color w:val="auto"/>
        </w:rPr>
      </w:pPr>
      <w:r>
        <w:rPr>
          <w:rFonts w:hint="eastAsia"/>
          <w:color w:val="auto"/>
          <w:lang w:eastAsia="zh-CN"/>
        </w:rPr>
        <w:t>“</w:t>
      </w:r>
      <w:r>
        <w:rPr>
          <w:rFonts w:hint="eastAsia"/>
          <w:color w:val="auto"/>
        </w:rPr>
        <w:t>建立工会的企业、非财政拨款的事业单位及其他组织，应当按照上月全部职工工资总额的百分之二向工会拨缴当月的工会经费，并如实向工会提供全部职工人数和工资总额的相关数据。</w:t>
      </w:r>
    </w:p>
    <w:p>
      <w:pPr>
        <w:ind w:firstLine="472"/>
        <w:rPr>
          <w:rFonts w:hint="eastAsia"/>
          <w:color w:val="auto"/>
        </w:rPr>
      </w:pPr>
      <w:r>
        <w:rPr>
          <w:rFonts w:hint="eastAsia"/>
          <w:color w:val="auto"/>
        </w:rPr>
        <w:t>由财政拨款的事业单位和机关的工会经费应当列入同级财政年度预算，按照每月全部职工工资总额的百分之二按时足额拨付。</w:t>
      </w:r>
    </w:p>
    <w:p>
      <w:pPr>
        <w:ind w:firstLine="472"/>
        <w:rPr>
          <w:rFonts w:hint="eastAsia"/>
          <w:color w:val="auto"/>
        </w:rPr>
      </w:pPr>
      <w:r>
        <w:rPr>
          <w:rFonts w:hint="eastAsia"/>
          <w:color w:val="auto"/>
        </w:rPr>
        <w:t>企业、事业单位及其他组织逾期拨缴或者未足额拨缴工会经费的，应当及时补缴。无正当理由拖延或者拒不拨缴工会经费的，基层工会或者上级工会可以向当地人</w:t>
      </w:r>
      <w:r>
        <w:rPr>
          <w:rFonts w:hint="eastAsia"/>
          <w:color w:val="auto"/>
        </w:rPr>
        <w:fldChar w:fldCharType="begin"/>
      </w:r>
      <w:r>
        <w:rPr>
          <w:rFonts w:hint="eastAsia"/>
          <w:color w:val="auto"/>
        </w:rPr>
        <w:instrText xml:space="preserve"> HYPERLINK "http://www.chinalawedu.com/sifakaoshi/ziliao/minfa/" \o "民法" \t "http://www.chinalawedu.com/falvfagui/fg21752/_blank" </w:instrText>
      </w:r>
      <w:r>
        <w:rPr>
          <w:rFonts w:hint="eastAsia"/>
          <w:color w:val="auto"/>
        </w:rPr>
        <w:fldChar w:fldCharType="separate"/>
      </w:r>
      <w:r>
        <w:rPr>
          <w:rFonts w:hint="eastAsia"/>
          <w:color w:val="auto"/>
        </w:rPr>
        <w:t>民法</w:t>
      </w:r>
      <w:r>
        <w:rPr>
          <w:rFonts w:hint="eastAsia"/>
          <w:color w:val="auto"/>
        </w:rPr>
        <w:fldChar w:fldCharType="end"/>
      </w:r>
      <w:r>
        <w:rPr>
          <w:rFonts w:hint="eastAsia"/>
          <w:color w:val="auto"/>
        </w:rPr>
        <w:t>院申请支付令，并按国家规定加收滞纳金。</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《通用申报表（税及附征税费）》</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numPr>
          <w:ilvl w:val="0"/>
          <w:numId w:val="4"/>
        </w:numPr>
        <w:ind w:firstLine="552" w:firstLineChars="200"/>
        <w:rPr>
          <w:rFonts w:hint="eastAsia"/>
          <w:color w:val="auto"/>
          <w:lang w:val="en-US" w:eastAsia="zh-CN"/>
        </w:rPr>
      </w:pPr>
      <w:r>
        <w:rPr>
          <w:color w:val="auto"/>
        </w:rPr>
        <w:t>办理</w:t>
      </w:r>
      <w:r>
        <w:rPr>
          <w:rFonts w:hint="eastAsia"/>
          <w:color w:val="auto"/>
          <w:lang w:val="en-US" w:eastAsia="zh-CN"/>
        </w:rPr>
        <w:t>流程</w:t>
      </w:r>
    </w:p>
    <w:p>
      <w:pPr>
        <w:widowControl w:val="0"/>
        <w:numPr>
          <w:ilvl w:val="0"/>
          <w:numId w:val="0"/>
        </w:numPr>
        <w:spacing w:line="578" w:lineRule="exact"/>
        <w:jc w:val="both"/>
        <w:rPr>
          <w:rFonts w:hint="eastAsia"/>
          <w:color w:val="auto"/>
          <w:lang w:val="en-US" w:eastAsia="zh-CN"/>
        </w:rPr>
      </w:pPr>
    </w:p>
    <w:p>
      <w:pPr>
        <w:spacing w:line="240" w:lineRule="auto"/>
        <w:ind w:firstLine="0" w:firstLineChars="0"/>
        <w:rPr>
          <w:color w:val="auto"/>
        </w:rPr>
      </w:pPr>
      <w:r>
        <w:rPr>
          <w:color w:val="auto"/>
        </w:rPr>
        <w:object>
          <v:shape id="_x0000_i1106" o:spt="75" type="#_x0000_t75" style="height:118.1pt;width:440.6pt;" o:ole="t" filled="f" o:preferrelative="t" stroked="f" coordsize="21600,21600">
            <v:path/>
            <v:fill on="f" focussize="0,0"/>
            <v:stroke on="f"/>
            <v:imagedata r:id="rId11" o:title=""/>
            <o:lock v:ext="edit" aspectratio="t"/>
            <w10:wrap type="none"/>
            <w10:anchorlock/>
          </v:shape>
          <o:OLEObject Type="Embed" ProgID="Visio.Drawing.11" ShapeID="_x0000_i110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rPr>
          <w:rFonts w:hint="eastAsia"/>
          <w:color w:val="auto"/>
        </w:rPr>
      </w:pPr>
      <w:r>
        <w:rPr>
          <w:rFonts w:hint="eastAsia"/>
          <w:color w:val="auto"/>
        </w:rPr>
        <w:t>1.A06119《通用申报表（税及附征税费）》</w:t>
      </w:r>
    </w:p>
    <w:p>
      <w:pPr>
        <w:pStyle w:val="3"/>
        <w:ind w:firstLine="552"/>
        <w:rPr>
          <w:color w:val="auto"/>
        </w:rPr>
      </w:pPr>
      <w:r>
        <w:rPr>
          <w:rFonts w:hint="eastAsia"/>
          <w:color w:val="auto"/>
        </w:rPr>
        <w:t>九、注意事项</w:t>
      </w:r>
    </w:p>
    <w:p>
      <w:pPr>
        <w:ind w:firstLine="472"/>
        <w:rPr>
          <w:rFonts w:eastAsia="宋体" w:cs="Times New Roman"/>
          <w:color w:val="auto"/>
        </w:rPr>
      </w:pPr>
      <w:r>
        <w:rPr>
          <w:rFonts w:hint="eastAsia" w:eastAsia="宋体" w:cs="Times New Roman"/>
          <w:color w:val="auto"/>
          <w:lang w:val="en-US" w:eastAsia="zh-CN"/>
        </w:rPr>
        <w:t>1</w:t>
      </w:r>
      <w:r>
        <w:rPr>
          <w:rFonts w:hint="eastAsia" w:eastAsia="宋体" w:cs="Times New Roman"/>
          <w:color w:val="auto"/>
        </w:rPr>
        <w:t>.</w:t>
      </w:r>
      <w:r>
        <w:rPr>
          <w:rFonts w:hint="eastAsia" w:eastAsia="宋体" w:cs="Times New Roman"/>
          <w:color w:val="auto"/>
          <w:lang w:val="en-US" w:eastAsia="zh-CN"/>
        </w:rPr>
        <w:t>缴费</w:t>
      </w:r>
      <w:r>
        <w:rPr>
          <w:rFonts w:hint="eastAsia" w:eastAsia="宋体" w:cs="Times New Roman"/>
          <w:color w:val="auto"/>
        </w:rPr>
        <w:t>人对报送资料的真实性和合法性承担责任。</w:t>
      </w:r>
    </w:p>
    <w:p>
      <w:pPr>
        <w:ind w:firstLine="472"/>
        <w:jc w:val="left"/>
        <w:rPr>
          <w:rFonts w:hint="eastAsia" w:eastAsia="宋体" w:cs="Times New Roman"/>
          <w:color w:val="auto"/>
        </w:rPr>
      </w:pPr>
      <w:r>
        <w:rPr>
          <w:rFonts w:hint="eastAsia" w:eastAsia="宋体" w:cs="Times New Roman"/>
          <w:color w:val="auto"/>
          <w:lang w:val="en-US" w:eastAsia="zh-CN"/>
        </w:rPr>
        <w:t>2</w:t>
      </w:r>
      <w:r>
        <w:rPr>
          <w:rFonts w:hint="eastAsia" w:eastAsia="宋体" w:cs="Times New Roman"/>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3.缴费</w:t>
      </w:r>
      <w:r>
        <w:rPr>
          <w:rFonts w:hint="eastAsia"/>
          <w:color w:val="auto"/>
        </w:rPr>
        <w:t>人上门办理涉</w:t>
      </w:r>
      <w:r>
        <w:rPr>
          <w:rFonts w:hint="eastAsia"/>
          <w:color w:val="auto"/>
          <w:lang w:val="en-US" w:eastAsia="zh-CN"/>
        </w:rPr>
        <w:t>费</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9BB4169"/>
    <w:multiLevelType w:val="singleLevel"/>
    <w:tmpl w:val="79BB4169"/>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7D24EC"/>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2019-10-31T06:28:54Z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