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2" w:name="_GoBack"/>
      <w:bookmarkEnd w:id="2"/>
      <w:bookmarkStart w:id="0" w:name="_Toc12376"/>
      <w:r>
        <w:rPr>
          <w:rFonts w:hint="eastAsia" w:ascii="黑体" w:hAnsi="黑体"/>
          <w:color w:val="auto"/>
          <w:lang w:val="en-US" w:eastAsia="zh-CN"/>
        </w:rPr>
        <w:t>1.3.22.13</w:t>
      </w:r>
      <w:r>
        <w:rPr>
          <w:rFonts w:hint="eastAsia" w:ascii="黑体" w:hAnsi="黑体"/>
          <w:color w:val="auto"/>
        </w:rPr>
        <w:t>非居民企业股权转让适用特殊性税务处理的备案</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非居民企业股权转让适用特殊性税务处理的备案</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spacing w:line="578" w:lineRule="exact"/>
        <w:ind w:firstLine="480"/>
        <w:contextualSpacing/>
        <w:rPr>
          <w:rFonts w:asciiTheme="minorEastAsia" w:hAnsiTheme="minorEastAsia"/>
          <w:color w:val="auto"/>
          <w:kern w:val="20"/>
          <w:sz w:val="24"/>
          <w:szCs w:val="24"/>
        </w:rPr>
      </w:pPr>
      <w:r>
        <w:rPr>
          <w:rFonts w:hint="eastAsia" w:asciiTheme="minorEastAsia" w:hAnsiTheme="minorEastAsia"/>
          <w:color w:val="auto"/>
          <w:kern w:val="20"/>
          <w:sz w:val="24"/>
          <w:szCs w:val="24"/>
        </w:rPr>
        <w:t>非居民企业发生以下符合《财政部国家税务总局关于企业重组业务企业所得税处理若干问题的通知》（财税[2009]59号）第七条第（一）、（二）项规定的情形，并选择特殊性税务处理的，应于股权转让合同或协议生效且完成市场监管部门变更登记手续30日内进行备案。</w:t>
      </w:r>
    </w:p>
    <w:p>
      <w:pPr>
        <w:numPr>
          <w:ilvl w:val="0"/>
          <w:numId w:val="0"/>
        </w:numPr>
        <w:spacing w:line="578" w:lineRule="exact"/>
        <w:ind w:firstLine="472" w:firstLineChars="200"/>
        <w:contextualSpacing/>
        <w:rPr>
          <w:rFonts w:asciiTheme="minorEastAsia" w:hAnsiTheme="minorEastAsia"/>
          <w:color w:val="auto"/>
          <w:kern w:val="20"/>
          <w:sz w:val="24"/>
          <w:szCs w:val="24"/>
        </w:rPr>
      </w:pPr>
      <w:r>
        <w:rPr>
          <w:rFonts w:hint="eastAsia" w:asciiTheme="minorEastAsia" w:hAnsiTheme="minorEastAsia"/>
          <w:color w:val="auto"/>
          <w:kern w:val="20"/>
          <w:sz w:val="24"/>
          <w:szCs w:val="24"/>
        </w:rPr>
        <w:t>（一）非居民企业向其100%直接控股的另一非居民企业转让其拥有的居民企业股权，没有因此造成以后该项股权转让所得预提税负担变化，且转让方非居民企业向主管税务机关书面承诺在3年（含3年）内不转让其拥有受让方非居民企业的股权；包括因境外企业分立、合并导致中国居民企业股权被转让的情形。</w:t>
      </w:r>
    </w:p>
    <w:p>
      <w:pPr>
        <w:spacing w:line="578" w:lineRule="exact"/>
        <w:ind w:firstLine="480"/>
        <w:contextualSpacing/>
        <w:rPr>
          <w:rFonts w:asciiTheme="minorEastAsia" w:hAnsiTheme="minorEastAsia"/>
          <w:color w:val="auto"/>
          <w:kern w:val="20"/>
          <w:sz w:val="24"/>
          <w:szCs w:val="24"/>
        </w:rPr>
      </w:pPr>
      <w:r>
        <w:rPr>
          <w:rFonts w:hint="eastAsia" w:asciiTheme="minorEastAsia" w:hAnsiTheme="minorEastAsia"/>
          <w:color w:val="auto"/>
          <w:kern w:val="20"/>
          <w:sz w:val="24"/>
          <w:szCs w:val="24"/>
        </w:rPr>
        <w:t>（二）非居民企业向与其具有100%直接控股关系的居民企业转让其拥有的另一居民企业股权。包括因境外企业分立、合并导致中国居民企业股权被转让的情形。</w:t>
      </w:r>
    </w:p>
    <w:p>
      <w:pPr>
        <w:pStyle w:val="3"/>
        <w:ind w:firstLine="552"/>
        <w:rPr>
          <w:color w:val="auto"/>
        </w:rPr>
      </w:pPr>
      <w:r>
        <w:rPr>
          <w:rFonts w:hint="eastAsia"/>
          <w:color w:val="auto"/>
        </w:rPr>
        <w:t>四、设定依据</w:t>
      </w:r>
    </w:p>
    <w:p>
      <w:pPr>
        <w:spacing w:line="578" w:lineRule="exact"/>
        <w:ind w:firstLine="480"/>
        <w:contextualSpacing/>
        <w:rPr>
          <w:rFonts w:hint="eastAsia" w:asciiTheme="minorEastAsia" w:hAnsiTheme="minorEastAsia"/>
          <w:color w:val="auto"/>
          <w:kern w:val="20"/>
          <w:sz w:val="24"/>
          <w:szCs w:val="24"/>
          <w:lang w:val="en-US" w:eastAsia="zh-CN"/>
        </w:rPr>
      </w:pPr>
      <w:r>
        <w:rPr>
          <w:rFonts w:hint="eastAsia" w:asciiTheme="minorEastAsia" w:hAnsiTheme="minorEastAsia"/>
          <w:color w:val="auto"/>
          <w:kern w:val="20"/>
          <w:sz w:val="24"/>
          <w:szCs w:val="24"/>
          <w:lang w:eastAsia="zh-CN"/>
        </w:rPr>
        <w:t>1.</w:t>
      </w:r>
      <w:r>
        <w:rPr>
          <w:rFonts w:hint="eastAsia" w:asciiTheme="minorEastAsia" w:hAnsiTheme="minorEastAsia"/>
          <w:color w:val="auto"/>
          <w:kern w:val="20"/>
          <w:sz w:val="24"/>
          <w:szCs w:val="24"/>
        </w:rPr>
        <w:t>《</w:t>
      </w:r>
      <w:r>
        <w:rPr>
          <w:rFonts w:hint="eastAsia" w:asciiTheme="minorEastAsia" w:hAnsiTheme="minorEastAsia"/>
          <w:color w:val="auto"/>
          <w:kern w:val="20"/>
          <w:sz w:val="24"/>
          <w:szCs w:val="24"/>
          <w:lang w:eastAsia="zh-CN"/>
        </w:rPr>
        <w:t>财政部　国家税务总局</w:t>
      </w:r>
      <w:r>
        <w:rPr>
          <w:rFonts w:hint="eastAsia" w:asciiTheme="minorEastAsia" w:hAnsiTheme="minorEastAsia"/>
          <w:color w:val="auto"/>
          <w:kern w:val="20"/>
          <w:sz w:val="24"/>
          <w:szCs w:val="24"/>
        </w:rPr>
        <w:t>关于企业重组业务企业所得税处理若干问题的通知》（财税〔</w:t>
      </w:r>
      <w:r>
        <w:rPr>
          <w:rFonts w:hint="eastAsia" w:asciiTheme="minorEastAsia" w:hAnsiTheme="minorEastAsia"/>
          <w:color w:val="auto"/>
          <w:kern w:val="20"/>
          <w:sz w:val="24"/>
          <w:szCs w:val="24"/>
          <w:lang w:eastAsia="zh-CN"/>
        </w:rPr>
        <w:t>2009</w:t>
      </w:r>
      <w:r>
        <w:rPr>
          <w:rFonts w:hint="eastAsia" w:asciiTheme="minorEastAsia" w:hAnsiTheme="minorEastAsia"/>
          <w:color w:val="auto"/>
          <w:kern w:val="20"/>
          <w:sz w:val="24"/>
          <w:szCs w:val="24"/>
        </w:rPr>
        <w:t>〕</w:t>
      </w:r>
      <w:r>
        <w:rPr>
          <w:rFonts w:hint="eastAsia" w:asciiTheme="minorEastAsia" w:hAnsiTheme="minorEastAsia"/>
          <w:color w:val="auto"/>
          <w:kern w:val="20"/>
          <w:sz w:val="24"/>
          <w:szCs w:val="24"/>
          <w:lang w:eastAsia="zh-CN"/>
        </w:rPr>
        <w:t>59</w:t>
      </w:r>
      <w:r>
        <w:rPr>
          <w:rFonts w:hint="eastAsia" w:asciiTheme="minorEastAsia" w:hAnsiTheme="minorEastAsia"/>
          <w:color w:val="auto"/>
          <w:kern w:val="20"/>
          <w:sz w:val="24"/>
          <w:szCs w:val="24"/>
        </w:rPr>
        <w:t>号）第十一条</w:t>
      </w:r>
    </w:p>
    <w:p>
      <w:pPr>
        <w:spacing w:line="578" w:lineRule="exact"/>
        <w:ind w:firstLine="480"/>
        <w:contextualSpacing/>
        <w:rPr>
          <w:rFonts w:hint="eastAsia" w:asciiTheme="minorEastAsia" w:hAnsiTheme="minorEastAsia"/>
          <w:color w:val="auto"/>
          <w:kern w:val="20"/>
          <w:sz w:val="24"/>
          <w:szCs w:val="24"/>
          <w:lang w:val="en-US" w:eastAsia="zh-CN"/>
        </w:rPr>
      </w:pPr>
      <w:r>
        <w:rPr>
          <w:rFonts w:hint="eastAsia" w:asciiTheme="minorEastAsia" w:hAnsiTheme="minorEastAsia"/>
          <w:color w:val="auto"/>
          <w:kern w:val="20"/>
          <w:sz w:val="24"/>
          <w:szCs w:val="24"/>
          <w:lang w:val="en-US" w:eastAsia="zh-CN"/>
        </w:rPr>
        <w:t>“</w:t>
      </w:r>
      <w:r>
        <w:rPr>
          <w:rFonts w:hint="eastAsia" w:asciiTheme="minorEastAsia" w:hAnsiTheme="minorEastAsia"/>
          <w:color w:val="auto"/>
          <w:kern w:val="20"/>
          <w:sz w:val="24"/>
          <w:szCs w:val="24"/>
        </w:rPr>
        <w:t>企业发生符合本通知规定的特殊性重组条件并选择特殊性税务处理的，当事各方应在该重组业务完成当年企业所得税年度申报时，向主管税务机关提交书面备案资料，证明其符合各类特殊性重组规定的条件。企业未按规定书面备案的，一律不得按特殊重组业务进行税务处理。</w:t>
      </w:r>
      <w:r>
        <w:rPr>
          <w:rFonts w:hint="eastAsia" w:asciiTheme="minorEastAsia" w:hAnsiTheme="minorEastAsia"/>
          <w:color w:val="auto"/>
          <w:kern w:val="20"/>
          <w:sz w:val="24"/>
          <w:szCs w:val="24"/>
          <w:lang w:val="en-US" w:eastAsia="zh-CN"/>
        </w:rPr>
        <w:t>”</w:t>
      </w:r>
    </w:p>
    <w:p>
      <w:pPr>
        <w:spacing w:line="578" w:lineRule="exact"/>
        <w:ind w:firstLine="480"/>
        <w:contextualSpacing/>
        <w:rPr>
          <w:rFonts w:hint="eastAsia" w:asciiTheme="minorEastAsia" w:hAnsiTheme="minorEastAsia"/>
          <w:color w:val="auto"/>
          <w:kern w:val="20"/>
          <w:sz w:val="24"/>
          <w:szCs w:val="24"/>
        </w:rPr>
      </w:pPr>
      <w:r>
        <w:rPr>
          <w:rFonts w:hint="eastAsia" w:asciiTheme="minorEastAsia" w:hAnsiTheme="minorEastAsia"/>
          <w:color w:val="auto"/>
          <w:kern w:val="20"/>
          <w:sz w:val="24"/>
          <w:szCs w:val="24"/>
          <w:lang w:eastAsia="zh-CN"/>
        </w:rPr>
        <w:t>2.</w:t>
      </w:r>
      <w:r>
        <w:rPr>
          <w:rFonts w:hint="eastAsia" w:asciiTheme="minorEastAsia" w:hAnsiTheme="minorEastAsia"/>
          <w:color w:val="auto"/>
          <w:kern w:val="20"/>
          <w:sz w:val="24"/>
          <w:szCs w:val="24"/>
        </w:rPr>
        <w:t>《</w:t>
      </w:r>
      <w:bookmarkStart w:id="1" w:name="_Hlk12887293"/>
      <w:r>
        <w:rPr>
          <w:rFonts w:hint="eastAsia" w:asciiTheme="minorEastAsia" w:hAnsiTheme="minorEastAsia"/>
          <w:color w:val="auto"/>
          <w:kern w:val="20"/>
          <w:sz w:val="24"/>
          <w:szCs w:val="24"/>
        </w:rPr>
        <w:t>国家税务总局关于非居民企业股权转让适用特殊性税务处理有关问题的公告</w:t>
      </w:r>
      <w:bookmarkEnd w:id="1"/>
      <w:r>
        <w:rPr>
          <w:rFonts w:hint="eastAsia" w:asciiTheme="minorEastAsia" w:hAnsiTheme="minorEastAsia"/>
          <w:color w:val="auto"/>
          <w:kern w:val="20"/>
          <w:sz w:val="24"/>
          <w:szCs w:val="24"/>
        </w:rPr>
        <w:t>》（国家税务总局公告</w:t>
      </w:r>
      <w:r>
        <w:rPr>
          <w:rFonts w:hint="eastAsia" w:asciiTheme="minorEastAsia" w:hAnsiTheme="minorEastAsia"/>
          <w:color w:val="auto"/>
          <w:kern w:val="20"/>
          <w:sz w:val="24"/>
          <w:szCs w:val="24"/>
          <w:lang w:eastAsia="zh-CN"/>
        </w:rPr>
        <w:t>2013</w:t>
      </w:r>
      <w:r>
        <w:rPr>
          <w:rFonts w:hint="eastAsia" w:asciiTheme="minorEastAsia" w:hAnsiTheme="minorEastAsia"/>
          <w:color w:val="auto"/>
          <w:kern w:val="20"/>
          <w:sz w:val="24"/>
          <w:szCs w:val="24"/>
        </w:rPr>
        <w:t>年第</w:t>
      </w:r>
      <w:r>
        <w:rPr>
          <w:rFonts w:hint="eastAsia" w:asciiTheme="minorEastAsia" w:hAnsiTheme="minorEastAsia"/>
          <w:color w:val="auto"/>
          <w:kern w:val="20"/>
          <w:sz w:val="24"/>
          <w:szCs w:val="24"/>
          <w:lang w:eastAsia="zh-CN"/>
        </w:rPr>
        <w:t>72</w:t>
      </w:r>
      <w:r>
        <w:rPr>
          <w:rFonts w:hint="eastAsia" w:asciiTheme="minorEastAsia" w:hAnsiTheme="minorEastAsia"/>
          <w:color w:val="auto"/>
          <w:kern w:val="20"/>
          <w:sz w:val="24"/>
          <w:szCs w:val="24"/>
        </w:rPr>
        <w:t>号发布，国家税务总局公告</w:t>
      </w:r>
      <w:r>
        <w:rPr>
          <w:rFonts w:hint="eastAsia" w:asciiTheme="minorEastAsia" w:hAnsiTheme="minorEastAsia"/>
          <w:color w:val="auto"/>
          <w:kern w:val="20"/>
          <w:sz w:val="24"/>
          <w:szCs w:val="24"/>
          <w:lang w:eastAsia="zh-CN"/>
        </w:rPr>
        <w:t>2015</w:t>
      </w:r>
      <w:r>
        <w:rPr>
          <w:rFonts w:hint="eastAsia" w:asciiTheme="minorEastAsia" w:hAnsiTheme="minorEastAsia"/>
          <w:color w:val="auto"/>
          <w:kern w:val="20"/>
          <w:sz w:val="24"/>
          <w:szCs w:val="24"/>
        </w:rPr>
        <w:t>年第</w:t>
      </w:r>
      <w:r>
        <w:rPr>
          <w:rFonts w:hint="eastAsia" w:asciiTheme="minorEastAsia" w:hAnsiTheme="minorEastAsia"/>
          <w:color w:val="auto"/>
          <w:kern w:val="20"/>
          <w:sz w:val="24"/>
          <w:szCs w:val="24"/>
          <w:lang w:eastAsia="zh-CN"/>
        </w:rPr>
        <w:t>22</w:t>
      </w:r>
      <w:r>
        <w:rPr>
          <w:rFonts w:hint="eastAsia" w:asciiTheme="minorEastAsia" w:hAnsiTheme="minorEastAsia"/>
          <w:color w:val="auto"/>
          <w:kern w:val="20"/>
          <w:sz w:val="24"/>
          <w:szCs w:val="24"/>
        </w:rPr>
        <w:t>号修改）第二条第一款</w:t>
      </w:r>
    </w:p>
    <w:p>
      <w:pPr>
        <w:spacing w:line="578" w:lineRule="exact"/>
        <w:ind w:firstLine="480"/>
        <w:contextualSpacing/>
        <w:rPr>
          <w:rFonts w:hint="default" w:asciiTheme="minorEastAsia" w:hAnsiTheme="minorEastAsia"/>
          <w:color w:val="auto"/>
          <w:kern w:val="20"/>
          <w:sz w:val="24"/>
          <w:szCs w:val="24"/>
        </w:rPr>
      </w:pPr>
      <w:r>
        <w:rPr>
          <w:rFonts w:hint="eastAsia" w:asciiTheme="minorEastAsia" w:hAnsiTheme="minorEastAsia"/>
          <w:color w:val="auto"/>
          <w:kern w:val="20"/>
          <w:sz w:val="24"/>
          <w:szCs w:val="24"/>
          <w:lang w:val="en-US" w:eastAsia="zh-CN"/>
        </w:rPr>
        <w:t>“</w:t>
      </w:r>
      <w:r>
        <w:rPr>
          <w:rFonts w:hint="eastAsia" w:asciiTheme="minorEastAsia" w:hAnsiTheme="minorEastAsia"/>
          <w:color w:val="auto"/>
          <w:kern w:val="20"/>
          <w:sz w:val="24"/>
          <w:szCs w:val="24"/>
        </w:rPr>
        <w:t>非居民企业股权转让选择特殊性税务处理的，应于股权转让合同或协议生效且完成工商变更登记手续30日内进行备案。属于《通知》第七条第（一）项情形的，由转让方向被转让企业所在地所得税主管税务机关备案；属于《通知》第七条第（二）项情形的，由受让方向其所在地所得税主管税务机关备案。</w:t>
      </w:r>
      <w:r>
        <w:rPr>
          <w:rFonts w:hint="eastAsia" w:asciiTheme="minorEastAsia" w:hAnsiTheme="minorEastAsia"/>
          <w:color w:val="auto"/>
          <w:kern w:val="20"/>
          <w:sz w:val="24"/>
          <w:szCs w:val="24"/>
          <w:lang w:val="en-US" w:eastAsia="zh-CN"/>
        </w:rPr>
        <w:t>”</w:t>
      </w:r>
    </w:p>
    <w:p>
      <w:pPr>
        <w:pStyle w:val="3"/>
        <w:ind w:firstLine="552"/>
        <w:rPr>
          <w:color w:val="auto"/>
        </w:rPr>
      </w:pPr>
      <w:r>
        <w:rPr>
          <w:rFonts w:hint="eastAsia"/>
          <w:color w:val="auto"/>
        </w:rPr>
        <w:t>五、办理材料</w:t>
      </w:r>
    </w:p>
    <w:tbl>
      <w:tblPr>
        <w:tblStyle w:val="15"/>
        <w:tblW w:w="8712" w:type="dxa"/>
        <w:tblInd w:w="-1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75"/>
        <w:gridCol w:w="2827"/>
        <w:gridCol w:w="636"/>
        <w:gridCol w:w="937"/>
        <w:gridCol w:w="1126"/>
        <w:gridCol w:w="1421"/>
        <w:gridCol w:w="11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575"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827"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36"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37"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26"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421"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ind w:firstLine="0" w:firstLineChars="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90"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ind w:firstLine="0" w:firstLineChars="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cs="宋体"/>
                <w:color w:val="auto"/>
                <w:kern w:val="0"/>
                <w:sz w:val="18"/>
                <w:szCs w:val="18"/>
              </w:rPr>
            </w:pPr>
            <w:r>
              <w:rPr>
                <w:rFonts w:hint="eastAsia" w:cs="宋体"/>
                <w:color w:val="auto"/>
                <w:kern w:val="0"/>
                <w:sz w:val="18"/>
                <w:szCs w:val="18"/>
              </w:rPr>
              <w:t>1</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cs="宋体"/>
                <w:color w:val="auto"/>
                <w:kern w:val="0"/>
                <w:sz w:val="18"/>
                <w:szCs w:val="18"/>
              </w:rPr>
            </w:pPr>
            <w:r>
              <w:rPr>
                <w:rFonts w:hint="eastAsia" w:cs="宋体"/>
                <w:color w:val="auto"/>
                <w:kern w:val="0"/>
                <w:sz w:val="18"/>
                <w:szCs w:val="18"/>
              </w:rPr>
              <w:t>《非居民企业股权转让适用特殊性税务处理备案表》</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2</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cs="宋体"/>
                <w:color w:val="auto"/>
                <w:kern w:val="0"/>
                <w:sz w:val="18"/>
                <w:szCs w:val="18"/>
              </w:rPr>
            </w:pPr>
            <w:r>
              <w:rPr>
                <w:rFonts w:hint="eastAsia" w:cs="宋体"/>
                <w:color w:val="auto"/>
                <w:kern w:val="0"/>
                <w:sz w:val="18"/>
                <w:szCs w:val="18"/>
              </w:rPr>
              <w:t>留存1份</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cs="宋体"/>
                <w:color w:val="auto"/>
                <w:kern w:val="0"/>
                <w:sz w:val="18"/>
                <w:szCs w:val="18"/>
              </w:rPr>
            </w:pPr>
            <w:r>
              <w:rPr>
                <w:rFonts w:hint="eastAsia" w:cs="宋体"/>
                <w:color w:val="auto"/>
                <w:kern w:val="0"/>
                <w:sz w:val="18"/>
                <w:szCs w:val="18"/>
              </w:rPr>
              <w:t>2</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cs="宋体"/>
                <w:color w:val="auto"/>
                <w:kern w:val="0"/>
                <w:sz w:val="18"/>
                <w:szCs w:val="18"/>
              </w:rPr>
            </w:pPr>
            <w:r>
              <w:rPr>
                <w:rFonts w:hint="eastAsia" w:cs="宋体"/>
                <w:color w:val="auto"/>
                <w:kern w:val="0"/>
                <w:sz w:val="18"/>
                <w:szCs w:val="18"/>
              </w:rPr>
              <w:t>转让方非居民企业向主管税务机关书面承诺在3年（含3年）内不转让其拥有受让方非居民企业的股权的承诺书</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rPr>
                <w:rFonts w:cs="宋体"/>
                <w:color w:val="auto"/>
                <w:kern w:val="0"/>
                <w:sz w:val="18"/>
                <w:szCs w:val="18"/>
              </w:rPr>
            </w:pPr>
            <w:r>
              <w:rPr>
                <w:rFonts w:hint="eastAsia" w:cs="宋体"/>
                <w:color w:val="auto"/>
                <w:kern w:val="0"/>
                <w:sz w:val="18"/>
                <w:szCs w:val="18"/>
              </w:rPr>
              <w:t>条件报送</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符合《通知》第七条第（一）项的提供</w:t>
            </w: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股权转让业务总体情况说明，应包括股权转让的商业目的、证明股权转让符合特殊性税务处理条件、股权转让前后的公司股权架构图等资料</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股权转让业务合同或协议（外文文本的同时附送中文译本）</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hint="eastAsia" w:eastAsia="宋体" w:cs="宋体"/>
                <w:color w:val="auto"/>
                <w:kern w:val="0"/>
                <w:sz w:val="18"/>
                <w:szCs w:val="18"/>
                <w:lang w:val="en-US" w:eastAsia="zh-CN"/>
              </w:rPr>
            </w:pPr>
            <w:r>
              <w:rPr>
                <w:rFonts w:hint="eastAsia" w:cs="宋体"/>
                <w:color w:val="auto"/>
                <w:kern w:val="0"/>
                <w:sz w:val="18"/>
                <w:szCs w:val="18"/>
                <w:lang w:val="en-US" w:eastAsia="zh-CN"/>
              </w:rPr>
              <w:t>5</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市场监管部门等部门核准企业股权变更事项证明资料</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575"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left"/>
              <w:rPr>
                <w:rFonts w:hint="default" w:cs="宋体"/>
                <w:color w:val="auto"/>
                <w:kern w:val="0"/>
                <w:sz w:val="18"/>
                <w:szCs w:val="18"/>
                <w:lang w:val="en-US" w:eastAsia="zh-CN"/>
              </w:rPr>
            </w:pPr>
            <w:r>
              <w:rPr>
                <w:rFonts w:hint="eastAsia" w:cs="宋体"/>
                <w:color w:val="auto"/>
                <w:kern w:val="0"/>
                <w:sz w:val="18"/>
                <w:szCs w:val="18"/>
                <w:lang w:val="en-US" w:eastAsia="zh-CN"/>
              </w:rPr>
              <w:t>6</w:t>
            </w:r>
          </w:p>
        </w:tc>
        <w:tc>
          <w:tcPr>
            <w:tcW w:w="282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截至股权转让时，被转让企业历年的未分配利润资料</w:t>
            </w:r>
          </w:p>
        </w:tc>
        <w:tc>
          <w:tcPr>
            <w:tcW w:w="63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1</w:t>
            </w:r>
          </w:p>
        </w:tc>
        <w:tc>
          <w:tcPr>
            <w:tcW w:w="937"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26" w:type="dxa"/>
            <w:shd w:val="clear" w:color="auto" w:fill="auto"/>
            <w:vAlign w:val="center"/>
          </w:tcPr>
          <w:p>
            <w:pPr>
              <w:keepNext w:val="0"/>
              <w:keepLines w:val="0"/>
              <w:pageBreakBefore w:val="0"/>
              <w:kinsoku/>
              <w:wordWrap/>
              <w:overflowPunct/>
              <w:topLinePunct w:val="0"/>
              <w:autoSpaceDE/>
              <w:autoSpaceDN/>
              <w:bidi w:val="0"/>
              <w:spacing w:line="280" w:lineRule="exact"/>
              <w:ind w:firstLine="0" w:firstLineChars="0"/>
              <w:contextualSpacing/>
              <w:jc w:val="center"/>
              <w:rPr>
                <w:rFonts w:cs="宋体"/>
                <w:color w:val="auto"/>
                <w:kern w:val="0"/>
                <w:sz w:val="18"/>
                <w:szCs w:val="18"/>
              </w:rPr>
            </w:pPr>
          </w:p>
        </w:tc>
        <w:tc>
          <w:tcPr>
            <w:tcW w:w="1421" w:type="dxa"/>
            <w:vAlign w:val="center"/>
          </w:tcPr>
          <w:p>
            <w:pPr>
              <w:keepNext w:val="0"/>
              <w:keepLines w:val="0"/>
              <w:pageBreakBefore w:val="0"/>
              <w:kinsoku/>
              <w:wordWrap/>
              <w:overflowPunct/>
              <w:topLinePunct w:val="0"/>
              <w:autoSpaceDE/>
              <w:autoSpaceDN/>
              <w:bidi w:val="0"/>
              <w:spacing w:line="280" w:lineRule="exact"/>
              <w:ind w:left="0" w:leftChars="0" w:firstLine="0" w:firstLineChars="0"/>
              <w:contextualSpacing/>
              <w:jc w:val="center"/>
              <w:textAlignment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9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rPr>
                <w:rFonts w:hint="eastAsia" w:cs="宋体"/>
                <w:color w:val="auto"/>
                <w:kern w:val="0"/>
                <w:sz w:val="18"/>
                <w:szCs w:val="18"/>
              </w:rPr>
            </w:pPr>
          </w:p>
        </w:tc>
      </w:tr>
    </w:tbl>
    <w:p>
      <w:pPr>
        <w:pStyle w:val="3"/>
        <w:numPr>
          <w:ilvl w:val="0"/>
          <w:numId w:val="4"/>
        </w:numPr>
        <w:ind w:firstLine="552"/>
        <w:rPr>
          <w:color w:val="auto"/>
        </w:rPr>
      </w:pPr>
      <w:r>
        <w:rPr>
          <w:color w:val="auto"/>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r>
        <w:rPr>
          <w:rStyle w:val="45"/>
          <w:rFonts w:ascii="楷体" w:hAnsi="楷体"/>
          <w:bCs w:val="0"/>
          <w:color w:val="auto"/>
        </w:rPr>
        <w:drawing>
          <wp:inline distT="0" distB="0" distL="114300" distR="114300">
            <wp:extent cx="5268595" cy="1318260"/>
            <wp:effectExtent l="0" t="0" r="8255" b="15240"/>
            <wp:docPr id="21" name="图片 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
                    <pic:cNvPicPr>
                      <a:picLocks noChangeAspect="1"/>
                    </pic:cNvPicPr>
                  </pic:nvPicPr>
                  <pic:blipFill>
                    <a:blip r:embed="rId10"/>
                    <a:stretch>
                      <a:fillRect/>
                    </a:stretch>
                  </pic:blipFill>
                  <pic:spPr>
                    <a:xfrm>
                      <a:off x="0" y="0"/>
                      <a:ext cx="5268595" cy="1318260"/>
                    </a:xfrm>
                    <a:prstGeom prst="rect">
                      <a:avLst/>
                    </a:prstGeom>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sz w:val="24"/>
          <w:szCs w:val="24"/>
        </w:rPr>
      </w:pPr>
      <w:r>
        <w:rPr>
          <w:rFonts w:hint="eastAsia"/>
          <w:color w:val="auto"/>
          <w:sz w:val="24"/>
          <w:szCs w:val="24"/>
        </w:rPr>
        <w:t>1.</w:t>
      </w:r>
      <w:r>
        <w:rPr>
          <w:rStyle w:val="22"/>
          <w:rFonts w:ascii="宋体" w:hAnsi="宋体" w:eastAsia="宋体"/>
          <w:color w:val="auto"/>
          <w:u w:val="none"/>
        </w:rPr>
        <w:t>A03047</w:t>
      </w:r>
      <w:r>
        <w:rPr>
          <w:rFonts w:hint="eastAsia" w:cs="宋体"/>
          <w:color w:val="auto"/>
          <w:kern w:val="0"/>
          <w:sz w:val="24"/>
          <w:szCs w:val="24"/>
        </w:rPr>
        <w:t>《非居民企业股权转让适用特殊性税务处理备案表》</w:t>
      </w:r>
    </w:p>
    <w:p>
      <w:pPr>
        <w:pStyle w:val="3"/>
        <w:ind w:firstLine="552"/>
        <w:rPr>
          <w:color w:val="auto"/>
        </w:rPr>
      </w:pPr>
      <w:r>
        <w:rPr>
          <w:rFonts w:hint="eastAsia"/>
          <w:color w:val="auto"/>
        </w:rPr>
        <w:t>九、注意事项</w:t>
      </w:r>
    </w:p>
    <w:p>
      <w:pPr>
        <w:spacing w:line="578" w:lineRule="exact"/>
        <w:ind w:firstLine="480"/>
        <w:contextualSpacing/>
        <w:rPr>
          <w:rFonts w:hint="eastAsia" w:ascii="宋体" w:hAnsi="宋体" w:eastAsia="宋体" w:cs="宋体"/>
          <w:color w:val="auto"/>
          <w:sz w:val="24"/>
          <w:szCs w:val="24"/>
        </w:rPr>
      </w:pPr>
      <w:r>
        <w:rPr>
          <w:rFonts w:hint="eastAsia" w:ascii="宋体" w:hAnsi="宋体" w:eastAsia="宋体" w:cs="宋体"/>
          <w:color w:val="auto"/>
          <w:sz w:val="24"/>
          <w:szCs w:val="24"/>
        </w:rPr>
        <w:t>1.办结后，纳税服务部门应当于1个工作日内将资料转县（市、区）局国际税收管理部门进行后续管理。</w:t>
      </w:r>
    </w:p>
    <w:p>
      <w:pPr>
        <w:spacing w:line="578" w:lineRule="exact"/>
        <w:ind w:firstLine="480"/>
        <w:contextualSpacing/>
        <w:rPr>
          <w:rFonts w:hint="eastAsia" w:ascii="宋体" w:hAnsi="宋体" w:eastAsia="宋体" w:cs="宋体"/>
          <w:color w:val="auto"/>
          <w:sz w:val="24"/>
          <w:szCs w:val="24"/>
        </w:rPr>
      </w:pPr>
      <w:r>
        <w:rPr>
          <w:rFonts w:hint="eastAsia" w:ascii="宋体" w:hAnsi="宋体" w:eastAsia="宋体" w:cs="宋体"/>
          <w:color w:val="auto"/>
          <w:sz w:val="24"/>
          <w:szCs w:val="24"/>
        </w:rPr>
        <w:t>2.县（市、区）局国际税收管理部门协同税源管理部门调查核实，25个工作日内将全部备案资料以及处理意见传递市局国际税收管理部门。</w:t>
      </w:r>
    </w:p>
    <w:p>
      <w:pPr>
        <w:spacing w:line="578" w:lineRule="exact"/>
        <w:ind w:firstLine="480"/>
        <w:contextualSpacing/>
        <w:rPr>
          <w:rFonts w:hint="eastAsia" w:ascii="宋体" w:hAnsi="宋体" w:eastAsia="宋体" w:cs="宋体"/>
          <w:color w:val="auto"/>
          <w:sz w:val="24"/>
          <w:szCs w:val="24"/>
        </w:rPr>
      </w:pPr>
      <w:r>
        <w:rPr>
          <w:rFonts w:hint="eastAsia" w:ascii="宋体" w:hAnsi="宋体" w:eastAsia="宋体" w:cs="宋体"/>
          <w:color w:val="auto"/>
          <w:sz w:val="24"/>
          <w:szCs w:val="24"/>
        </w:rPr>
        <w:t>3.市局国际税收管理部门4个工作日内审核并将全部备案资料以及处理意见上报省局国际税收管理部门。</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4.受让方和被转让企业不在同一省的，受让方所在地省税务机关收到主管税务机关意见后30日内，应向被转让企业所在地省税务机关发函。</w:t>
      </w:r>
    </w:p>
    <w:p>
      <w:pPr>
        <w:ind w:firstLine="472"/>
        <w:rPr>
          <w:rFonts w:hint="eastAsia"/>
          <w:color w:val="auto"/>
          <w:lang w:val="en-US" w:eastAsia="zh-CN"/>
        </w:rPr>
      </w:pPr>
      <w:r>
        <w:rPr>
          <w:rFonts w:hint="eastAsia"/>
          <w:color w:val="auto"/>
          <w:lang w:val="en-US" w:eastAsia="zh-CN"/>
        </w:rPr>
        <w:t>5.纳税人对报送资料的真实性和合法性承担责任。</w:t>
      </w:r>
    </w:p>
    <w:p>
      <w:pPr>
        <w:ind w:firstLine="472"/>
        <w:rPr>
          <w:rFonts w:hint="eastAsia"/>
          <w:color w:val="auto"/>
          <w:lang w:val="en-US" w:eastAsia="zh-CN"/>
        </w:rPr>
      </w:pPr>
      <w:r>
        <w:rPr>
          <w:rFonts w:hint="eastAsia"/>
          <w:color w:val="auto"/>
          <w:lang w:val="en-US" w:eastAsia="zh-CN"/>
        </w:rPr>
        <w:t>6.最多跑一次是在资料完整且符合法定受理条件的前提下，最多只需要到税务机关跑一次。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left="0" w:leftChars="0" w:firstLine="552" w:firstLineChars="200"/>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494663"/>
    <w:multiLevelType w:val="singleLevel"/>
    <w:tmpl w:val="E2494663"/>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2FD74F2"/>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2019-10-31T04:49:53Z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