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0531"/>
      <w:r>
        <w:rPr>
          <w:rFonts w:hint="eastAsia" w:ascii="黑体" w:hAnsi="黑体"/>
          <w:color w:val="auto"/>
        </w:rPr>
        <w:t>1.3.4.1.3</w:t>
      </w:r>
      <w:r>
        <w:rPr>
          <w:rFonts w:hint="eastAsia"/>
          <w:color w:val="auto"/>
        </w:rPr>
        <w:t>非居民个人所得税代扣代缴申报</w:t>
      </w:r>
      <w:bookmarkEnd w:id="0"/>
    </w:p>
    <w:p>
      <w:pPr>
        <w:pStyle w:val="3"/>
        <w:ind w:firstLine="552"/>
        <w:rPr>
          <w:color w:val="auto"/>
        </w:rPr>
      </w:pPr>
      <w:r>
        <w:rPr>
          <w:color w:val="auto"/>
        </w:rPr>
        <w:t>一、事项名称</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非居民个人所得税代扣代缴申报</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left="472" w:leftChars="200" w:firstLine="0" w:firstLineChars="0"/>
        <w:rPr>
          <w:color w:val="auto"/>
        </w:rPr>
      </w:pPr>
      <w:r>
        <w:rPr>
          <w:rFonts w:hint="eastAsia"/>
          <w:color w:val="auto"/>
        </w:rPr>
        <w:t>非居民个人所得税代扣代缴申报是指扣缴义务</w:t>
      </w:r>
      <w:r>
        <w:rPr>
          <w:color w:val="auto"/>
        </w:rPr>
        <w:t>人</w:t>
      </w:r>
      <w:r>
        <w:rPr>
          <w:rFonts w:hint="eastAsia"/>
          <w:color w:val="auto"/>
        </w:rPr>
        <w:t>向非居民个人支付应税</w:t>
      </w:r>
      <w:r>
        <w:rPr>
          <w:color w:val="auto"/>
        </w:rPr>
        <w:t>所得</w:t>
      </w:r>
      <w:r>
        <w:rPr>
          <w:rFonts w:hint="eastAsia"/>
          <w:color w:val="auto"/>
        </w:rPr>
        <w:t>时，</w:t>
      </w:r>
    </w:p>
    <w:p>
      <w:pPr>
        <w:ind w:firstLine="0" w:firstLineChars="0"/>
        <w:rPr>
          <w:color w:val="auto"/>
        </w:rPr>
      </w:pPr>
      <w:r>
        <w:rPr>
          <w:rFonts w:hint="eastAsia"/>
          <w:color w:val="auto"/>
        </w:rPr>
        <w:t>扣缴义务人应当履行</w:t>
      </w:r>
      <w:r>
        <w:rPr>
          <w:color w:val="auto"/>
        </w:rPr>
        <w:t>代扣代缴</w:t>
      </w:r>
      <w:r>
        <w:rPr>
          <w:rFonts w:hint="eastAsia"/>
          <w:color w:val="auto"/>
        </w:rPr>
        <w:t>应税所得个人所得税的义务，并在次月十五日内向主管税务机关报送《个人所得税扣缴申报表》和主管税务机关要求报送的其他有关资料。实行非居民个人所得税代扣代缴申报的应税所得包括：工资薪金所得，劳务</w:t>
      </w:r>
      <w:r>
        <w:rPr>
          <w:color w:val="auto"/>
        </w:rPr>
        <w:t>报酬所得</w:t>
      </w:r>
      <w:r>
        <w:rPr>
          <w:rFonts w:hint="eastAsia"/>
          <w:color w:val="auto"/>
        </w:rPr>
        <w:t>，稿酬</w:t>
      </w:r>
      <w:r>
        <w:rPr>
          <w:color w:val="auto"/>
        </w:rPr>
        <w:t>所得</w:t>
      </w:r>
      <w:r>
        <w:rPr>
          <w:rFonts w:hint="eastAsia"/>
          <w:color w:val="auto"/>
        </w:rPr>
        <w:t>，</w:t>
      </w:r>
      <w:r>
        <w:rPr>
          <w:color w:val="auto"/>
        </w:rPr>
        <w:t>特许权使用费所得</w:t>
      </w:r>
      <w:r>
        <w:rPr>
          <w:rFonts w:hint="eastAsia"/>
          <w:color w:val="auto"/>
        </w:rPr>
        <w:t>，财产租赁所得，财产转让所得，利息、股息、红利所得，偶然所得。</w:t>
      </w:r>
    </w:p>
    <w:p>
      <w:pPr>
        <w:ind w:left="472" w:leftChars="200" w:firstLine="0" w:firstLineChars="0"/>
        <w:rPr>
          <w:color w:val="auto"/>
        </w:rPr>
      </w:pPr>
      <w:r>
        <w:rPr>
          <w:rFonts w:hint="eastAsia"/>
          <w:color w:val="auto"/>
        </w:rPr>
        <w:t>非居民个人的工资、薪金所得，以每月收入额减除费用五千元后的余额为应纳税</w:t>
      </w:r>
    </w:p>
    <w:p>
      <w:pPr>
        <w:ind w:firstLine="0" w:firstLineChars="0"/>
        <w:rPr>
          <w:color w:val="auto"/>
        </w:rPr>
      </w:pPr>
      <w:r>
        <w:rPr>
          <w:rFonts w:hint="eastAsia"/>
          <w:color w:val="auto"/>
        </w:rPr>
        <w:t>所得额；劳务报酬所得、稿酬所得、特许权使用费所得，以每次收入额为应纳税所得额，适用个人所得税税率表三计算应纳税额。劳务报酬所得、稿酬所得、特许权使用费所得以收入减除百分之二十的费用后的余额为收入额；其中，稿酬所得的收入额减按百分之七十计算。</w:t>
      </w:r>
    </w:p>
    <w:p>
      <w:pPr>
        <w:ind w:left="472" w:leftChars="200" w:firstLine="0" w:firstLineChars="0"/>
        <w:rPr>
          <w:color w:val="auto"/>
        </w:rPr>
      </w:pPr>
      <w:r>
        <w:rPr>
          <w:rFonts w:hint="eastAsia"/>
          <w:color w:val="auto"/>
        </w:rPr>
        <w:t>非居民</w:t>
      </w:r>
      <w:r>
        <w:rPr>
          <w:color w:val="auto"/>
        </w:rPr>
        <w:t>个人的</w:t>
      </w:r>
      <w:r>
        <w:rPr>
          <w:rFonts w:hint="eastAsia"/>
          <w:color w:val="auto"/>
        </w:rPr>
        <w:t>财产租赁所得，每次收入不超过四千元的，减除费用八百元；四千</w:t>
      </w:r>
    </w:p>
    <w:p>
      <w:pPr>
        <w:ind w:firstLine="0" w:firstLineChars="0"/>
        <w:rPr>
          <w:color w:val="auto"/>
        </w:rPr>
      </w:pPr>
      <w:r>
        <w:rPr>
          <w:rFonts w:hint="eastAsia"/>
          <w:color w:val="auto"/>
        </w:rPr>
        <w:t>元以上的，减除百分之二十的费用，其余额为应纳税所得额；财产转让所得，以转让财产的收入额减除财产原值和合理费用后的余额，为应纳税所得额；利息、股息、红利所得，偶然所得，以每次收入额为应纳税所得额。</w:t>
      </w:r>
    </w:p>
    <w:p>
      <w:pPr>
        <w:ind w:left="472" w:leftChars="200" w:firstLine="0" w:firstLineChars="0"/>
        <w:rPr>
          <w:color w:val="auto"/>
        </w:rPr>
      </w:pPr>
      <w:r>
        <w:rPr>
          <w:rFonts w:hint="eastAsia"/>
          <w:color w:val="auto"/>
        </w:rPr>
        <w:t>非居民个人在一个纳税年度内税款扣缴方法保持不变，达到居民个人条件时，应</w:t>
      </w:r>
    </w:p>
    <w:p>
      <w:pPr>
        <w:ind w:firstLine="0" w:firstLineChars="0"/>
        <w:rPr>
          <w:color w:val="auto"/>
        </w:rPr>
      </w:pPr>
      <w:r>
        <w:rPr>
          <w:rFonts w:hint="eastAsia"/>
          <w:color w:val="auto"/>
        </w:rPr>
        <w:t>当告知扣缴义务人基础信息变化情况，年度终了后按照居民个人有关规定办理汇算清缴。</w:t>
      </w:r>
    </w:p>
    <w:p>
      <w:pPr>
        <w:ind w:left="472" w:leftChars="200" w:firstLine="0" w:firstLineChars="0"/>
        <w:rPr>
          <w:color w:val="auto"/>
        </w:rPr>
      </w:pPr>
      <w:r>
        <w:rPr>
          <w:rFonts w:hint="eastAsia"/>
          <w:color w:val="auto"/>
        </w:rPr>
        <w:t>当应税所得个人既存在优惠减免，又存在非居民享受税收协定待遇减免时，扣缴</w:t>
      </w:r>
    </w:p>
    <w:p>
      <w:pPr>
        <w:ind w:firstLine="0" w:firstLineChars="0"/>
        <w:rPr>
          <w:color w:val="auto"/>
        </w:rPr>
      </w:pPr>
      <w:r>
        <w:rPr>
          <w:rFonts w:hint="eastAsia"/>
          <w:color w:val="auto"/>
        </w:rPr>
        <w:t>义务人可以根据应税所得个人选择优惠度最高的享受减免进行申报表填报。</w:t>
      </w:r>
    </w:p>
    <w:p>
      <w:pPr>
        <w:ind w:left="472" w:leftChars="200" w:firstLine="0" w:firstLineChars="0"/>
        <w:rPr>
          <w:color w:val="auto"/>
        </w:rPr>
      </w:pPr>
      <w:r>
        <w:rPr>
          <w:color w:val="auto"/>
        </w:rPr>
        <w:t>源泉扣缴和指定扣缴情况下，非居民纳税人认为自身符合享受协定待遇条件，需</w:t>
      </w:r>
    </w:p>
    <w:p>
      <w:pPr>
        <w:ind w:firstLine="0" w:firstLineChars="0"/>
        <w:rPr>
          <w:color w:val="auto"/>
        </w:rPr>
      </w:pPr>
      <w:r>
        <w:rPr>
          <w:color w:val="auto"/>
        </w:rPr>
        <w:t>要享受协定待遇的，应当主动向扣缴义务人提出，并向扣缴义务人提供国家税务总局公告2015年第60号第七条规定的报告表和资料。扣缴义务人在代扣代缴申报时，应先在扣缴端完成“非居民享受税收协定待遇”报告，并将纳税人提供的资料留存备查。</w:t>
      </w:r>
    </w:p>
    <w:p>
      <w:pPr>
        <w:pStyle w:val="3"/>
        <w:ind w:firstLine="552"/>
        <w:rPr>
          <w:color w:val="auto"/>
        </w:rPr>
      </w:pPr>
      <w:r>
        <w:rPr>
          <w:rFonts w:hint="eastAsia"/>
          <w:color w:val="auto"/>
        </w:rPr>
        <w:t>四、设定依据</w:t>
      </w:r>
    </w:p>
    <w:p>
      <w:pPr>
        <w:ind w:firstLine="472" w:firstLineChars="200"/>
        <w:rPr>
          <w:rFonts w:hint="default"/>
          <w:color w:val="auto"/>
          <w:lang w:eastAsia="zh-CN"/>
        </w:rPr>
      </w:pPr>
      <w:r>
        <w:rPr>
          <w:rFonts w:hint="eastAsia"/>
          <w:color w:val="auto"/>
          <w:lang w:val="en-US" w:eastAsia="zh-CN"/>
        </w:rPr>
        <w:t>1.</w:t>
      </w:r>
      <w:r>
        <w:rPr>
          <w:rFonts w:hint="default"/>
          <w:color w:val="auto"/>
          <w:lang w:eastAsia="zh-CN"/>
        </w:rPr>
        <w:t>《中华人民共和国税收征收管理法》第二十五条第二款</w:t>
      </w:r>
    </w:p>
    <w:p>
      <w:pPr>
        <w:ind w:firstLine="472" w:firstLineChars="200"/>
        <w:rPr>
          <w:rFonts w:hint="eastAsia" w:eastAsia="宋体"/>
          <w:color w:val="auto"/>
          <w:lang w:eastAsia="zh-CN"/>
        </w:rPr>
      </w:pPr>
      <w:r>
        <w:rPr>
          <w:rFonts w:hint="eastAsia"/>
          <w:color w:val="auto"/>
          <w:lang w:eastAsia="zh-CN"/>
        </w:rPr>
        <w:t>“</w:t>
      </w: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r>
        <w:rPr>
          <w:rFonts w:hint="eastAsia"/>
          <w:color w:val="auto"/>
          <w:lang w:eastAsia="zh-CN"/>
        </w:rPr>
        <w:t>”</w:t>
      </w:r>
    </w:p>
    <w:p>
      <w:pPr>
        <w:ind w:firstLine="472" w:firstLineChars="200"/>
        <w:rPr>
          <w:rFonts w:hint="default"/>
          <w:color w:val="auto"/>
          <w:lang w:eastAsia="zh-CN"/>
        </w:rPr>
      </w:pPr>
      <w:r>
        <w:rPr>
          <w:rFonts w:hint="eastAsia"/>
          <w:color w:val="auto"/>
          <w:lang w:val="en-US" w:eastAsia="zh-CN"/>
        </w:rPr>
        <w:t>2.</w:t>
      </w:r>
      <w:r>
        <w:rPr>
          <w:rFonts w:hint="default"/>
          <w:color w:val="auto"/>
          <w:lang w:eastAsia="zh-CN"/>
        </w:rPr>
        <w:t>《中华人民共和国个人所得税法》第十条第二款</w:t>
      </w:r>
    </w:p>
    <w:p>
      <w:pPr>
        <w:ind w:firstLine="472" w:firstLineChars="200"/>
        <w:rPr>
          <w:rFonts w:hint="default"/>
          <w:color w:val="auto"/>
          <w:lang w:val="en-US" w:eastAsia="zh-CN"/>
        </w:rPr>
      </w:pPr>
      <w:r>
        <w:rPr>
          <w:rFonts w:hint="eastAsia"/>
          <w:color w:val="auto"/>
          <w:lang w:eastAsia="zh-CN"/>
        </w:rPr>
        <w:t>“</w:t>
      </w:r>
      <w:r>
        <w:rPr>
          <w:rFonts w:hint="eastAsia"/>
          <w:color w:val="auto"/>
        </w:rPr>
        <w:t>有下列情形之一的，纳税人应当依法办理纳税申报：（二）取得应税所得没有扣缴义务人</w:t>
      </w:r>
      <w:r>
        <w:rPr>
          <w:rFonts w:hint="eastAsia"/>
          <w:color w:val="auto"/>
          <w:lang w:eastAsia="zh-CN"/>
        </w:rPr>
        <w:t>。</w:t>
      </w:r>
      <w:r>
        <w:rPr>
          <w:rFonts w:hint="default"/>
          <w:color w:val="auto"/>
          <w:lang w:val="en-US" w:eastAsia="zh-CN"/>
        </w:rPr>
        <w:t>”</w:t>
      </w:r>
    </w:p>
    <w:p>
      <w:pPr>
        <w:ind w:firstLine="472" w:firstLineChars="200"/>
        <w:rPr>
          <w:rFonts w:hint="default"/>
          <w:color w:val="auto"/>
          <w:lang w:eastAsia="zh-CN"/>
        </w:rPr>
      </w:pPr>
      <w:r>
        <w:rPr>
          <w:rFonts w:hint="eastAsia"/>
          <w:color w:val="auto"/>
          <w:lang w:val="en-US" w:eastAsia="zh-CN"/>
        </w:rPr>
        <w:t>3.</w:t>
      </w:r>
      <w:r>
        <w:rPr>
          <w:rFonts w:hint="default"/>
          <w:color w:val="auto"/>
          <w:lang w:eastAsia="zh-CN"/>
        </w:rPr>
        <w:t>《中华人民共和国个人所得税法实施条例》第二十四条、第二十六条</w:t>
      </w:r>
    </w:p>
    <w:p>
      <w:pPr>
        <w:ind w:firstLine="472" w:firstLineChars="200"/>
        <w:rPr>
          <w:rFonts w:hint="eastAsia"/>
          <w:color w:val="auto"/>
        </w:rPr>
      </w:pPr>
      <w:r>
        <w:rPr>
          <w:rFonts w:hint="default"/>
          <w:color w:val="auto"/>
          <w:lang w:val="en-US" w:eastAsia="zh-CN"/>
        </w:rPr>
        <w:t>“</w:t>
      </w:r>
      <w:r>
        <w:rPr>
          <w:rFonts w:hint="eastAsia"/>
          <w:color w:val="auto"/>
        </w:rPr>
        <w:t>第二十四条　扣缴义务人向个人支付应税款项时，应当依照个人所得税法规定预扣或者代扣税款，按时缴库，并专项记载备查。</w:t>
      </w:r>
      <w:r>
        <w:rPr>
          <w:rFonts w:hint="eastAsia"/>
          <w:color w:val="auto"/>
        </w:rPr>
        <w:br w:type="textWrapping"/>
      </w:r>
      <w:r>
        <w:rPr>
          <w:rFonts w:hint="eastAsia"/>
          <w:color w:val="auto"/>
        </w:rPr>
        <w:t>　　前款所称支付，包括现金支付、汇拨支付、转账支付和以有价证券、实物以及其他形式的支付。</w:t>
      </w:r>
    </w:p>
    <w:p>
      <w:pPr>
        <w:ind w:firstLine="472" w:firstLineChars="200"/>
        <w:rPr>
          <w:rFonts w:hint="eastAsia" w:eastAsia="宋体"/>
          <w:color w:val="auto"/>
          <w:lang w:val="en-US" w:eastAsia="zh-CN"/>
        </w:rPr>
      </w:pPr>
      <w:r>
        <w:rPr>
          <w:rFonts w:hint="eastAsia"/>
          <w:color w:val="auto"/>
        </w:rPr>
        <w:t>第二十六条　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r>
        <w:rPr>
          <w:rFonts w:hint="default"/>
          <w:color w:val="auto"/>
          <w:lang w:val="en-US" w:eastAsia="zh-CN"/>
        </w:rPr>
        <w:t>”</w:t>
      </w:r>
    </w:p>
    <w:p>
      <w:pPr>
        <w:ind w:firstLine="472" w:firstLineChars="200"/>
        <w:rPr>
          <w:rFonts w:hint="default"/>
          <w:color w:val="auto"/>
          <w:lang w:eastAsia="zh-CN"/>
        </w:rPr>
      </w:pPr>
      <w:r>
        <w:rPr>
          <w:rFonts w:hint="eastAsia"/>
          <w:color w:val="auto"/>
          <w:lang w:val="en-US" w:eastAsia="zh-CN"/>
        </w:rPr>
        <w:t>4.</w:t>
      </w:r>
      <w:r>
        <w:rPr>
          <w:rFonts w:hint="default"/>
          <w:color w:val="auto"/>
          <w:lang w:eastAsia="zh-CN"/>
        </w:rPr>
        <w:t>《国家税务总局关于发布〈个人所得税扣缴申报管理办法（试行）〉的公告》（国家税务总局公告</w:t>
      </w:r>
      <w:r>
        <w:rPr>
          <w:rFonts w:hint="eastAsia"/>
          <w:color w:val="auto"/>
          <w:lang w:eastAsia="zh-CN"/>
        </w:rPr>
        <w:t>2018</w:t>
      </w:r>
      <w:r>
        <w:rPr>
          <w:rFonts w:hint="default"/>
          <w:color w:val="auto"/>
          <w:lang w:eastAsia="zh-CN"/>
        </w:rPr>
        <w:t>年第</w:t>
      </w:r>
      <w:r>
        <w:rPr>
          <w:rFonts w:hint="eastAsia"/>
          <w:color w:val="auto"/>
          <w:lang w:eastAsia="zh-CN"/>
        </w:rPr>
        <w:t>61</w:t>
      </w:r>
      <w:r>
        <w:rPr>
          <w:rFonts w:hint="default"/>
          <w:color w:val="auto"/>
          <w:lang w:eastAsia="zh-CN"/>
        </w:rPr>
        <w:t>号）</w:t>
      </w:r>
      <w:r>
        <w:rPr>
          <w:rFonts w:hint="eastAsia"/>
          <w:color w:val="auto"/>
          <w:lang w:eastAsia="zh-CN"/>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bCs/>
                <w:color w:val="auto"/>
                <w:kern w:val="0"/>
                <w:sz w:val="18"/>
                <w:szCs w:val="18"/>
              </w:rPr>
              <w:t>《个人所得税扣缴申报表》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bCs/>
                <w:color w:val="auto"/>
                <w:kern w:val="0"/>
                <w:sz w:val="18"/>
                <w:szCs w:val="18"/>
              </w:rPr>
              <w:t>《个人所得税基础信息表（</w:t>
            </w:r>
            <w:r>
              <w:rPr>
                <w:rFonts w:cs="宋体"/>
                <w:bCs/>
                <w:color w:val="auto"/>
                <w:kern w:val="0"/>
                <w:sz w:val="18"/>
                <w:szCs w:val="18"/>
              </w:rPr>
              <w:t>A表）》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color w:val="auto"/>
                <w:sz w:val="18"/>
                <w:szCs w:val="18"/>
              </w:rPr>
              <w:t>扣缴义务人为非居民个人首次办理扣缴申报时或被扣缴义务人信息变更后，扣缴个人所得税申报同时报送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bCs/>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Arial"/>
                <w:color w:val="auto"/>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Arial"/>
                <w:color w:val="auto"/>
                <w:sz w:val="18"/>
                <w:szCs w:val="18"/>
              </w:rPr>
              <w:t>纳税人纳税申报时存在减免个人所得税情形的</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kinsoku/>
        <w:wordWrap/>
        <w:overflowPunct/>
        <w:topLinePunct w:val="0"/>
        <w:autoSpaceDE/>
        <w:autoSpaceDN/>
        <w:bidi w:val="0"/>
        <w:adjustRightInd/>
        <w:snapToGrid/>
        <w:spacing w:line="240" w:lineRule="auto"/>
        <w:ind w:firstLine="552"/>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94" o:spt="75" type="#_x0000_t75" style="height:102.1pt;width:381.75pt;" o:ole="t" filled="f" o:preferrelative="t" stroked="f" coordsize="21600,21600">
            <v:path/>
            <v:fill on="f" focussize="0,0"/>
            <v:stroke on="f"/>
            <v:imagedata r:id="rId11" o:title=""/>
            <o:lock v:ext="edit" aspectratio="t"/>
            <w10:wrap type="none"/>
            <w10:anchorlock/>
          </v:shape>
          <o:OLEObject Type="Embed" ProgID="Visio.Drawing.11" ShapeID="_x0000_i1094"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1.A06868《个人所得税扣缴申报表》</w:t>
      </w:r>
    </w:p>
    <w:p>
      <w:pPr>
        <w:ind w:firstLine="472"/>
        <w:rPr>
          <w:rFonts w:hint="default" w:ascii="宋体" w:hAnsi="宋体" w:eastAsia="宋体" w:cs="Times New Roman"/>
          <w:bCs w:val="0"/>
          <w:color w:val="auto"/>
          <w:kern w:val="2"/>
          <w:sz w:val="24"/>
          <w:szCs w:val="22"/>
          <w:lang w:val="en-US" w:eastAsia="zh-CN" w:bidi="ar-SA"/>
        </w:rPr>
      </w:pPr>
      <w:r>
        <w:rPr>
          <w:rFonts w:hint="default" w:ascii="宋体" w:hAnsi="宋体" w:eastAsia="宋体" w:cs="Times New Roman"/>
          <w:bCs w:val="0"/>
          <w:color w:val="auto"/>
          <w:kern w:val="2"/>
          <w:sz w:val="24"/>
          <w:szCs w:val="22"/>
          <w:lang w:val="en-US" w:eastAsia="zh-CN" w:bidi="ar-SA"/>
        </w:rPr>
        <w:t>2.A06448《个人所得税基础信息表（A表）》</w:t>
      </w:r>
    </w:p>
    <w:p>
      <w:pPr>
        <w:ind w:firstLine="472"/>
        <w:rPr>
          <w:rFonts w:hint="default"/>
          <w:color w:val="auto"/>
          <w:highlight w:val="yellow"/>
        </w:rPr>
      </w:pPr>
      <w:r>
        <w:rPr>
          <w:rFonts w:hint="default" w:ascii="宋体" w:hAnsi="宋体" w:eastAsia="宋体" w:cs="Times New Roman"/>
          <w:bCs w:val="0"/>
          <w:color w:val="auto"/>
          <w:kern w:val="2"/>
          <w:sz w:val="24"/>
          <w:szCs w:val="22"/>
          <w:lang w:val="en-US" w:eastAsia="zh-CN" w:bidi="ar-SA"/>
        </w:rPr>
        <w:t>3.A06652《个人所得税减免税事项报告表》</w:t>
      </w:r>
    </w:p>
    <w:p>
      <w:pPr>
        <w:pStyle w:val="3"/>
        <w:ind w:firstLine="552"/>
        <w:rPr>
          <w:rFonts w:hint="eastAsia"/>
          <w:color w:val="auto"/>
        </w:rPr>
      </w:pPr>
      <w:r>
        <w:rPr>
          <w:rFonts w:hint="eastAsia"/>
          <w:color w:val="auto"/>
        </w:rPr>
        <w:t>九、注意事项</w:t>
      </w:r>
    </w:p>
    <w:p>
      <w:pPr>
        <w:ind w:firstLine="434" w:firstLineChars="184"/>
        <w:jc w:val="left"/>
        <w:rPr>
          <w:color w:val="auto"/>
        </w:rPr>
      </w:pPr>
      <w:r>
        <w:rPr>
          <w:rFonts w:hint="eastAsia"/>
          <w:color w:val="auto"/>
        </w:rPr>
        <w:t>1.在中国境内无住所又不居住，或者无住所而一个纳税年度内在中国境内居</w:t>
      </w:r>
    </w:p>
    <w:p>
      <w:pPr>
        <w:ind w:firstLine="0" w:firstLineChars="0"/>
        <w:jc w:val="left"/>
        <w:rPr>
          <w:color w:val="auto"/>
        </w:rPr>
      </w:pPr>
      <w:r>
        <w:rPr>
          <w:rFonts w:hint="eastAsia"/>
          <w:color w:val="auto"/>
        </w:rPr>
        <w:t>住累计不满183天的个人，为非居民个人。</w:t>
      </w:r>
    </w:p>
    <w:p>
      <w:pPr>
        <w:ind w:firstLine="472"/>
        <w:jc w:val="left"/>
        <w:rPr>
          <w:color w:val="auto"/>
        </w:rPr>
      </w:pPr>
      <w:r>
        <w:rPr>
          <w:rFonts w:hint="eastAsia"/>
          <w:color w:val="auto"/>
        </w:rPr>
        <w:t>2.实行非居民个人所得税代扣代缴申报的应税所得包括：工资薪金所得，劳</w:t>
      </w:r>
    </w:p>
    <w:p>
      <w:pPr>
        <w:ind w:firstLine="0" w:firstLineChars="0"/>
        <w:jc w:val="left"/>
        <w:rPr>
          <w:color w:val="auto"/>
        </w:rPr>
      </w:pPr>
      <w:r>
        <w:rPr>
          <w:rFonts w:hint="eastAsia"/>
          <w:color w:val="auto"/>
        </w:rPr>
        <w:t>务报酬所得，稿酬所得，特许权使用费所得，财产租赁所得，财产转让所得，利</w:t>
      </w:r>
    </w:p>
    <w:p>
      <w:pPr>
        <w:ind w:firstLine="0" w:firstLineChars="0"/>
        <w:jc w:val="left"/>
        <w:rPr>
          <w:color w:val="auto"/>
        </w:rPr>
      </w:pPr>
      <w:r>
        <w:rPr>
          <w:rFonts w:hint="eastAsia"/>
          <w:color w:val="auto"/>
        </w:rPr>
        <w:t>息、股息、红利所得，偶然所得。</w:t>
      </w:r>
    </w:p>
    <w:p>
      <w:pPr>
        <w:ind w:firstLine="472"/>
        <w:jc w:val="left"/>
        <w:rPr>
          <w:color w:val="auto"/>
        </w:rPr>
      </w:pPr>
      <w:r>
        <w:rPr>
          <w:rFonts w:hint="eastAsia"/>
          <w:color w:val="auto"/>
        </w:rPr>
        <w:t>3.扣缴义务人向非居民个人支付工资、薪金所得，劳务报酬所得，稿酬所得</w:t>
      </w:r>
    </w:p>
    <w:p>
      <w:pPr>
        <w:ind w:firstLine="0" w:firstLineChars="0"/>
        <w:jc w:val="left"/>
        <w:rPr>
          <w:color w:val="auto"/>
        </w:rPr>
      </w:pPr>
      <w:r>
        <w:rPr>
          <w:rFonts w:hint="eastAsia"/>
          <w:color w:val="auto"/>
        </w:rPr>
        <w:t>和特许权使用费所得的，在一个纳税年度内扣缴方法保持不变。非居民个人达到</w:t>
      </w:r>
    </w:p>
    <w:p>
      <w:pPr>
        <w:ind w:firstLine="0" w:firstLineChars="0"/>
        <w:jc w:val="left"/>
        <w:rPr>
          <w:color w:val="auto"/>
        </w:rPr>
      </w:pPr>
      <w:r>
        <w:rPr>
          <w:rFonts w:hint="eastAsia"/>
          <w:color w:val="auto"/>
        </w:rPr>
        <w:t>居民个人条件时，应当告知扣缴义务人基础信息变化情况，年度终了后按照居民</w:t>
      </w:r>
    </w:p>
    <w:p>
      <w:pPr>
        <w:ind w:firstLine="0" w:firstLineChars="0"/>
        <w:jc w:val="left"/>
        <w:rPr>
          <w:color w:val="auto"/>
        </w:rPr>
      </w:pPr>
      <w:r>
        <w:rPr>
          <w:rFonts w:hint="eastAsia"/>
          <w:color w:val="auto"/>
        </w:rPr>
        <w:t>个人有关规定办理汇算清缴。</w:t>
      </w:r>
    </w:p>
    <w:p>
      <w:pPr>
        <w:rPr>
          <w:rFonts w:hint="eastAsia"/>
          <w:color w:val="auto"/>
        </w:rPr>
      </w:pPr>
      <w:r>
        <w:rPr>
          <w:rFonts w:hint="eastAsia"/>
          <w:color w:val="auto"/>
          <w:lang w:val="en-US" w:eastAsia="zh-CN"/>
        </w:rPr>
        <w:t>4.</w:t>
      </w:r>
      <w:r>
        <w:rPr>
          <w:rFonts w:hint="eastAsia"/>
          <w:color w:val="auto"/>
        </w:rPr>
        <w:t>纳税人对报送资料的真实性和合法性承担责任。</w:t>
      </w:r>
    </w:p>
    <w:p>
      <w:pPr>
        <w:ind w:firstLine="472" w:firstLineChars="200"/>
        <w:jc w:val="left"/>
        <w:rPr>
          <w:rFonts w:hint="eastAsia"/>
          <w:color w:val="auto"/>
          <w:lang w:val="en-US" w:eastAsia="zh-CN"/>
        </w:rPr>
      </w:pPr>
      <w:r>
        <w:rPr>
          <w:rFonts w:hint="eastAsia"/>
          <w:color w:val="auto"/>
        </w:rPr>
        <w:t>5.最多跑一次是在资料完整且符合法定受理条件的前提下，最多只需要到税务机关跑一次。</w:t>
      </w:r>
    </w:p>
    <w:p>
      <w:pPr>
        <w:ind w:firstLine="472" w:firstLineChars="200"/>
        <w:jc w:val="left"/>
        <w:rPr>
          <w:rFonts w:hint="default"/>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02F6A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2019-10-31T06:21:34Z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