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3610"/>
      <w:r>
        <w:rPr>
          <w:rFonts w:ascii="黑体" w:hAnsi="黑体" w:cs="黑体"/>
          <w:color w:val="auto"/>
        </w:rPr>
        <w:t>1.2.3.5</w:t>
      </w:r>
      <w:r>
        <w:rPr>
          <w:rFonts w:hint="eastAsia"/>
          <w:color w:val="auto"/>
        </w:rPr>
        <w:t>海关完税凭证数据采集</w:t>
      </w:r>
      <w:bookmarkEnd w:id="0"/>
    </w:p>
    <w:p>
      <w:pPr>
        <w:pStyle w:val="3"/>
        <w:ind w:firstLine="552"/>
        <w:rPr>
          <w:color w:val="auto"/>
        </w:rPr>
      </w:pPr>
      <w:r>
        <w:rPr>
          <w:color w:val="auto"/>
        </w:rPr>
        <w:t>一、事项名称</w:t>
      </w:r>
    </w:p>
    <w:p>
      <w:pPr>
        <w:ind w:firstLine="472"/>
        <w:rPr>
          <w:color w:val="auto"/>
        </w:rPr>
      </w:pPr>
      <w:r>
        <w:rPr>
          <w:rFonts w:hint="eastAsia"/>
          <w:color w:val="auto"/>
        </w:rPr>
        <w:t>海关完税凭证数据采集</w:t>
      </w:r>
    </w:p>
    <w:p>
      <w:pPr>
        <w:pStyle w:val="3"/>
        <w:ind w:firstLine="552"/>
        <w:rPr>
          <w:color w:val="auto"/>
        </w:rPr>
      </w:pPr>
      <w:r>
        <w:rPr>
          <w:color w:val="auto"/>
        </w:rPr>
        <w:t>二、事项类别</w:t>
      </w:r>
    </w:p>
    <w:p>
      <w:pPr>
        <w:numPr>
          <w:ilvl w:val="0"/>
          <w:numId w:val="3"/>
        </w:numPr>
        <w:ind w:left="0" w:firstLine="472"/>
        <w:rPr>
          <w:color w:val="auto"/>
        </w:rPr>
      </w:pPr>
      <w:r>
        <w:rPr>
          <w:rFonts w:hint="eastAsia"/>
          <w:color w:val="auto"/>
        </w:rPr>
        <w:t>发起方式：人工发起（纳税人）</w:t>
      </w:r>
    </w:p>
    <w:p>
      <w:pPr>
        <w:numPr>
          <w:ilvl w:val="0"/>
          <w:numId w:val="3"/>
        </w:numPr>
        <w:ind w:left="0" w:firstLine="472"/>
        <w:rPr>
          <w:color w:val="auto"/>
        </w:rPr>
      </w:pPr>
      <w:r>
        <w:rPr>
          <w:rFonts w:hint="eastAsia"/>
          <w:color w:val="auto"/>
        </w:rPr>
        <w:t>办结方式：条件即办</w:t>
      </w:r>
    </w:p>
    <w:p>
      <w:pPr>
        <w:numPr>
          <w:ilvl w:val="0"/>
          <w:numId w:val="3"/>
        </w:numPr>
        <w:ind w:left="0" w:firstLine="472"/>
        <w:rPr>
          <w:color w:val="auto"/>
        </w:rPr>
      </w:pPr>
      <w:r>
        <w:rPr>
          <w:rFonts w:hint="eastAsia"/>
          <w:color w:val="auto"/>
        </w:rPr>
        <w:t>全省通办：否</w:t>
      </w:r>
    </w:p>
    <w:p>
      <w:pPr>
        <w:numPr>
          <w:ilvl w:val="0"/>
          <w:numId w:val="3"/>
        </w:numPr>
        <w:ind w:left="0" w:firstLine="472"/>
        <w:rPr>
          <w:color w:val="auto"/>
        </w:rPr>
      </w:pPr>
      <w:r>
        <w:rPr>
          <w:rFonts w:hint="eastAsia"/>
          <w:color w:val="auto"/>
        </w:rPr>
        <w:t>网上办理：是</w:t>
      </w:r>
    </w:p>
    <w:p>
      <w:pPr>
        <w:numPr>
          <w:ilvl w:val="0"/>
          <w:numId w:val="3"/>
        </w:numPr>
        <w:ind w:left="0" w:firstLine="472"/>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增值税一般纳税人取得的2017年7月1日及以后开具的海关进口增值税专用缴款书，应自开具之日起360日内向主管税务机关报送《海关完税凭证抵扣清单》，申请稽核比对。</w:t>
      </w:r>
    </w:p>
    <w:p>
      <w:pPr>
        <w:ind w:firstLine="472"/>
        <w:rPr>
          <w:color w:val="auto"/>
        </w:rPr>
      </w:pPr>
      <w:r>
        <w:rPr>
          <w:rFonts w:hint="eastAsia"/>
          <w:color w:val="auto"/>
        </w:rPr>
        <w:t>经税务机关稽核比对相符后，其增值税额作为进项税额在销项税额中抵扣。</w:t>
      </w:r>
    </w:p>
    <w:p>
      <w:pPr>
        <w:pStyle w:val="3"/>
        <w:ind w:firstLine="552"/>
        <w:rPr>
          <w:color w:val="auto"/>
        </w:rPr>
      </w:pPr>
      <w:r>
        <w:rPr>
          <w:rFonts w:hint="eastAsia"/>
          <w:color w:val="auto"/>
        </w:rPr>
        <w:t>四、设定依据</w:t>
      </w:r>
    </w:p>
    <w:p>
      <w:pPr>
        <w:ind w:firstLine="472"/>
        <w:rPr>
          <w:color w:val="auto"/>
        </w:rPr>
      </w:pPr>
      <w:r>
        <w:rPr>
          <w:rFonts w:hint="eastAsia"/>
          <w:color w:val="auto"/>
        </w:rPr>
        <w:t>1.《国家税务总局海关总署关于实行海关进口增值税专用缴款书“先比对后抵扣”管理办法有关问题的公告》（国家税务总局海关总署公告2013年第31号）第六条</w:t>
      </w:r>
    </w:p>
    <w:p>
      <w:pPr>
        <w:ind w:firstLine="472"/>
        <w:rPr>
          <w:color w:val="auto"/>
        </w:rPr>
      </w:pPr>
      <w:r>
        <w:rPr>
          <w:rFonts w:hint="eastAsia"/>
          <w:color w:val="auto"/>
        </w:rPr>
        <w:t>“稽核比对结果异常，是指稽核比对结果为不符、缺联、重号、滞留。</w:t>
      </w:r>
    </w:p>
    <w:p>
      <w:pPr>
        <w:ind w:firstLine="472"/>
        <w:rPr>
          <w:color w:val="auto"/>
        </w:rPr>
      </w:pPr>
      <w:r>
        <w:rPr>
          <w:rFonts w:hint="eastAsia"/>
          <w:color w:val="auto"/>
        </w:rPr>
        <w:t>（一）对于稽核比对结果为不符、缺联的海关缴款书，纳税人应于产生稽核结果的180日内，持海关缴款书原件向主管税务机关申请数据修改或者核对，逾期的其进项税额不予抵扣。属于纳税人数据采集错误的，数据修改后再次进行稽核比对；不属于数据采集错误的，纳税人可向主管税务机关申请数据核对，主管税务机关会同海关进行核查。经核查，海关缴款书票面信息与纳税人实际进口货物业务一致的，纳税人应在收到主管税务机关书面通知的次月申报期内申报抵扣，逾期的其进项税额不予抵扣。</w:t>
      </w:r>
    </w:p>
    <w:p>
      <w:pPr>
        <w:ind w:firstLine="472"/>
        <w:rPr>
          <w:color w:val="auto"/>
        </w:rPr>
      </w:pPr>
      <w:r>
        <w:rPr>
          <w:rFonts w:hint="eastAsia"/>
          <w:color w:val="auto"/>
        </w:rPr>
        <w:t>（二）对于稽核比对结果为重号的海关缴款书，由主管税务机关进行核查。经核查，海关缴款书票面信息与纳税人实际进口货物业务一致的，纳税人应在收到税务机关书面通知的次月申报期内申报抵扣，逾期的其进项税额不予抵扣。</w:t>
      </w:r>
    </w:p>
    <w:p>
      <w:pPr>
        <w:ind w:firstLine="472"/>
        <w:rPr>
          <w:color w:val="auto"/>
        </w:rPr>
      </w:pPr>
      <w:r>
        <w:rPr>
          <w:rFonts w:hint="eastAsia"/>
          <w:color w:val="auto"/>
        </w:rPr>
        <w:t>（三）对于稽核比对结果为滞留的海关缴款书，可继续参与稽核比对，纳税人不需申请数据核对。”</w:t>
      </w:r>
    </w:p>
    <w:p>
      <w:pPr>
        <w:ind w:firstLine="472"/>
        <w:rPr>
          <w:color w:val="auto"/>
        </w:rPr>
      </w:pPr>
      <w:r>
        <w:rPr>
          <w:rFonts w:hint="eastAsia"/>
          <w:color w:val="auto"/>
        </w:rPr>
        <w:t>2.《国家税务总局海关总署关于实行海关进口增值税专用缴款书“先比对后抵扣”管理办法有关事项的通知》（税总发〔2013〕76号）第一条第（三）项</w:t>
      </w:r>
    </w:p>
    <w:p>
      <w:pPr>
        <w:ind w:firstLine="472"/>
        <w:rPr>
          <w:color w:val="auto"/>
        </w:rPr>
      </w:pPr>
      <w:r>
        <w:rPr>
          <w:rFonts w:hint="eastAsia"/>
          <w:color w:val="auto"/>
        </w:rPr>
        <w:t>“对稽核比对结果为不符、缺联的海关缴款书，如纳税人有异议，应提交《“异常”海关缴款书数据核对申请书》（附件1）申请数据核对，同时附海关缴款书原件。主管税务机关会同海关进行核查。核查流程是：主管税务机关在收到纳税人数据核对申请书的15日内，向税款入库地直属海关发出《海关缴款书委托核查函》（附件2，全国各海关联系方式可自海关总署网站http://www.customs.gov.cn或拨打12360查询），同时附海关缴款书复印件；税款入库地海关收到委托核查函后，在30日内以《海关缴款书核查回复函》（附件3）回复发函税务机关。对海关回函结果为“有一致的入库信息”的海关缴款书，主管税务机关应及时以《海关缴款书核查结果通知书》（附件4）通知纳税人申报抵扣税款。</w:t>
      </w:r>
    </w:p>
    <w:p>
      <w:pPr>
        <w:ind w:firstLine="472"/>
        <w:rPr>
          <w:color w:val="auto"/>
        </w:rPr>
      </w:pPr>
      <w:r>
        <w:rPr>
          <w:rFonts w:hint="eastAsia"/>
          <w:color w:val="auto"/>
        </w:rPr>
        <w:t>《海关缴款书委托核查函》编号为20位，第1至11位为主管税务机关代码，第12位为“发”，第13至16位为年份，第17至20位为顺序号。</w:t>
      </w:r>
    </w:p>
    <w:p>
      <w:pPr>
        <w:ind w:firstLine="472"/>
        <w:rPr>
          <w:color w:val="auto"/>
        </w:rPr>
      </w:pPr>
      <w:r>
        <w:rPr>
          <w:rFonts w:hint="eastAsia"/>
          <w:color w:val="auto"/>
        </w:rPr>
        <w:t>对于稽核比对结果为重号的海关缴款书，由主管税务机关进行核查，不需向海关发函核查。”</w:t>
      </w:r>
    </w:p>
    <w:p>
      <w:pPr>
        <w:ind w:firstLine="472"/>
        <w:rPr>
          <w:color w:val="auto"/>
        </w:rPr>
      </w:pPr>
      <w:r>
        <w:rPr>
          <w:rFonts w:hint="eastAsia"/>
          <w:color w:val="auto"/>
        </w:rPr>
        <w:t>3.《国家税务总局关于加强海关进口增值税抵扣管理的公告》（国家税务总局公告2017年第3号）全文</w:t>
      </w:r>
    </w:p>
    <w:p>
      <w:pPr>
        <w:ind w:firstLine="472"/>
        <w:rPr>
          <w:color w:val="auto"/>
        </w:rPr>
      </w:pPr>
      <w:r>
        <w:rPr>
          <w:rFonts w:hint="eastAsia"/>
          <w:color w:val="auto"/>
        </w:rPr>
        <w:t>4.《国家税务总局关于进一步明确营改增有关征管问题的公告》（国家税务总局公告2017年第11号）第十条</w:t>
      </w:r>
    </w:p>
    <w:p>
      <w:pPr>
        <w:ind w:firstLine="472"/>
        <w:rPr>
          <w:color w:val="auto"/>
        </w:rPr>
      </w:pPr>
      <w:r>
        <w:rPr>
          <w:rFonts w:hint="eastAsia"/>
          <w:color w:val="auto"/>
        </w:rPr>
        <w:t>“自2017年7月1日起，增值税一般纳税人取得的2017年7月1日及以后开具的增值税专用发票和机动车销售统一发票，应自开具之日起360日内认证或登录增值税发票选择确认平台进行确认，并在规定的纳税申报期内，向主管税务机关申报抵扣进项税额。</w:t>
      </w:r>
    </w:p>
    <w:p>
      <w:pPr>
        <w:ind w:firstLine="472"/>
        <w:rPr>
          <w:color w:val="auto"/>
        </w:rPr>
      </w:pPr>
      <w:r>
        <w:rPr>
          <w:rFonts w:hint="eastAsia"/>
          <w:color w:val="auto"/>
        </w:rPr>
        <w:t>增值税一般纳税人取得的2017年7月1日及以后开具的海关进口增值税专用缴款书，应自开具之日起360日内向主管税务机关报送《海关完税凭证抵扣清单》，申请稽核比对。</w:t>
      </w:r>
    </w:p>
    <w:p>
      <w:pPr>
        <w:ind w:firstLine="472"/>
        <w:rPr>
          <w:color w:val="auto"/>
        </w:rPr>
      </w:pPr>
      <w:r>
        <w:rPr>
          <w:rFonts w:hint="eastAsia"/>
          <w:color w:val="auto"/>
        </w:rPr>
        <w:t>纳税人取得的2017年6月30日前开具的增值税扣税凭证，仍按《国家税务总局关于调整增值税扣税凭证抵扣期限有关问题的通知》（国税函〔2009〕617号）执行。</w:t>
      </w:r>
    </w:p>
    <w:p>
      <w:pPr>
        <w:ind w:firstLine="472"/>
        <w:rPr>
          <w:color w:val="auto"/>
        </w:rPr>
      </w:pPr>
      <w:r>
        <w:rPr>
          <w:rFonts w:hint="eastAsia"/>
          <w:color w:val="auto"/>
        </w:rPr>
        <w:t>除本公告第九条和第十条以外，其他条款自2017年5月1日起施行。此前已发生未处理的事项，按照本公告规定执行。”</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《海关完税凭证抵扣清单》（电子数据）</w:t>
            </w:r>
          </w:p>
        </w:tc>
        <w:tc>
          <w:tcPr>
            <w:tcW w:w="709" w:type="dxa"/>
            <w:shd w:val="clear" w:color="auto" w:fill="auto"/>
            <w:vAlign w:val="center"/>
          </w:tcPr>
          <w:p>
            <w:pPr>
              <w:pStyle w:val="13"/>
              <w:widowControl/>
              <w:spacing w:before="100" w:after="100"/>
              <w:jc w:val="center"/>
              <w:rPr>
                <w:rFonts w:cs="宋体"/>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海关缴款书原件</w:t>
            </w:r>
          </w:p>
        </w:tc>
        <w:tc>
          <w:tcPr>
            <w:tcW w:w="709" w:type="dxa"/>
            <w:shd w:val="clear" w:color="auto" w:fill="auto"/>
            <w:vAlign w:val="center"/>
          </w:tcPr>
          <w:p>
            <w:pPr>
              <w:pStyle w:val="13"/>
              <w:widowControl/>
              <w:spacing w:before="100" w:after="100"/>
              <w:jc w:val="center"/>
              <w:rPr>
                <w:rFonts w:cs="宋体"/>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jc w:val="center"/>
              <w:rPr>
                <w:rFonts w:cs="宋体"/>
                <w:color w:val="auto"/>
                <w:sz w:val="18"/>
                <w:szCs w:val="18"/>
              </w:rPr>
            </w:pPr>
            <w:r>
              <w:rPr>
                <w:rStyle w:val="17"/>
                <w:rFonts w:hint="eastAsia" w:ascii="宋体" w:hAnsi="宋体" w:eastAsia="宋体" w:cs="微软雅黑"/>
                <w:b w:val="0"/>
                <w:color w:val="auto"/>
                <w:sz w:val="18"/>
                <w:szCs w:val="18"/>
              </w:rPr>
              <w:t>条件报送</w:t>
            </w:r>
          </w:p>
        </w:tc>
        <w:tc>
          <w:tcPr>
            <w:tcW w:w="1134" w:type="dxa"/>
            <w:shd w:val="clear" w:color="auto" w:fill="auto"/>
            <w:vAlign w:val="center"/>
          </w:tcPr>
          <w:p>
            <w:pPr>
              <w:widowControl/>
              <w:tabs>
                <w:tab w:val="left" w:pos="209"/>
              </w:tabs>
              <w:spacing w:line="280" w:lineRule="exact"/>
              <w:ind w:firstLine="0" w:firstLineChars="0"/>
              <w:jc w:val="left"/>
              <w:rPr>
                <w:rFonts w:cs="宋体"/>
                <w:color w:val="auto"/>
                <w:kern w:val="0"/>
                <w:sz w:val="18"/>
                <w:szCs w:val="18"/>
              </w:rPr>
            </w:pPr>
            <w:r>
              <w:rPr>
                <w:rStyle w:val="17"/>
                <w:rFonts w:hint="eastAsia" w:cs="微软雅黑"/>
                <w:b w:val="0"/>
                <w:color w:val="auto"/>
                <w:sz w:val="18"/>
                <w:szCs w:val="18"/>
              </w:rPr>
              <w:t>稽核比对结果为不符、缺联、重号时提供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1" w:firstLineChars="0"/>
        <w:rPr>
          <w:rFonts w:hint="eastAsia"/>
          <w:color w:val="auto"/>
        </w:rPr>
      </w:pPr>
    </w:p>
    <w:p>
      <w:pPr>
        <w:ind w:firstLine="471" w:firstLineChars="0"/>
        <w:rPr>
          <w:rFonts w:hint="eastAsia"/>
          <w:color w:val="auto"/>
        </w:rPr>
      </w:pPr>
    </w:p>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073" o:spt="75" type="#_x0000_t75" style="height:134.8pt;width:415.25pt;" o:ole="t" filled="f" o:preferrelative="t" stroked="f" coordsize="21600,21600">
            <v:path/>
            <v:fill on="f" focussize="0,0"/>
            <v:stroke on="f" joinstyle="miter"/>
            <v:imagedata r:id="rId11" o:title=""/>
            <o:lock v:ext="edit" aspectratio="t"/>
            <w10:wrap type="none"/>
            <w10:anchorlock/>
          </v:shape>
          <o:OLEObject Type="Embed" ProgID="Visio.Drawing.11" ShapeID="_x0000_i1073"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资料齐全、符合法定形式的，税务机关受理后即时办结或1个工作日办结。</w:t>
      </w:r>
    </w:p>
    <w:p>
      <w:pPr>
        <w:pStyle w:val="3"/>
        <w:ind w:firstLine="552"/>
        <w:rPr>
          <w:color w:val="auto"/>
        </w:rPr>
      </w:pPr>
      <w:r>
        <w:rPr>
          <w:rFonts w:hint="eastAsia"/>
          <w:color w:val="auto"/>
        </w:rPr>
        <w:t>八、表证单书</w:t>
      </w:r>
    </w:p>
    <w:p>
      <w:pPr>
        <w:ind w:firstLine="472"/>
        <w:rPr>
          <w:color w:val="auto"/>
        </w:rPr>
      </w:pPr>
      <w:r>
        <w:rPr>
          <w:rFonts w:hint="eastAsia"/>
          <w:color w:val="auto"/>
        </w:rPr>
        <w:t>无</w:t>
      </w:r>
    </w:p>
    <w:p>
      <w:pPr>
        <w:pStyle w:val="3"/>
        <w:ind w:firstLine="552"/>
        <w:rPr>
          <w:color w:val="auto"/>
        </w:rPr>
      </w:pPr>
      <w:r>
        <w:rPr>
          <w:rFonts w:hint="eastAsia"/>
          <w:color w:val="auto"/>
        </w:rPr>
        <w:t>九、注意事项</w:t>
      </w:r>
    </w:p>
    <w:p>
      <w:pPr>
        <w:pStyle w:val="13"/>
        <w:widowControl/>
        <w:spacing w:beforeAutospacing="0" w:afterAutospacing="0" w:line="578" w:lineRule="exact"/>
        <w:ind w:firstLine="472" w:firstLineChars="200"/>
        <w:jc w:val="both"/>
        <w:rPr>
          <w:rFonts w:ascii="宋体" w:hAnsi="宋体" w:eastAsia="宋体" w:cs="微软雅黑"/>
          <w:color w:val="auto"/>
        </w:rPr>
      </w:pPr>
      <w:r>
        <w:rPr>
          <w:rFonts w:hint="eastAsia" w:ascii="宋体" w:hAnsi="宋体" w:eastAsia="宋体" w:cs="微软雅黑"/>
          <w:color w:val="auto"/>
        </w:rPr>
        <w:t>1.税务机关通过稽核系统将纳税人申请稽核的海关缴款书数据，按日与进口增值税入库数据进行稽核比对，每个月为一个稽核期。海关缴款书开具当月申请稽核的，稽核期为申请稽核的当月、次月及第三个月。海关缴款书开具次月申请稽核的，稽核期为申请稽核的当月及次月。海关缴款书开具次月以后申请稽核的，稽核期为申请稽核的当月。</w:t>
      </w:r>
    </w:p>
    <w:p>
      <w:pPr>
        <w:pStyle w:val="13"/>
        <w:widowControl/>
        <w:spacing w:beforeAutospacing="0" w:afterAutospacing="0" w:line="578" w:lineRule="exact"/>
        <w:ind w:firstLine="472" w:firstLineChars="200"/>
        <w:jc w:val="both"/>
        <w:rPr>
          <w:rFonts w:ascii="宋体" w:hAnsi="宋体" w:eastAsia="宋体" w:cs="微软雅黑"/>
          <w:color w:val="auto"/>
        </w:rPr>
      </w:pPr>
      <w:r>
        <w:rPr>
          <w:rFonts w:hint="eastAsia" w:ascii="宋体" w:hAnsi="宋体" w:eastAsia="宋体" w:cs="微软雅黑"/>
          <w:color w:val="auto"/>
        </w:rPr>
        <w:t>2.税务机关在对稽核比对结果为重号的海关缴款书核查时，可通过审核企业外汇付汇信息、进口合同信息等资料对企业海关缴款书票面信息与纳税人实际进口货物业务一致性和真实性进行确认。</w:t>
      </w:r>
    </w:p>
    <w:p>
      <w:pPr>
        <w:ind w:firstLine="472"/>
        <w:rPr>
          <w:color w:val="auto"/>
        </w:rPr>
      </w:pPr>
      <w:r>
        <w:rPr>
          <w:rFonts w:hint="eastAsia"/>
          <w:color w:val="auto"/>
        </w:rPr>
        <w:t>3.纳税人对报送资料的真实性和合法性承担责任。</w:t>
      </w:r>
    </w:p>
    <w:p>
      <w:pPr>
        <w:ind w:firstLine="472"/>
        <w:jc w:val="left"/>
        <w:rPr>
          <w:color w:val="auto"/>
        </w:rPr>
      </w:pPr>
      <w:r>
        <w:rPr>
          <w:rFonts w:hint="eastAsia"/>
          <w:color w:val="auto"/>
        </w:rPr>
        <w:t>4.最多跑一次是在资料完整且符合法定受理条件的前提下，最多只需要到税务机关跑一次。</w:t>
      </w:r>
    </w:p>
    <w:p>
      <w:pPr>
        <w:ind w:firstLine="472"/>
        <w:jc w:val="left"/>
        <w:rPr>
          <w:color w:val="auto"/>
        </w:rPr>
      </w:pPr>
      <w:r>
        <w:rPr>
          <w:rFonts w:hint="eastAsia"/>
          <w:color w:val="auto"/>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1BCD015"/>
    <w:multiLevelType w:val="singleLevel"/>
    <w:tmpl w:val="41BCD015"/>
    <w:lvl w:ilvl="0" w:tentative="0">
      <w:start w:val="1"/>
      <w:numFmt w:val="bullet"/>
      <w:lvlText w:val=""/>
      <w:lvlJc w:val="left"/>
      <w:pPr>
        <w:ind w:left="42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2326241"/>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2019-10-31T03:41:49Z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