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s="黑体"/>
          <w:color w:val="auto"/>
          <w:lang w:val="en-US" w:eastAsia="zh-CN"/>
        </w:rPr>
      </w:pPr>
      <w:bookmarkStart w:id="1" w:name="_GoBack"/>
      <w:bookmarkStart w:id="0" w:name="_Toc15647"/>
      <w:r>
        <w:rPr>
          <w:rFonts w:hint="eastAsia" w:ascii="黑体" w:hAnsi="黑体" w:cs="黑体"/>
          <w:color w:val="auto"/>
          <w:lang w:val="en-US" w:eastAsia="zh-CN"/>
        </w:rPr>
        <w:t>1.3.17.5石油特别收益金申报</w:t>
      </w:r>
      <w:bookmarkEnd w:id="0"/>
    </w:p>
    <w:bookmarkEnd w:id="1"/>
    <w:p>
      <w:pPr>
        <w:pStyle w:val="3"/>
        <w:keepNext/>
        <w:keepLines/>
        <w:pageBreakBefore w:val="0"/>
        <w:widowControl w:val="0"/>
        <w:kinsoku/>
        <w:wordWrap/>
        <w:overflowPunct/>
        <w:topLinePunct w:val="0"/>
        <w:autoSpaceDE/>
        <w:autoSpaceDN/>
        <w:bidi w:val="0"/>
        <w:adjustRightInd/>
        <w:snapToGrid/>
        <w:ind w:firstLine="552"/>
        <w:textAlignment w:val="auto"/>
        <w:rPr>
          <w:color w:val="auto"/>
        </w:rPr>
      </w:pPr>
      <w:r>
        <w:rPr>
          <w:rFonts w:hint="eastAsia"/>
          <w:color w:val="auto"/>
        </w:rPr>
        <w:t>一、事项名称</w:t>
      </w:r>
    </w:p>
    <w:p>
      <w:pPr>
        <w:ind w:firstLine="471" w:firstLineChars="0"/>
        <w:rPr>
          <w:rFonts w:hint="eastAsia"/>
          <w:color w:val="auto"/>
        </w:rPr>
      </w:pPr>
      <w:r>
        <w:rPr>
          <w:rFonts w:hint="eastAsia"/>
          <w:color w:val="auto"/>
        </w:rPr>
        <w:t>石油特别收益金申报</w:t>
      </w:r>
    </w:p>
    <w:p>
      <w:pPr>
        <w:pStyle w:val="3"/>
        <w:keepNext/>
        <w:keepLines/>
        <w:pageBreakBefore w:val="0"/>
        <w:widowControl w:val="0"/>
        <w:kinsoku/>
        <w:wordWrap/>
        <w:overflowPunct/>
        <w:topLinePunct w:val="0"/>
        <w:autoSpaceDE/>
        <w:autoSpaceDN/>
        <w:bidi w:val="0"/>
        <w:adjustRightInd/>
        <w:snapToGrid/>
        <w:ind w:firstLine="552"/>
        <w:textAlignment w:val="auto"/>
        <w:rPr>
          <w:color w:val="auto"/>
        </w:rPr>
      </w:pPr>
      <w:r>
        <w:rPr>
          <w:rFonts w:hint="eastAsia"/>
          <w:color w:val="auto"/>
        </w:rPr>
        <w:t>二、事项类别</w:t>
      </w:r>
    </w:p>
    <w:p>
      <w:pPr>
        <w:pStyle w:val="47"/>
        <w:numPr>
          <w:ilvl w:val="0"/>
          <w:numId w:val="3"/>
        </w:numPr>
        <w:ind w:firstLineChars="0"/>
        <w:rPr>
          <w:rFonts w:hint="eastAsia"/>
          <w:color w:val="auto"/>
          <w:lang w:val="en-US" w:eastAsia="zh-CN"/>
        </w:rPr>
      </w:pPr>
      <w:r>
        <w:rPr>
          <w:rFonts w:hint="eastAsia"/>
          <w:color w:val="auto"/>
          <w:lang w:val="en-US" w:eastAsia="zh-CN"/>
        </w:rPr>
        <w:t>发起方式：人工发起（缴费人）</w:t>
      </w:r>
    </w:p>
    <w:p>
      <w:pPr>
        <w:pStyle w:val="47"/>
        <w:numPr>
          <w:ilvl w:val="0"/>
          <w:numId w:val="3"/>
        </w:numPr>
        <w:ind w:firstLineChars="0"/>
        <w:rPr>
          <w:rFonts w:hint="eastAsia"/>
          <w:color w:val="auto"/>
          <w:lang w:val="en-US" w:eastAsia="zh-CN"/>
        </w:rPr>
      </w:pPr>
      <w:r>
        <w:rPr>
          <w:rFonts w:hint="eastAsia"/>
          <w:color w:val="auto"/>
          <w:lang w:val="en-US" w:eastAsia="zh-CN"/>
        </w:rPr>
        <w:t>办结方式：即办</w:t>
      </w:r>
    </w:p>
    <w:p>
      <w:pPr>
        <w:pStyle w:val="47"/>
        <w:numPr>
          <w:ilvl w:val="0"/>
          <w:numId w:val="3"/>
        </w:numPr>
        <w:ind w:firstLineChars="0"/>
        <w:rPr>
          <w:rFonts w:hint="eastAsia"/>
          <w:color w:val="auto"/>
          <w:lang w:val="en-US" w:eastAsia="zh-CN"/>
        </w:rPr>
      </w:pPr>
      <w:r>
        <w:rPr>
          <w:rFonts w:hint="eastAsia"/>
          <w:color w:val="auto"/>
          <w:lang w:val="en-US" w:eastAsia="zh-CN"/>
        </w:rPr>
        <w:t>全省通办：是</w:t>
      </w:r>
    </w:p>
    <w:p>
      <w:pPr>
        <w:pStyle w:val="47"/>
        <w:numPr>
          <w:ilvl w:val="0"/>
          <w:numId w:val="3"/>
        </w:numPr>
        <w:ind w:firstLineChars="0"/>
        <w:rPr>
          <w:rFonts w:hint="eastAsia"/>
          <w:color w:val="auto"/>
          <w:lang w:val="en-US" w:eastAsia="zh-CN"/>
        </w:rPr>
      </w:pPr>
      <w:r>
        <w:rPr>
          <w:rFonts w:hint="eastAsia"/>
          <w:color w:val="auto"/>
          <w:lang w:val="en-US" w:eastAsia="zh-CN"/>
        </w:rPr>
        <w:t>网上办理：是</w:t>
      </w:r>
    </w:p>
    <w:p>
      <w:pPr>
        <w:pStyle w:val="47"/>
        <w:numPr>
          <w:ilvl w:val="0"/>
          <w:numId w:val="3"/>
        </w:numPr>
        <w:ind w:firstLineChars="0"/>
        <w:rPr>
          <w:rFonts w:hint="eastAsia"/>
          <w:color w:val="auto"/>
          <w:lang w:val="en-US" w:eastAsia="zh-CN"/>
        </w:rPr>
      </w:pPr>
      <w:r>
        <w:rPr>
          <w:rFonts w:hint="eastAsia"/>
          <w:color w:val="auto"/>
          <w:lang w:val="en-US" w:eastAsia="zh-CN"/>
        </w:rPr>
        <w:t>适用层级：县(市、区)级</w:t>
      </w:r>
    </w:p>
    <w:p>
      <w:pPr>
        <w:pStyle w:val="47"/>
        <w:numPr>
          <w:ilvl w:val="0"/>
          <w:numId w:val="3"/>
        </w:numPr>
        <w:ind w:firstLineChars="0"/>
        <w:rPr>
          <w:rFonts w:hint="eastAsia"/>
          <w:color w:val="auto"/>
          <w:lang w:val="en-US" w:eastAsia="zh-CN"/>
        </w:rPr>
      </w:pPr>
      <w:r>
        <w:rPr>
          <w:rFonts w:hint="eastAsia"/>
          <w:color w:val="auto"/>
          <w:lang w:val="en-US" w:eastAsia="zh-CN"/>
        </w:rPr>
        <w:t>最多跑一次：是</w:t>
      </w:r>
    </w:p>
    <w:p>
      <w:pPr>
        <w:pStyle w:val="3"/>
        <w:keepNext/>
        <w:keepLines/>
        <w:pageBreakBefore w:val="0"/>
        <w:widowControl w:val="0"/>
        <w:kinsoku/>
        <w:wordWrap/>
        <w:overflowPunct/>
        <w:topLinePunct w:val="0"/>
        <w:autoSpaceDE/>
        <w:autoSpaceDN/>
        <w:bidi w:val="0"/>
        <w:adjustRightInd/>
        <w:snapToGrid/>
        <w:ind w:firstLine="552"/>
        <w:textAlignment w:val="auto"/>
        <w:rPr>
          <w:color w:val="auto"/>
        </w:rPr>
      </w:pPr>
      <w:r>
        <w:rPr>
          <w:rFonts w:hint="eastAsia"/>
          <w:color w:val="auto"/>
        </w:rPr>
        <w:t>三、办理条件</w:t>
      </w:r>
    </w:p>
    <w:p>
      <w:pPr>
        <w:ind w:firstLine="471" w:firstLineChars="0"/>
        <w:rPr>
          <w:rFonts w:hint="eastAsia"/>
          <w:color w:val="auto"/>
        </w:rPr>
      </w:pPr>
      <w:r>
        <w:rPr>
          <w:rFonts w:hint="eastAsia"/>
          <w:color w:val="auto"/>
        </w:rPr>
        <w:t>石油特别收益金为国家对石油开采企业销售国产原油因价格超过一定水平所获得的超额收入，按比例征收的收益金。凡在中华人民共和国陆地领域和所辖海域独立开采并销售原油的企业，以及在上述领域以合资、合作等方式开采并销售原油的其他企业（以下简称合资合作企业），均应按照规定缴纳石油特别收益金。</w:t>
      </w:r>
    </w:p>
    <w:p>
      <w:pPr>
        <w:ind w:firstLine="471" w:firstLineChars="0"/>
        <w:rPr>
          <w:rFonts w:hint="eastAsia"/>
          <w:color w:val="auto"/>
        </w:rPr>
      </w:pPr>
      <w:r>
        <w:rPr>
          <w:rFonts w:hint="eastAsia"/>
          <w:color w:val="auto"/>
        </w:rPr>
        <w:t>中央石油开采企业及地方石油开采企业向企业所在地征收机关申报缴纳石油特别收益金。合资合作企业应当缴纳的石油特别收益金由合资合作的中方企业代扣代缴。</w:t>
      </w:r>
    </w:p>
    <w:p>
      <w:pPr>
        <w:ind w:firstLine="471" w:firstLineChars="0"/>
        <w:rPr>
          <w:rFonts w:hint="eastAsia"/>
          <w:color w:val="auto"/>
        </w:rPr>
      </w:pPr>
      <w:r>
        <w:rPr>
          <w:rFonts w:hint="eastAsia"/>
          <w:color w:val="auto"/>
        </w:rPr>
        <w:t>石油特别收益金实行5级超额累进从价定率计征，按月计算、按季度缴纳。石油特别收益金征收比率按石油开采企业销售原油的月加权平均价格确定。为便于参照国际市场油价水平，原油价格按美元/桶计价，起征点为65美元/桶。应纳费额=[（当月加权平均销售单价（美元/桶）-起征点（美元/桶））×征收比率-速算扣除数（美元/桶））]×销售数量（桶数）×美元兑换人民币汇率。美元兑换人民币汇率以中国人民银行当月每日公布的中间价按月平均计算。</w:t>
      </w:r>
    </w:p>
    <w:p>
      <w:pPr>
        <w:ind w:firstLine="471" w:firstLineChars="0"/>
        <w:rPr>
          <w:rFonts w:hint="eastAsia"/>
          <w:color w:val="auto"/>
        </w:rPr>
      </w:pPr>
      <w:r>
        <w:rPr>
          <w:rFonts w:hint="eastAsia"/>
          <w:color w:val="auto"/>
        </w:rPr>
        <w:t>石油开采企业在规定的期限内未足额缴纳石油特别收益金的，从滞纳之日起按日加收万分之五的滞纳金。</w:t>
      </w:r>
    </w:p>
    <w:p>
      <w:pPr>
        <w:pStyle w:val="3"/>
        <w:ind w:firstLine="552"/>
        <w:rPr>
          <w:color w:val="auto"/>
        </w:rPr>
      </w:pPr>
      <w:r>
        <w:rPr>
          <w:rFonts w:hint="eastAsia"/>
          <w:color w:val="auto"/>
        </w:rPr>
        <w:t>四、设定依据</w:t>
      </w:r>
    </w:p>
    <w:p>
      <w:pPr>
        <w:ind w:firstLine="471" w:firstLineChars="0"/>
        <w:rPr>
          <w:rFonts w:hint="eastAsia" w:ascii="宋体" w:hAnsi="宋体" w:eastAsia="宋体"/>
          <w:bCs w:val="0"/>
          <w:color w:val="auto"/>
          <w:sz w:val="24"/>
          <w:szCs w:val="22"/>
          <w:lang w:val="en-US" w:eastAsia="zh-CN"/>
        </w:rPr>
      </w:pPr>
      <w:r>
        <w:rPr>
          <w:rFonts w:hint="eastAsia" w:ascii="宋体" w:hAnsi="宋体" w:eastAsia="宋体"/>
          <w:bCs w:val="0"/>
          <w:color w:val="auto"/>
          <w:sz w:val="24"/>
          <w:szCs w:val="22"/>
          <w:lang w:val="en-US" w:eastAsia="zh-CN"/>
        </w:rPr>
        <w:t>1.</w:t>
      </w:r>
      <w:r>
        <w:rPr>
          <w:rFonts w:hint="eastAsia" w:ascii="宋体" w:hAnsi="宋体" w:eastAsia="宋体"/>
          <w:bCs w:val="0"/>
          <w:color w:val="auto"/>
          <w:sz w:val="24"/>
          <w:szCs w:val="22"/>
        </w:rPr>
        <w:t>《国务院关于开征石油特别收益金的决定》（国发〔2006〕13号）</w:t>
      </w:r>
      <w:r>
        <w:rPr>
          <w:rFonts w:hint="eastAsia" w:ascii="宋体" w:hAnsi="宋体" w:eastAsia="宋体"/>
          <w:bCs w:val="0"/>
          <w:color w:val="auto"/>
          <w:sz w:val="24"/>
          <w:szCs w:val="22"/>
          <w:lang w:val="en-US"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tcBorders>
              <w:bottom w:val="single" w:color="auto" w:sz="12" w:space="0"/>
            </w:tcBorders>
            <w:vAlign w:val="center"/>
          </w:tcPr>
          <w:p>
            <w:pPr>
              <w:widowControl/>
              <w:spacing w:line="280" w:lineRule="exact"/>
              <w:ind w:firstLine="352"/>
              <w:jc w:val="left"/>
              <w:rPr>
                <w:color w:val="auto"/>
                <w:kern w:val="0"/>
                <w:sz w:val="18"/>
                <w:szCs w:val="18"/>
              </w:rPr>
            </w:pPr>
            <w:r>
              <w:rPr>
                <w:rFonts w:cs="微软雅黑"/>
                <w:color w:val="auto"/>
                <w:kern w:val="0"/>
                <w:sz w:val="18"/>
                <w:szCs w:val="18"/>
              </w:rPr>
              <w:t>1</w:t>
            </w:r>
          </w:p>
        </w:tc>
        <w:tc>
          <w:tcPr>
            <w:tcW w:w="2551" w:type="dxa"/>
            <w:tcBorders>
              <w:bottom w:val="single" w:color="auto" w:sz="12" w:space="0"/>
            </w:tcBorders>
            <w:vAlign w:val="center"/>
          </w:tcPr>
          <w:p>
            <w:pPr>
              <w:widowControl/>
              <w:spacing w:line="280" w:lineRule="exact"/>
              <w:ind w:left="0" w:leftChars="0" w:firstLine="0" w:firstLineChars="0"/>
              <w:jc w:val="left"/>
              <w:rPr>
                <w:rFonts w:cs="宋体"/>
                <w:color w:val="auto"/>
                <w:kern w:val="0"/>
                <w:sz w:val="18"/>
                <w:szCs w:val="18"/>
              </w:rPr>
            </w:pPr>
            <w:r>
              <w:rPr>
                <w:rFonts w:hint="eastAsia" w:cs="宋体"/>
                <w:color w:val="auto"/>
                <w:kern w:val="0"/>
                <w:sz w:val="18"/>
                <w:szCs w:val="18"/>
              </w:rPr>
              <w:t>《石油特别收益金申报表》</w:t>
            </w:r>
          </w:p>
        </w:tc>
        <w:tc>
          <w:tcPr>
            <w:tcW w:w="709" w:type="dxa"/>
            <w:tcBorders>
              <w:bottom w:val="single" w:color="auto" w:sz="12" w:space="0"/>
            </w:tcBorders>
            <w:vAlign w:val="center"/>
          </w:tcPr>
          <w:p>
            <w:pPr>
              <w:widowControl/>
              <w:spacing w:line="280" w:lineRule="exact"/>
              <w:ind w:firstLine="352"/>
              <w:jc w:val="center"/>
              <w:rPr>
                <w:rFonts w:cs="宋体"/>
                <w:color w:val="auto"/>
                <w:kern w:val="0"/>
                <w:sz w:val="18"/>
                <w:szCs w:val="18"/>
              </w:rPr>
            </w:pPr>
            <w:r>
              <w:rPr>
                <w:rFonts w:cs="宋体"/>
                <w:color w:val="auto"/>
                <w:kern w:val="0"/>
                <w:sz w:val="18"/>
                <w:szCs w:val="18"/>
              </w:rPr>
              <w:t>2</w:t>
            </w:r>
          </w:p>
        </w:tc>
        <w:tc>
          <w:tcPr>
            <w:tcW w:w="992" w:type="dxa"/>
            <w:tcBorders>
              <w:bottom w:val="single" w:color="auto" w:sz="12" w:space="0"/>
            </w:tcBorders>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必报</w:t>
            </w:r>
          </w:p>
        </w:tc>
        <w:tc>
          <w:tcPr>
            <w:tcW w:w="1134" w:type="dxa"/>
            <w:tcBorders>
              <w:bottom w:val="single" w:color="auto" w:sz="12" w:space="0"/>
            </w:tcBorders>
            <w:vAlign w:val="center"/>
          </w:tcPr>
          <w:p>
            <w:pPr>
              <w:widowControl/>
              <w:spacing w:line="280" w:lineRule="exact"/>
              <w:ind w:firstLine="352"/>
              <w:jc w:val="left"/>
              <w:rPr>
                <w:rFonts w:cs="微软雅黑"/>
                <w:color w:val="auto"/>
                <w:kern w:val="0"/>
                <w:sz w:val="18"/>
                <w:szCs w:val="18"/>
              </w:rPr>
            </w:pP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六、办理流程</w:t>
      </w:r>
    </w:p>
    <w:p>
      <w:pPr>
        <w:spacing w:line="240" w:lineRule="auto"/>
        <w:ind w:left="471" w:firstLine="0" w:firstLineChars="0"/>
        <w:rPr>
          <w:color w:val="auto"/>
        </w:rPr>
      </w:pPr>
    </w:p>
    <w:p>
      <w:pPr>
        <w:spacing w:line="240" w:lineRule="auto"/>
        <w:ind w:left="471" w:firstLine="0" w:firstLineChars="0"/>
        <w:rPr>
          <w:color w:val="auto"/>
        </w:rPr>
      </w:pPr>
      <w:r>
        <w:rPr>
          <w:color w:val="auto"/>
        </w:rPr>
        <w:pict>
          <v:shape id="_x0000_s1064" o:spid="_x0000_s1064" o:spt="75" type="#_x0000_t75" style="position:absolute;left:0pt;margin-left:-7.65pt;margin-top:2.8pt;height:118.1pt;width:440.6pt;mso-wrap-distance-bottom:0pt;mso-wrap-distance-left:9pt;mso-wrap-distance-right:9pt;mso-wrap-distance-top:0pt;z-index:251774976;mso-width-relative:page;mso-height-relative:page;" o:ole="t" filled="f" o:preferrelative="t" stroked="f" coordsize="21600,21600">
            <v:path/>
            <v:fill on="f" focussize="0,0"/>
            <v:stroke on="f" joinstyle="miter"/>
            <v:imagedata r:id="rId11" o:title=""/>
            <o:lock v:ext="edit" aspectratio="t"/>
            <w10:wrap type="square"/>
          </v:shape>
          <o:OLEObject Type="Embed" ProgID="Visio.Drawing.11" ShapeID="_x0000_s1064"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color w:val="auto"/>
        </w:rPr>
        <w:t>1.</w:t>
      </w:r>
      <w:r>
        <w:rPr>
          <w:rFonts w:hint="eastAsia"/>
          <w:color w:val="auto"/>
        </w:rPr>
        <w:t>A06855《石油特别收益金申报表》</w:t>
      </w:r>
    </w:p>
    <w:p>
      <w:pPr>
        <w:pStyle w:val="3"/>
        <w:ind w:firstLine="552"/>
        <w:rPr>
          <w:color w:val="auto"/>
        </w:rPr>
      </w:pPr>
      <w:r>
        <w:rPr>
          <w:rFonts w:hint="eastAsia"/>
          <w:color w:val="auto"/>
        </w:rPr>
        <w:t>九、注意事项</w:t>
      </w:r>
    </w:p>
    <w:p>
      <w:pPr>
        <w:ind w:firstLine="472"/>
        <w:rPr>
          <w:color w:val="auto"/>
        </w:rPr>
      </w:pPr>
      <w:r>
        <w:rPr>
          <w:color w:val="auto"/>
        </w:rPr>
        <w:t>1.</w:t>
      </w:r>
      <w:r>
        <w:rPr>
          <w:rFonts w:hint="eastAsia"/>
          <w:color w:val="auto"/>
        </w:rPr>
        <w:t>税务机关根据应补费额判断是否需要缴款开票；对于应补费额大于零的，办理“缴款开票”业务。</w:t>
      </w:r>
    </w:p>
    <w:p>
      <w:pPr>
        <w:ind w:firstLine="472"/>
        <w:rPr>
          <w:color w:val="auto"/>
        </w:rPr>
      </w:pPr>
      <w:r>
        <w:rPr>
          <w:color w:val="auto"/>
        </w:rPr>
        <w:t>2.</w:t>
      </w:r>
      <w:r>
        <w:rPr>
          <w:rFonts w:hint="eastAsia"/>
          <w:color w:val="auto"/>
        </w:rPr>
        <w:t>缴费人既有应退费款又有欠缴费款的，可以办理抵缴欠费业务。</w:t>
      </w:r>
    </w:p>
    <w:p>
      <w:pPr>
        <w:ind w:firstLine="472"/>
        <w:rPr>
          <w:color w:val="auto"/>
        </w:rPr>
      </w:pPr>
      <w:r>
        <w:rPr>
          <w:color w:val="auto"/>
        </w:rPr>
        <w:t>3.</w:t>
      </w:r>
      <w:r>
        <w:rPr>
          <w:rFonts w:hint="eastAsia"/>
          <w:color w:val="auto"/>
        </w:rPr>
        <w:t>缴费人对报送资料的真实性和合法性承担责任。</w:t>
      </w:r>
    </w:p>
    <w:p>
      <w:pPr>
        <w:ind w:firstLine="472"/>
        <w:jc w:val="left"/>
        <w:rPr>
          <w:rFonts w:hint="eastAsia"/>
          <w:color w:val="auto"/>
        </w:rPr>
      </w:pPr>
      <w:r>
        <w:rPr>
          <w:color w:val="auto"/>
        </w:rPr>
        <w:t>4.</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65A2043"/>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91C6D91"/>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6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2019-10-31T09:23:14Z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