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8678"/>
      <w:r>
        <w:rPr>
          <w:rFonts w:hint="eastAsia" w:ascii="黑体" w:hAnsi="黑体" w:cs="黑体"/>
          <w:color w:val="auto"/>
        </w:rPr>
        <w:t>2.1.18.5非正常户解除</w:t>
      </w:r>
      <w:bookmarkEnd w:id="0"/>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一、事项名称</w:t>
      </w:r>
    </w:p>
    <w:p>
      <w:pPr>
        <w:ind w:firstLine="472"/>
        <w:rPr>
          <w:rFonts w:hint="eastAsia" w:eastAsia="宋体" w:cs="Times New Roman"/>
          <w:color w:val="auto"/>
        </w:rPr>
      </w:pPr>
      <w:r>
        <w:rPr>
          <w:rFonts w:hint="eastAsia" w:ascii="黑体" w:hAnsi="黑体" w:cs="黑体"/>
          <w:color w:val="auto"/>
        </w:rPr>
        <w:t>非正常户解除</w:t>
      </w:r>
    </w:p>
    <w:p>
      <w:pPr>
        <w:keepNext/>
        <w:keepLines/>
        <w:widowControl w:val="0"/>
        <w:spacing w:line="578" w:lineRule="exact"/>
        <w:ind w:firstLine="552" w:firstLineChars="200"/>
        <w:jc w:val="both"/>
        <w:outlineLvl w:val="1"/>
        <w:rPr>
          <w:color w:val="auto"/>
        </w:rPr>
      </w:pPr>
      <w:r>
        <w:rPr>
          <w:rFonts w:ascii="等线 Light" w:hAnsi="等线 Light" w:eastAsia="黑体" w:cs="Times New Roman"/>
          <w:bCs/>
          <w:color w:val="auto"/>
          <w:kern w:val="2"/>
          <w:sz w:val="28"/>
          <w:szCs w:val="32"/>
          <w:lang w:val="en-US" w:eastAsia="zh-CN" w:bidi="ar-SA"/>
        </w:rPr>
        <w:t>二、事项类别</w:t>
      </w:r>
    </w:p>
    <w:p>
      <w:pPr>
        <w:widowControl w:val="0"/>
        <w:numPr>
          <w:ilvl w:val="0"/>
          <w:numId w:val="3"/>
        </w:numPr>
        <w:spacing w:line="578" w:lineRule="exact"/>
        <w:ind w:left="892" w:hanging="420" w:firstLineChars="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发起方式：人工发起（纳税人）</w:t>
      </w:r>
    </w:p>
    <w:p>
      <w:pPr>
        <w:widowControl w:val="0"/>
        <w:numPr>
          <w:ilvl w:val="0"/>
          <w:numId w:val="3"/>
        </w:numPr>
        <w:spacing w:line="578" w:lineRule="exact"/>
        <w:ind w:left="892" w:hanging="420" w:firstLineChars="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办结方式：即办</w:t>
      </w:r>
    </w:p>
    <w:p>
      <w:pPr>
        <w:widowControl w:val="0"/>
        <w:numPr>
          <w:ilvl w:val="0"/>
          <w:numId w:val="3"/>
        </w:numPr>
        <w:spacing w:line="578" w:lineRule="exact"/>
        <w:ind w:left="892" w:hanging="420" w:firstLineChars="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全省通办：否</w:t>
      </w:r>
    </w:p>
    <w:p>
      <w:pPr>
        <w:widowControl w:val="0"/>
        <w:numPr>
          <w:ilvl w:val="0"/>
          <w:numId w:val="3"/>
        </w:numPr>
        <w:spacing w:line="578" w:lineRule="exact"/>
        <w:ind w:left="892" w:hanging="420" w:firstLineChars="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网上办理：否</w:t>
      </w:r>
    </w:p>
    <w:p>
      <w:pPr>
        <w:widowControl w:val="0"/>
        <w:numPr>
          <w:ilvl w:val="0"/>
          <w:numId w:val="3"/>
        </w:numPr>
        <w:spacing w:line="578" w:lineRule="exact"/>
        <w:ind w:left="892" w:hanging="420" w:firstLineChars="0"/>
        <w:jc w:val="both"/>
        <w:rPr>
          <w:color w:val="auto"/>
        </w:rPr>
      </w:pPr>
      <w:r>
        <w:rPr>
          <w:rFonts w:hint="eastAsia" w:ascii="宋体" w:hAnsi="宋体" w:eastAsia="宋体" w:cs="Times New Roman"/>
          <w:color w:val="auto"/>
          <w:kern w:val="2"/>
          <w:sz w:val="24"/>
          <w:szCs w:val="22"/>
          <w:lang w:val="en-US" w:eastAsia="zh-CN" w:bidi="ar-SA"/>
        </w:rPr>
        <w:t>适用层级：县(市、区)级</w:t>
      </w:r>
    </w:p>
    <w:p>
      <w:pPr>
        <w:widowControl w:val="0"/>
        <w:numPr>
          <w:ilvl w:val="0"/>
          <w:numId w:val="3"/>
        </w:numPr>
        <w:spacing w:line="578" w:lineRule="exact"/>
        <w:ind w:left="892" w:hanging="420" w:firstLineChars="0"/>
        <w:jc w:val="both"/>
        <w:rPr>
          <w:rFonts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最多跑一次：是</w:t>
      </w:r>
    </w:p>
    <w:p>
      <w:pPr>
        <w:pStyle w:val="3"/>
        <w:ind w:firstLine="552"/>
        <w:rPr>
          <w:rFonts w:hint="eastAsia" w:eastAsia="黑体"/>
          <w:color w:val="auto"/>
          <w:lang w:val="en-US" w:eastAsia="zh-CN"/>
        </w:rPr>
      </w:pPr>
      <w:r>
        <w:rPr>
          <w:rFonts w:hint="eastAsia"/>
          <w:color w:val="auto"/>
          <w:lang w:val="en-US" w:eastAsia="zh-CN"/>
        </w:rPr>
        <w:t>三</w:t>
      </w:r>
      <w:r>
        <w:rPr>
          <w:color w:val="auto"/>
        </w:rPr>
        <w:t>、</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非正常户解除是指被税务机关认定为非正常户的纳税人，需恢复履行纳税义务的，向税务机关提出办理解除非正常户。</w:t>
      </w:r>
    </w:p>
    <w:p>
      <w:pPr>
        <w:keepNext/>
        <w:keepLines/>
        <w:widowControl w:val="0"/>
        <w:spacing w:line="578" w:lineRule="exact"/>
        <w:ind w:firstLine="552" w:firstLineChars="200"/>
        <w:jc w:val="both"/>
        <w:outlineLvl w:val="1"/>
        <w:rPr>
          <w:rFonts w:ascii="Calibri Light" w:hAnsi="Calibri Light" w:eastAsia="黑体" w:cs="Times New Roman"/>
          <w:bCs/>
          <w:color w:val="auto"/>
          <w:kern w:val="2"/>
          <w:sz w:val="28"/>
          <w:szCs w:val="32"/>
          <w:lang w:val="en-US" w:eastAsia="zh-CN" w:bidi="ar-SA"/>
        </w:rPr>
      </w:pPr>
      <w:r>
        <w:rPr>
          <w:rFonts w:hint="eastAsia" w:ascii="Calibri Light" w:hAnsi="Calibri Light" w:eastAsia="黑体" w:cs="黑体"/>
          <w:bCs/>
          <w:color w:val="auto"/>
          <w:kern w:val="2"/>
          <w:sz w:val="28"/>
          <w:szCs w:val="32"/>
          <w:lang w:val="en-US" w:eastAsia="zh-CN" w:bidi="ar-SA"/>
        </w:rPr>
        <w:t>四、设定依据</w:t>
      </w:r>
    </w:p>
    <w:p>
      <w:pPr>
        <w:ind w:firstLine="472"/>
        <w:rPr>
          <w:rFonts w:hint="eastAsia"/>
          <w:color w:val="auto"/>
        </w:rPr>
      </w:pPr>
      <w:r>
        <w:rPr>
          <w:rFonts w:hint="eastAsia"/>
          <w:color w:val="auto"/>
        </w:rPr>
        <w:t>1.《国家税务总局关于进一步完善税务登记管理有关问题的公告》（国家税务总局公告2011年第21号）第二条</w:t>
      </w:r>
    </w:p>
    <w:p>
      <w:pPr>
        <w:ind w:firstLine="472"/>
        <w:rPr>
          <w:rFonts w:hint="eastAsia"/>
          <w:color w:val="auto"/>
          <w:lang w:eastAsia="zh-CN"/>
        </w:rPr>
      </w:pPr>
      <w:r>
        <w:rPr>
          <w:rFonts w:hint="eastAsia"/>
          <w:color w:val="auto"/>
          <w:lang w:eastAsia="zh-CN"/>
        </w:rPr>
        <w:t>“</w:t>
      </w:r>
      <w:r>
        <w:rPr>
          <w:rFonts w:hint="eastAsia"/>
          <w:color w:val="auto"/>
        </w:rPr>
        <w:t>严格非正常户认定管理。对经税务机关派员实地核查，查无下落的纳税人，如有欠税且有可以强制执行的财物的，税务机关应按照《税收征收管理法》第四十条的规定采取强制执行措施；纳税人无可以强制执行的财物或虽有可以强制执行的财物但经采取强制执行措施仍无法使其履行纳税义务的，方可认定为非正常户。</w:t>
      </w:r>
      <w:r>
        <w:rPr>
          <w:rFonts w:hint="eastAsia"/>
          <w:color w:val="auto"/>
        </w:rPr>
        <w:br w:type="textWrapping"/>
      </w:r>
      <w:r>
        <w:rPr>
          <w:rFonts w:hint="eastAsia"/>
          <w:color w:val="auto"/>
        </w:rPr>
        <w:t>  开展非正常户公告。税务机关应在非正常户认定的次月，在办税场所或者广播、电视、报纸、期刊、网络等媒体上公告非正常户。纳税人为企业或单位的，公告企业或单位的名称、纳税人识别号、法定代表人或负责人姓名、居民身份证或其他有效身份证件号码、经营地点；纳税人为个体工商户的，公告业户名称、业主姓名、纳税人识别号、居民身份证或其他有效身份证件号码、经营地点。</w:t>
      </w:r>
      <w:r>
        <w:rPr>
          <w:rFonts w:hint="eastAsia"/>
          <w:color w:val="auto"/>
        </w:rPr>
        <w:br w:type="textWrapping"/>
      </w:r>
      <w:r>
        <w:rPr>
          <w:rFonts w:hint="eastAsia"/>
          <w:color w:val="auto"/>
        </w:rPr>
        <w:t>  实施非正常户追踪管理。税务机关发现非正常户纳税人恢复正常生产经营的，应及时处理，并督促其到税务机关办理相关手续。对没有欠税且没有未缴销发票的纳税人，认定为非正常户超过两年的，税务机关可以注销其税务登记证件。</w:t>
      </w:r>
      <w:r>
        <w:rPr>
          <w:rFonts w:hint="eastAsia"/>
          <w:color w:val="auto"/>
        </w:rPr>
        <w:br w:type="textWrapping"/>
      </w:r>
      <w:r>
        <w:rPr>
          <w:rFonts w:hint="eastAsia"/>
          <w:color w:val="auto"/>
        </w:rPr>
        <w:t>  加强非正常户异地协作管理。税务机关要加强非正常户信息交换，形成对非正常户管理的工作合力。对非正常户纳税人的法定代表人或经营者申报办理新的税务登记的，税务机关核发临时税务登记证及副本，限量供应发票。税务机关发现纳税人的法定代表人或经营者在异地为非正常户的法定代表人或经营者的，应通知其回原税务机关办理相关涉税事宜。纳税人的法定代表人或经营者在原税务机关办结相关涉税事宜后，方可申报转办正式的税务登记。</w:t>
      </w:r>
      <w:r>
        <w:rPr>
          <w:rFonts w:hint="eastAsia"/>
          <w:color w:val="auto"/>
          <w:lang w:eastAsia="zh-CN"/>
        </w:rPr>
        <w:t>”</w:t>
      </w:r>
    </w:p>
    <w:p>
      <w:pPr>
        <w:ind w:firstLine="472"/>
        <w:rPr>
          <w:rFonts w:hint="default" w:eastAsia="宋体"/>
          <w:color w:val="auto"/>
          <w:lang w:val="en-US" w:eastAsia="zh-CN"/>
        </w:rPr>
      </w:pPr>
      <w:r>
        <w:rPr>
          <w:rFonts w:hint="eastAsia"/>
          <w:color w:val="auto"/>
        </w:rPr>
        <w:t>2.《国家税务总局关于印发&lt;税收征管操作规范〉的通知》（税总发〔</w:t>
      </w:r>
      <w:r>
        <w:rPr>
          <w:color w:val="auto"/>
        </w:rPr>
        <w:t>2019</w:t>
      </w:r>
      <w:r>
        <w:rPr>
          <w:rFonts w:hint="eastAsia"/>
          <w:color w:val="auto"/>
        </w:rPr>
        <w:t>〕</w:t>
      </w:r>
      <w:r>
        <w:rPr>
          <w:color w:val="auto"/>
        </w:rPr>
        <w:t>75号）</w:t>
      </w:r>
      <w:r>
        <w:rPr>
          <w:rFonts w:hint="eastAsia"/>
          <w:color w:val="auto"/>
          <w:lang w:eastAsia="zh-CN"/>
        </w:rPr>
        <w:t>全文</w:t>
      </w:r>
    </w:p>
    <w:p>
      <w:pPr>
        <w:ind w:left="425" w:firstLine="0" w:firstLineChars="0"/>
        <w:rPr>
          <w:color w:val="auto"/>
        </w:rPr>
      </w:pPr>
      <w:r>
        <w:rPr>
          <w:rFonts w:hint="eastAsia"/>
          <w:color w:val="auto"/>
        </w:rPr>
        <w:t>3.《税务登记管理办法》全文</w:t>
      </w:r>
    </w:p>
    <w:p>
      <w:pPr>
        <w:keepNext/>
        <w:keepLines/>
        <w:widowControl w:val="0"/>
        <w:spacing w:line="578" w:lineRule="exact"/>
        <w:ind w:firstLine="552" w:firstLineChars="200"/>
        <w:jc w:val="both"/>
        <w:outlineLvl w:val="1"/>
        <w:rPr>
          <w:rFonts w:ascii="Calibri Light" w:hAnsi="Calibri Light" w:eastAsia="黑体" w:cs="Times New Roman"/>
          <w:bCs/>
          <w:color w:val="auto"/>
          <w:kern w:val="2"/>
          <w:sz w:val="28"/>
          <w:szCs w:val="32"/>
          <w:lang w:val="en-US" w:eastAsia="zh-CN" w:bidi="ar-SA"/>
        </w:rPr>
      </w:pPr>
      <w:r>
        <w:rPr>
          <w:rFonts w:hint="eastAsia" w:ascii="Calibri Light" w:hAnsi="Calibri Light" w:eastAsia="黑体" w:cs="Times New Roman"/>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序号</w:t>
            </w:r>
          </w:p>
        </w:tc>
        <w:tc>
          <w:tcPr>
            <w:tcW w:w="2551"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资料名称</w:t>
            </w:r>
          </w:p>
        </w:tc>
        <w:tc>
          <w:tcPr>
            <w:tcW w:w="709"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份数</w:t>
            </w:r>
          </w:p>
        </w:tc>
        <w:tc>
          <w:tcPr>
            <w:tcW w:w="992"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报送类型</w:t>
            </w:r>
          </w:p>
        </w:tc>
        <w:tc>
          <w:tcPr>
            <w:tcW w:w="1134" w:type="dxa"/>
            <w:noWrap w:val="0"/>
            <w:vAlign w:val="center"/>
          </w:tcPr>
          <w:p>
            <w:pPr>
              <w:widowControl/>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报送条件</w:t>
            </w:r>
          </w:p>
        </w:tc>
        <w:tc>
          <w:tcPr>
            <w:tcW w:w="1134" w:type="dxa"/>
            <w:noWrap w:val="0"/>
            <w:vAlign w:val="center"/>
          </w:tcPr>
          <w:p>
            <w:pPr>
              <w:widowControl/>
              <w:adjustRightInd w:val="0"/>
              <w:snapToGrid w:val="0"/>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Fonts w:hint="eastAsia" w:ascii="宋体" w:hAnsi="宋体" w:eastAsia="宋体" w:cs="Times New Roman"/>
                <w:b/>
                <w:color w:val="auto"/>
                <w:kern w:val="0"/>
                <w:sz w:val="18"/>
                <w:szCs w:val="18"/>
                <w:lang w:val="en-US" w:eastAsia="zh-CN" w:bidi="ar-SA"/>
              </w:rPr>
              <w:t>资料处理方式（适用于办税服务厅办理）</w:t>
            </w:r>
          </w:p>
        </w:tc>
        <w:tc>
          <w:tcPr>
            <w:tcW w:w="1134" w:type="dxa"/>
            <w:noWrap w:val="0"/>
            <w:vAlign w:val="center"/>
          </w:tcPr>
          <w:p>
            <w:pPr>
              <w:widowControl/>
              <w:adjustRightInd w:val="0"/>
              <w:snapToGrid w:val="0"/>
              <w:spacing w:before="100" w:beforeAutospacing="1" w:after="100" w:afterAutospacing="1" w:line="240" w:lineRule="auto"/>
              <w:ind w:firstLine="0" w:firstLineChars="0"/>
              <w:jc w:val="center"/>
              <w:rPr>
                <w:rFonts w:ascii="Calibri" w:hAnsi="Calibri" w:eastAsia="宋体" w:cs="宋体"/>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电子资料上传（</w:t>
            </w:r>
            <w:r>
              <w:rPr>
                <w:rFonts w:hint="eastAsia" w:ascii="宋体" w:hAnsi="宋体" w:eastAsia="宋体" w:cs="Times New Roman"/>
                <w:b/>
                <w:color w:val="auto"/>
                <w:kern w:val="0"/>
                <w:sz w:val="18"/>
                <w:szCs w:val="18"/>
                <w:lang w:val="en-US" w:eastAsia="zh-CN" w:bidi="ar-SA"/>
              </w:rPr>
              <w:t>适用于电子税务局办理</w:t>
            </w:r>
            <w:r>
              <w:rPr>
                <w:rStyle w:val="17"/>
                <w:rFonts w:hint="eastAsia" w:ascii="宋体" w:hAnsi="宋体" w:eastAsia="宋体" w:cs="微软雅黑"/>
                <w:color w:val="auto"/>
                <w:kern w:val="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纳税人提供情况说明和解除非正常状态的理由</w:t>
            </w:r>
          </w:p>
        </w:tc>
        <w:tc>
          <w:tcPr>
            <w:tcW w:w="709" w:type="dxa"/>
            <w:noWrap w:val="0"/>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r>
    </w:tbl>
    <w:p>
      <w:pPr>
        <w:pStyle w:val="3"/>
        <w:spacing w:line="240" w:lineRule="auto"/>
        <w:ind w:firstLine="552"/>
        <w:rPr>
          <w:rFonts w:hint="eastAsia" w:eastAsia="黑体"/>
          <w:color w:val="auto"/>
          <w:lang w:val="en-US" w:eastAsia="zh-CN"/>
        </w:rPr>
      </w:pPr>
      <w:r>
        <w:rPr>
          <w:rFonts w:hint="eastAsia"/>
          <w:color w:val="auto"/>
          <w:lang w:val="en-US" w:eastAsia="zh-CN"/>
        </w:rPr>
        <w:t>六</w:t>
      </w:r>
      <w:r>
        <w:rPr>
          <w:color w:val="auto"/>
        </w:rPr>
        <w:t>、办理</w:t>
      </w:r>
      <w:r>
        <w:rPr>
          <w:rFonts w:hint="eastAsia"/>
          <w:color w:val="auto"/>
          <w:lang w:val="en-US" w:eastAsia="zh-CN"/>
        </w:rPr>
        <w:t>流程</w:t>
      </w:r>
    </w:p>
    <w:p>
      <w:pPr>
        <w:numPr>
          <w:ilvl w:val="0"/>
          <w:numId w:val="0"/>
        </w:numPr>
        <w:spacing w:line="240" w:lineRule="auto"/>
        <w:ind w:firstLine="552"/>
        <w:jc w:val="center"/>
        <w:rPr>
          <w:color w:val="auto"/>
        </w:rPr>
      </w:pPr>
    </w:p>
    <w:p>
      <w:pPr>
        <w:numPr>
          <w:ilvl w:val="0"/>
          <w:numId w:val="0"/>
        </w:numPr>
        <w:spacing w:line="240" w:lineRule="auto"/>
        <w:ind w:firstLine="552"/>
        <w:jc w:val="center"/>
        <w:rPr>
          <w:rStyle w:val="16"/>
          <w:bCs w:val="0"/>
          <w:color w:val="auto"/>
        </w:rPr>
      </w:pPr>
      <w:r>
        <w:rPr>
          <w:color w:val="auto"/>
        </w:rPr>
        <w:object>
          <v:shape id="_x0000_i1148" o:spt="75" type="#_x0000_t75" style="height:90pt;width:426pt;" o:ole="t" filled="f" o:preferrelative="t" stroked="f" coordsize="21600,21600">
            <v:path/>
            <v:fill on="f" focussize="0,0"/>
            <v:stroke on="f"/>
            <v:imagedata r:id="rId11" o:title=""/>
            <o:lock v:ext="edit" aspectratio="f"/>
            <w10:wrap type="none"/>
            <w10:anchorlock/>
          </v:shape>
          <o:OLEObject Type="Embed" ProgID="Visio.Drawing.11" ShapeID="_x0000_i114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lang w:val="en-US" w:eastAsia="zh-CN"/>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jc w:val="left"/>
        <w:rPr>
          <w:rFonts w:hint="eastAsia" w:eastAsia="宋体"/>
          <w:color w:val="auto"/>
          <w:lang w:eastAsia="zh-CN"/>
        </w:rPr>
      </w:pPr>
      <w:r>
        <w:rPr>
          <w:rFonts w:hint="eastAsia"/>
          <w:color w:val="auto"/>
          <w:lang w:val="en-US" w:eastAsia="zh-CN"/>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3003A6"/>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2019-10-31T04:55:56Z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