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6898"/>
      <w:r>
        <w:rPr>
          <w:rFonts w:hint="eastAsia" w:ascii="黑体" w:hAnsi="黑体"/>
          <w:color w:val="auto"/>
        </w:rPr>
        <w:t>1.3.21.3财务报表报送与信息采集（企业会计制度）</w:t>
      </w:r>
      <w:bookmarkEnd w:id="0"/>
    </w:p>
    <w:p>
      <w:pPr>
        <w:pStyle w:val="3"/>
        <w:ind w:firstLine="552"/>
        <w:rPr>
          <w:color w:val="auto"/>
        </w:rPr>
      </w:pPr>
      <w:r>
        <w:rPr>
          <w:color w:val="auto"/>
        </w:rPr>
        <w:t>一、事项名称</w:t>
      </w:r>
    </w:p>
    <w:p>
      <w:pPr>
        <w:ind w:firstLine="472"/>
        <w:rPr>
          <w:rFonts w:asciiTheme="minorEastAsia" w:hAnsiTheme="minorEastAsia" w:eastAsiaTheme="minorEastAsia" w:cstheme="minorEastAsia"/>
          <w:color w:val="auto"/>
          <w:szCs w:val="24"/>
        </w:rPr>
      </w:pPr>
      <w:r>
        <w:rPr>
          <w:rFonts w:hint="eastAsia" w:asciiTheme="minorEastAsia" w:hAnsiTheme="minorEastAsia" w:eastAsiaTheme="minorEastAsia" w:cstheme="minorEastAsia"/>
          <w:color w:val="auto"/>
          <w:szCs w:val="24"/>
        </w:rPr>
        <w:t>财务报表报送与信息采集（企业会计制度）</w:t>
      </w:r>
    </w:p>
    <w:p>
      <w:pPr>
        <w:pStyle w:val="3"/>
        <w:ind w:firstLine="552"/>
        <w:rPr>
          <w:color w:val="auto"/>
        </w:rPr>
      </w:pPr>
      <w:r>
        <w:rPr>
          <w:color w:val="auto"/>
        </w:rPr>
        <w:t>二、事项类别</w:t>
      </w:r>
    </w:p>
    <w:p>
      <w:pPr>
        <w:pStyle w:val="50"/>
        <w:numPr>
          <w:ilvl w:val="0"/>
          <w:numId w:val="3"/>
        </w:numPr>
        <w:ind w:left="0" w:firstLine="472"/>
        <w:rPr>
          <w:color w:val="auto"/>
        </w:rPr>
      </w:pPr>
      <w:r>
        <w:rPr>
          <w:rFonts w:hint="eastAsia"/>
          <w:color w:val="auto"/>
        </w:rPr>
        <w:t>发起方式：人工发起（纳税人）</w:t>
      </w:r>
    </w:p>
    <w:p>
      <w:pPr>
        <w:pStyle w:val="50"/>
        <w:numPr>
          <w:ilvl w:val="0"/>
          <w:numId w:val="3"/>
        </w:numPr>
        <w:ind w:left="0" w:firstLine="472"/>
        <w:rPr>
          <w:color w:val="auto"/>
        </w:rPr>
      </w:pPr>
      <w:r>
        <w:rPr>
          <w:rFonts w:hint="eastAsia"/>
          <w:color w:val="auto"/>
        </w:rPr>
        <w:t>办结方式：即办</w:t>
      </w:r>
    </w:p>
    <w:p>
      <w:pPr>
        <w:pStyle w:val="50"/>
        <w:numPr>
          <w:ilvl w:val="0"/>
          <w:numId w:val="3"/>
        </w:numPr>
        <w:ind w:left="0" w:firstLine="472"/>
        <w:rPr>
          <w:color w:val="auto"/>
        </w:rPr>
      </w:pPr>
      <w:r>
        <w:rPr>
          <w:rFonts w:hint="eastAsia"/>
          <w:color w:val="auto"/>
        </w:rPr>
        <w:t>全省通办：是</w:t>
      </w:r>
    </w:p>
    <w:p>
      <w:pPr>
        <w:pStyle w:val="50"/>
        <w:numPr>
          <w:ilvl w:val="0"/>
          <w:numId w:val="3"/>
        </w:numPr>
        <w:ind w:left="0" w:firstLine="472"/>
        <w:rPr>
          <w:color w:val="auto"/>
        </w:rPr>
      </w:pPr>
      <w:r>
        <w:rPr>
          <w:rFonts w:hint="eastAsia"/>
          <w:color w:val="auto"/>
        </w:rPr>
        <w:t>网上办理：是</w:t>
      </w:r>
    </w:p>
    <w:p>
      <w:pPr>
        <w:pStyle w:val="50"/>
        <w:numPr>
          <w:ilvl w:val="0"/>
          <w:numId w:val="3"/>
        </w:numPr>
        <w:ind w:left="0" w:firstLine="472"/>
        <w:rPr>
          <w:color w:val="auto"/>
        </w:rPr>
      </w:pPr>
      <w:r>
        <w:rPr>
          <w:rFonts w:hint="eastAsia"/>
          <w:color w:val="auto"/>
        </w:rPr>
        <w:t>适用层级：县(市、区)级</w:t>
      </w:r>
    </w:p>
    <w:p>
      <w:pPr>
        <w:pStyle w:val="48"/>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rFonts w:hint="eastAsia"/>
          <w:color w:val="auto"/>
          <w:szCs w:val="24"/>
        </w:rPr>
      </w:pPr>
      <w:r>
        <w:rPr>
          <w:rFonts w:hint="eastAsia"/>
          <w:color w:val="auto"/>
          <w:szCs w:val="24"/>
        </w:rPr>
        <w:t>在中华人民共和国境内设立的，除不对外筹集资金、经营规模较小的企业，以及金融保险企业外，执行《企业会计制度》的企业，应依照《企业会计制度》要求编制《资产负债表》、《利润表》、《利润分配表》、《现金流量表》、《所有者权益（或股东权益）增减变动表》。</w:t>
      </w:r>
    </w:p>
    <w:p>
      <w:pPr>
        <w:ind w:firstLine="472"/>
        <w:rPr>
          <w:rFonts w:hint="eastAsia"/>
          <w:color w:val="auto"/>
          <w:szCs w:val="24"/>
        </w:rPr>
      </w:pPr>
      <w:r>
        <w:rPr>
          <w:rFonts w:hint="eastAsia"/>
          <w:color w:val="auto"/>
          <w:szCs w:val="24"/>
        </w:rPr>
        <w:t>1．除全国千户集团总部及其成员企业外，执行《企业会计制度》的纳税人原则上仅需报送《资产负债表》和《利润表》。</w:t>
      </w:r>
    </w:p>
    <w:p>
      <w:pPr>
        <w:ind w:firstLine="472"/>
        <w:rPr>
          <w:rFonts w:hint="eastAsia"/>
          <w:color w:val="auto"/>
          <w:szCs w:val="24"/>
        </w:rPr>
      </w:pPr>
      <w:r>
        <w:rPr>
          <w:rFonts w:hint="eastAsia"/>
          <w:color w:val="auto"/>
          <w:szCs w:val="24"/>
        </w:rPr>
        <w:t>2.纳税人财务会计报表报送期间原则上按季度和年度报送，全国千户集团总部及其成员企业按月报送。</w:t>
      </w:r>
    </w:p>
    <w:p>
      <w:pPr>
        <w:ind w:firstLine="472"/>
        <w:rPr>
          <w:rFonts w:hint="eastAsia"/>
          <w:color w:val="auto"/>
          <w:szCs w:val="24"/>
        </w:rPr>
      </w:pPr>
      <w:r>
        <w:rPr>
          <w:rFonts w:hint="eastAsia"/>
          <w:color w:val="auto"/>
          <w:szCs w:val="24"/>
        </w:rPr>
        <w:t>3.全国千户集团总部及其成员企业应按照《国家税务总局关于规范全国千户集团及其成员企业纳税申报时附报财务会计报表有关事项的公告》（国家税务总局公告2016年第67号）在企业所得税预缴纳税申报时附报本级财务会计报表，以及税务机关根据实际需要要求附报的其他纳税资料，境外成员企业可暂不附报。年度终了，应在企业所得税年度纳税申报时，附报本级年度财务会计报表，以及税务机关根据实际需要要求附报的其他纳税资料。</w:t>
      </w:r>
    </w:p>
    <w:p>
      <w:pPr>
        <w:ind w:firstLine="472"/>
        <w:rPr>
          <w:color w:val="auto"/>
          <w:szCs w:val="24"/>
        </w:rPr>
      </w:pPr>
      <w:r>
        <w:rPr>
          <w:rFonts w:hint="eastAsia"/>
          <w:color w:val="auto"/>
          <w:szCs w:val="24"/>
        </w:rPr>
        <w:t>4.执行《投资公司会计核算办法》、《民航企业会计核算办法》、《保险中介公司会计核算办法》、《勘探涉及企业会计核算办法》等其他财政部按照《企业会计制度》制定的行业会计核算办法和会计制度的纳税人，按照《企业会计制度》财务报表格式报送。</w:t>
      </w:r>
    </w:p>
    <w:p>
      <w:pPr>
        <w:pStyle w:val="3"/>
        <w:ind w:firstLine="552"/>
        <w:rPr>
          <w:color w:val="auto"/>
        </w:rPr>
      </w:pPr>
      <w:r>
        <w:rPr>
          <w:rFonts w:hint="eastAsia"/>
          <w:color w:val="auto"/>
        </w:rPr>
        <w:t>四、设定依据</w:t>
      </w:r>
    </w:p>
    <w:p>
      <w:pPr>
        <w:pStyle w:val="77"/>
        <w:spacing w:line="578" w:lineRule="exact"/>
        <w:ind w:firstLine="472" w:firstLineChars="200"/>
        <w:rPr>
          <w:rFonts w:ascii="宋体" w:hAnsi="宋体"/>
          <w:color w:val="auto"/>
          <w:sz w:val="24"/>
          <w:szCs w:val="24"/>
        </w:rPr>
      </w:pPr>
      <w:r>
        <w:rPr>
          <w:rFonts w:hint="eastAsia" w:ascii="宋体" w:hAnsi="宋体"/>
          <w:color w:val="auto"/>
          <w:sz w:val="24"/>
          <w:szCs w:val="24"/>
        </w:rPr>
        <w:t>1.中华人民共和国税收征收管理法》第二十五条第（一）款</w:t>
      </w:r>
    </w:p>
    <w:p>
      <w:pPr>
        <w:pStyle w:val="77"/>
        <w:spacing w:line="578" w:lineRule="exact"/>
        <w:ind w:firstLine="472" w:firstLineChars="200"/>
        <w:rPr>
          <w:rFonts w:ascii="宋体" w:hAnsi="宋体"/>
          <w:color w:val="auto"/>
          <w:sz w:val="24"/>
          <w:szCs w:val="24"/>
        </w:rPr>
      </w:pPr>
      <w:r>
        <w:rPr>
          <w:rFonts w:hint="eastAsia" w:ascii="宋体" w:hAnsi="宋体"/>
          <w:color w:val="auto"/>
          <w:sz w:val="24"/>
          <w:szCs w:val="24"/>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pStyle w:val="77"/>
        <w:spacing w:line="578" w:lineRule="exact"/>
        <w:ind w:firstLine="472" w:firstLineChars="200"/>
        <w:rPr>
          <w:rFonts w:ascii="宋体" w:hAnsi="宋体"/>
          <w:color w:val="auto"/>
          <w:sz w:val="24"/>
          <w:szCs w:val="24"/>
        </w:rPr>
      </w:pPr>
      <w:r>
        <w:rPr>
          <w:rFonts w:hint="eastAsia" w:ascii="宋体" w:hAnsi="宋体"/>
          <w:color w:val="auto"/>
          <w:sz w:val="24"/>
          <w:szCs w:val="24"/>
        </w:rPr>
        <w:t>2.《中华人民共和国税收征收管理法实施细则》（中华人民共和国国务院令第362号）第三十四条第（一）款</w:t>
      </w:r>
    </w:p>
    <w:p>
      <w:pPr>
        <w:pStyle w:val="77"/>
        <w:spacing w:line="578" w:lineRule="exact"/>
        <w:ind w:firstLine="472" w:firstLineChars="200"/>
        <w:rPr>
          <w:rFonts w:ascii="宋体" w:hAnsi="宋体"/>
          <w:color w:val="auto"/>
          <w:sz w:val="24"/>
          <w:szCs w:val="24"/>
        </w:rPr>
      </w:pPr>
      <w:r>
        <w:rPr>
          <w:rFonts w:hint="eastAsia" w:ascii="宋体" w:hAnsi="宋体"/>
          <w:color w:val="auto"/>
          <w:sz w:val="24"/>
          <w:szCs w:val="24"/>
        </w:rPr>
        <w:t>“纳税人办理纳税申报时，应当如实填写纳税申报表，并根据不同的情况相应报送下列有关证件、资料：</w:t>
      </w:r>
    </w:p>
    <w:p>
      <w:pPr>
        <w:pStyle w:val="77"/>
        <w:spacing w:line="578" w:lineRule="exact"/>
        <w:ind w:firstLine="472" w:firstLineChars="200"/>
        <w:rPr>
          <w:rFonts w:ascii="宋体" w:hAnsi="宋体"/>
          <w:color w:val="auto"/>
          <w:sz w:val="24"/>
          <w:szCs w:val="24"/>
        </w:rPr>
      </w:pPr>
      <w:r>
        <w:rPr>
          <w:rFonts w:hint="eastAsia" w:ascii="宋体" w:hAnsi="宋体"/>
          <w:color w:val="auto"/>
          <w:sz w:val="24"/>
          <w:szCs w:val="24"/>
        </w:rPr>
        <w:t>（一）财务会计报表及其说明材料；”</w:t>
      </w:r>
    </w:p>
    <w:p>
      <w:pPr>
        <w:pStyle w:val="77"/>
        <w:spacing w:line="578" w:lineRule="exact"/>
        <w:ind w:firstLine="472" w:firstLineChars="200"/>
        <w:rPr>
          <w:rFonts w:ascii="宋体" w:hAnsi="宋体"/>
          <w:color w:val="auto"/>
          <w:sz w:val="24"/>
          <w:szCs w:val="24"/>
        </w:rPr>
      </w:pPr>
      <w:r>
        <w:rPr>
          <w:rFonts w:hint="eastAsia" w:ascii="宋体" w:hAnsi="宋体"/>
          <w:color w:val="auto"/>
          <w:sz w:val="24"/>
          <w:szCs w:val="24"/>
        </w:rPr>
        <w:t>3.《国家税务总局关于印发〈纳税人财务会计报表报送管理办法〉的通知》（国税发〔2005〕20号）全文</w:t>
      </w:r>
    </w:p>
    <w:p>
      <w:pPr>
        <w:pStyle w:val="77"/>
        <w:spacing w:line="578" w:lineRule="exact"/>
        <w:ind w:firstLine="472" w:firstLineChars="200"/>
        <w:rPr>
          <w:rFonts w:ascii="宋体" w:hAnsi="宋体"/>
          <w:color w:val="auto"/>
          <w:sz w:val="24"/>
          <w:szCs w:val="24"/>
        </w:rPr>
      </w:pPr>
      <w:r>
        <w:rPr>
          <w:rFonts w:hint="eastAsia" w:ascii="宋体" w:hAnsi="宋体"/>
          <w:color w:val="auto"/>
          <w:sz w:val="24"/>
          <w:szCs w:val="24"/>
        </w:rPr>
        <w:t>4.《财政部关于修改〈企业会计准则--基本准则〉的决定》（中华人民共和国财政部令第76号）附列《企业会计准则第30号——财务报表列报》、《企业会计准则第31号——现金流量表》全文</w:t>
      </w:r>
    </w:p>
    <w:p>
      <w:pPr>
        <w:pStyle w:val="77"/>
        <w:spacing w:line="578" w:lineRule="exact"/>
        <w:ind w:firstLine="472" w:firstLineChars="200"/>
        <w:rPr>
          <w:rFonts w:ascii="宋体" w:hAnsi="宋体"/>
          <w:color w:val="auto"/>
          <w:sz w:val="24"/>
          <w:szCs w:val="24"/>
        </w:rPr>
      </w:pPr>
      <w:r>
        <w:rPr>
          <w:rFonts w:hint="eastAsia" w:ascii="宋体" w:hAnsi="宋体"/>
          <w:color w:val="auto"/>
          <w:sz w:val="24"/>
          <w:szCs w:val="24"/>
        </w:rPr>
        <w:t>5.《企业会计制度》（财会〔2000〕25号）全文</w:t>
      </w:r>
    </w:p>
    <w:p>
      <w:pPr>
        <w:pStyle w:val="77"/>
        <w:spacing w:line="578" w:lineRule="exact"/>
        <w:ind w:firstLine="472" w:firstLineChars="200"/>
        <w:rPr>
          <w:rFonts w:ascii="宋体" w:hAnsi="宋体"/>
          <w:color w:val="auto"/>
          <w:sz w:val="24"/>
          <w:szCs w:val="24"/>
        </w:rPr>
      </w:pPr>
      <w:r>
        <w:rPr>
          <w:rFonts w:hint="eastAsia" w:ascii="宋体" w:hAnsi="宋体"/>
          <w:color w:val="auto"/>
          <w:sz w:val="24"/>
          <w:szCs w:val="24"/>
        </w:rPr>
        <w:t>6.《财政部关于公布若干废止和失效的会计准则制度类规范性文件目录的通知》（财会〔2015〕3号）全文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8"/>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8"/>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Style w:val="18"/>
                <w:rFonts w:ascii="宋体" w:hAnsi="宋体" w:eastAsia="宋体" w:cs="微软雅黑"/>
                <w:b w:val="0"/>
                <w:color w:val="auto"/>
                <w:sz w:val="18"/>
                <w:szCs w:val="18"/>
              </w:rPr>
              <w:t>1</w:t>
            </w:r>
          </w:p>
        </w:tc>
        <w:tc>
          <w:tcPr>
            <w:tcW w:w="2551"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r>
              <w:rPr>
                <w:rFonts w:ascii="宋体" w:hAnsi="宋体" w:eastAsia="宋体" w:cs="Arial"/>
                <w:color w:val="auto"/>
                <w:sz w:val="18"/>
              </w:rPr>
              <w:t>《资产负债表（适用执行企业会计制度的企业）》</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Style w:val="18"/>
                <w:rFonts w:ascii="宋体" w:hAnsi="宋体" w:eastAsia="宋体" w:cs="微软雅黑"/>
                <w:b w:val="0"/>
                <w:color w:val="auto"/>
                <w:sz w:val="18"/>
                <w:szCs w:val="18"/>
              </w:rPr>
              <w:t>2</w:t>
            </w:r>
          </w:p>
        </w:tc>
        <w:tc>
          <w:tcPr>
            <w:tcW w:w="2551" w:type="dxa"/>
            <w:shd w:val="clear" w:color="auto" w:fill="auto"/>
            <w:vAlign w:val="top"/>
          </w:tcPr>
          <w:p>
            <w:pPr>
              <w:pStyle w:val="13"/>
              <w:widowControl/>
              <w:spacing w:beforeAutospacing="0" w:afterAutospacing="0" w:line="280" w:lineRule="exact"/>
              <w:ind w:firstLine="0" w:firstLineChars="0"/>
              <w:rPr>
                <w:rFonts w:cs="宋体"/>
                <w:color w:val="auto"/>
                <w:sz w:val="18"/>
                <w:szCs w:val="18"/>
              </w:rPr>
            </w:pPr>
            <w:r>
              <w:rPr>
                <w:rFonts w:ascii="宋体" w:hAnsi="宋体" w:eastAsia="宋体" w:cs="Arial"/>
                <w:color w:val="auto"/>
                <w:sz w:val="18"/>
              </w:rPr>
              <w:t>《利润表（适用执行企业会计制度的企业）》</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Style w:val="18"/>
                <w:rFonts w:ascii="宋体" w:hAnsi="宋体" w:eastAsia="宋体" w:cs="微软雅黑"/>
                <w:b w:val="0"/>
                <w:color w:val="auto"/>
                <w:sz w:val="18"/>
                <w:szCs w:val="18"/>
              </w:rPr>
              <w:t>3</w:t>
            </w:r>
          </w:p>
        </w:tc>
        <w:tc>
          <w:tcPr>
            <w:tcW w:w="2551" w:type="dxa"/>
            <w:shd w:val="clear" w:color="auto" w:fill="auto"/>
            <w:vAlign w:val="center"/>
          </w:tcPr>
          <w:p>
            <w:pPr>
              <w:ind w:firstLine="0" w:firstLineChars="0"/>
              <w:rPr>
                <w:rFonts w:cs="宋体"/>
                <w:color w:val="auto"/>
                <w:kern w:val="0"/>
                <w:sz w:val="18"/>
                <w:szCs w:val="18"/>
              </w:rPr>
            </w:pPr>
            <w:r>
              <w:rPr>
                <w:rFonts w:cs="Arial"/>
                <w:color w:val="auto"/>
                <w:kern w:val="0"/>
                <w:sz w:val="18"/>
                <w:szCs w:val="24"/>
              </w:rPr>
              <w:t>《现金流量表（适用执行企业会计制度的企业）》</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条件报送</w:t>
            </w:r>
          </w:p>
        </w:tc>
        <w:tc>
          <w:tcPr>
            <w:tcW w:w="1134" w:type="dxa"/>
            <w:shd w:val="clear" w:color="auto" w:fill="auto"/>
            <w:vAlign w:val="center"/>
          </w:tcPr>
          <w:p>
            <w:pPr>
              <w:pStyle w:val="13"/>
              <w:widowControl/>
              <w:spacing w:beforeAutospacing="0" w:afterAutospacing="0" w:line="280" w:lineRule="exact"/>
              <w:rPr>
                <w:rFonts w:cs="宋体"/>
                <w:color w:val="auto"/>
                <w:sz w:val="18"/>
                <w:szCs w:val="18"/>
              </w:rPr>
            </w:pPr>
            <w:r>
              <w:rPr>
                <w:rFonts w:hint="eastAsia" w:ascii="宋体" w:hAnsi="宋体" w:eastAsia="宋体"/>
                <w:color w:val="auto"/>
                <w:sz w:val="18"/>
                <w:szCs w:val="18"/>
              </w:rPr>
              <w:t>执行《企业会计制度》的全国千户集团总部及其成员企业</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Style w:val="18"/>
                <w:rFonts w:ascii="宋体" w:hAnsi="宋体" w:eastAsia="宋体" w:cs="微软雅黑"/>
                <w:b w:val="0"/>
                <w:color w:val="auto"/>
                <w:sz w:val="18"/>
                <w:szCs w:val="18"/>
              </w:rPr>
              <w:t>4</w:t>
            </w:r>
          </w:p>
        </w:tc>
        <w:tc>
          <w:tcPr>
            <w:tcW w:w="2551"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r>
              <w:rPr>
                <w:rFonts w:ascii="宋体" w:hAnsi="宋体" w:eastAsia="宋体" w:cs="Arial"/>
                <w:color w:val="auto"/>
                <w:sz w:val="18"/>
              </w:rPr>
              <w:t>《所有者权益（或股东权益）增减变动表（适用执行企业会计制度的企业）》</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条件报送</w:t>
            </w:r>
          </w:p>
        </w:tc>
        <w:tc>
          <w:tcPr>
            <w:tcW w:w="1134" w:type="dxa"/>
            <w:shd w:val="clear" w:color="auto" w:fill="auto"/>
            <w:vAlign w:val="center"/>
          </w:tcPr>
          <w:p>
            <w:pPr>
              <w:pStyle w:val="13"/>
              <w:widowControl/>
              <w:spacing w:beforeAutospacing="0" w:afterAutospacing="0" w:line="280" w:lineRule="exact"/>
              <w:rPr>
                <w:rFonts w:cs="宋体"/>
                <w:color w:val="auto"/>
                <w:sz w:val="18"/>
                <w:szCs w:val="18"/>
              </w:rPr>
            </w:pPr>
            <w:r>
              <w:rPr>
                <w:rFonts w:hint="eastAsia" w:ascii="宋体" w:hAnsi="宋体" w:eastAsia="宋体"/>
                <w:color w:val="auto"/>
                <w:sz w:val="18"/>
                <w:szCs w:val="18"/>
              </w:rPr>
              <w:t>执行《企业会计制度》的全国千户集团总部及其成员企业</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Style w:val="18"/>
                <w:rFonts w:hint="eastAsia" w:ascii="宋体" w:hAnsi="宋体" w:eastAsia="宋体" w:cs="微软雅黑"/>
                <w:b w:val="0"/>
                <w:color w:val="auto"/>
                <w:sz w:val="18"/>
                <w:szCs w:val="18"/>
              </w:rPr>
              <w:t>5</w:t>
            </w:r>
          </w:p>
        </w:tc>
        <w:tc>
          <w:tcPr>
            <w:tcW w:w="2551"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r>
              <w:rPr>
                <w:rFonts w:ascii="宋体" w:hAnsi="宋体" w:eastAsia="宋体" w:cs="Arial"/>
                <w:color w:val="auto"/>
                <w:sz w:val="18"/>
              </w:rPr>
              <w:t>《企业会计制度附注》</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r>
              <w:rPr>
                <w:rFonts w:hint="eastAsia" w:ascii="宋体" w:hAnsi="宋体" w:eastAsia="宋体"/>
                <w:color w:val="auto"/>
                <w:sz w:val="18"/>
                <w:szCs w:val="18"/>
              </w:rPr>
              <w:t>执行《企业会计制度》的全国千户集团总部及其成员企业</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rFonts w:eastAsia="楷体"/>
          <w:color w:val="auto"/>
          <w:sz w:val="28"/>
        </w:rPr>
        <w:object>
          <v:shape id="_x0000_i1118" o:spt="75" type="#_x0000_t75" style="height:117.5pt;width:440.15pt;" o:ole="t" filled="f" o:preferrelative="t" stroked="f" coordsize="21600,21600">
            <v:path/>
            <v:fill on="f" focussize="0,0"/>
            <v:stroke on="f" joinstyle="miter"/>
            <v:imagedata r:id="rId7" o:title=""/>
            <o:lock v:ext="edit" aspectratio="t"/>
            <w10:wrap type="none"/>
            <w10:anchorlock/>
          </v:shape>
          <o:OLEObject Type="Embed" ProgID="Visio.Drawing.11" ShapeID="_x0000_i1118" DrawAspect="Content" ObjectID="_1468075725" r:id="rId6">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1.A06155《资产负债表（适用执行企业会计制度的企业）》</w:t>
      </w:r>
    </w:p>
    <w:p>
      <w:pPr>
        <w:ind w:firstLine="472"/>
        <w:rPr>
          <w:color w:val="auto"/>
        </w:rPr>
      </w:pPr>
      <w:r>
        <w:rPr>
          <w:rFonts w:hint="eastAsia"/>
          <w:color w:val="auto"/>
        </w:rPr>
        <w:t>2.A06156《利润表（适用执行企业会计制度的企业）》</w:t>
      </w:r>
    </w:p>
    <w:p>
      <w:pPr>
        <w:ind w:firstLine="472"/>
        <w:rPr>
          <w:color w:val="auto"/>
        </w:rPr>
      </w:pPr>
      <w:r>
        <w:rPr>
          <w:rFonts w:hint="eastAsia"/>
          <w:color w:val="auto"/>
        </w:rPr>
        <w:t>3.A06157《现金流量表（适用执行企业会计制度的企业）》</w:t>
      </w:r>
    </w:p>
    <w:p>
      <w:pPr>
        <w:ind w:firstLine="472"/>
        <w:rPr>
          <w:color w:val="auto"/>
        </w:rPr>
      </w:pPr>
      <w:r>
        <w:rPr>
          <w:rFonts w:hint="eastAsia"/>
          <w:color w:val="auto"/>
        </w:rPr>
        <w:t>4.A06158《所有者权益（或股东权益）增减变动表（适用执行企业会计制度的企业）》</w:t>
      </w:r>
    </w:p>
    <w:p>
      <w:pPr>
        <w:ind w:firstLine="472"/>
        <w:rPr>
          <w:color w:val="auto"/>
        </w:rPr>
      </w:pPr>
      <w:r>
        <w:rPr>
          <w:rFonts w:hint="eastAsia"/>
          <w:color w:val="auto"/>
        </w:rPr>
        <w:t>5.A06812《企业会计制度附注》</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1.实行定期定额征收增值税、定额征收所得税的纳税人以及实行法定源泉扣缴企业所得税的非居民企业可以不报送财务报表。</w:t>
      </w:r>
    </w:p>
    <w:p>
      <w:pPr>
        <w:ind w:firstLine="472"/>
        <w:rPr>
          <w:rFonts w:hint="eastAsia"/>
          <w:color w:val="auto"/>
        </w:rPr>
      </w:pPr>
      <w:r>
        <w:rPr>
          <w:rFonts w:hint="eastAsia"/>
          <w:color w:val="auto"/>
        </w:rPr>
        <w:t>2.纳税人报送财务报表时，可以报送纸质资料，也可以报送电子信息。</w:t>
      </w:r>
    </w:p>
    <w:p>
      <w:pPr>
        <w:ind w:firstLine="472"/>
        <w:rPr>
          <w:color w:val="auto"/>
        </w:rPr>
      </w:pPr>
      <w:r>
        <w:rPr>
          <w:rFonts w:hint="eastAsia"/>
          <w:color w:val="auto"/>
        </w:rPr>
        <w:t>3.企业所得税纳税人年度汇算清缴时，在年度企业所得税申报期限内报送年度财务会计报表。</w:t>
      </w:r>
    </w:p>
    <w:p>
      <w:pPr>
        <w:ind w:firstLine="472"/>
        <w:rPr>
          <w:color w:val="auto"/>
        </w:rPr>
      </w:pPr>
      <w:r>
        <w:rPr>
          <w:rFonts w:hint="eastAsia"/>
          <w:color w:val="auto"/>
        </w:rPr>
        <w:t>4.纳税人对报送资料的真实性和合法性承担责任。</w:t>
      </w:r>
    </w:p>
    <w:p>
      <w:pPr>
        <w:ind w:firstLine="472"/>
        <w:jc w:val="left"/>
        <w:rPr>
          <w:color w:val="auto"/>
        </w:rPr>
      </w:pPr>
      <w:r>
        <w:rPr>
          <w:rFonts w:hint="eastAsia"/>
          <w:color w:val="auto"/>
        </w:rPr>
        <w:t>5.最多跑一次是在资料完整且符合法定受理条件的前提下，最多只需要到税务机关跑一次。</w:t>
      </w:r>
    </w:p>
    <w:p>
      <w:pPr>
        <w:ind w:firstLine="472"/>
        <w:jc w:val="left"/>
        <w:rPr>
          <w:color w:val="auto"/>
        </w:rPr>
      </w:pPr>
      <w:r>
        <w:rPr>
          <w:rFonts w:hint="eastAsia"/>
          <w:color w:val="auto"/>
        </w:rPr>
        <w:t>6.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color w:val="auto"/>
        </w:rPr>
      </w:pPr>
      <w:r>
        <w:rPr>
          <w:color w:val="auto"/>
        </w:rPr>
        <w:br w:type="page"/>
      </w:r>
    </w:p>
    <w:p>
      <w:pPr>
        <w:ind w:left="0" w:leftChars="0" w:firstLine="0" w:firstLineChars="0"/>
        <w:rPr>
          <w:rFonts w:hint="eastAsia"/>
          <w:lang w:val="en-US" w:eastAsia="zh-CN"/>
        </w:rPr>
      </w:pPr>
    </w:p>
    <w:sectPr>
      <w:headerReference r:id="rId3" w:type="default"/>
      <w:footerReference r:id="rId4" w:type="default"/>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4C620A8D"/>
    <w:multiLevelType w:val="multilevel"/>
    <w:tmpl w:val="4C620A8D"/>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2"/>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5"/>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3530FFF"/>
    <w:rsid w:val="05967E4A"/>
    <w:rsid w:val="05B40DDD"/>
    <w:rsid w:val="06106A23"/>
    <w:rsid w:val="0638782F"/>
    <w:rsid w:val="06AE1BDB"/>
    <w:rsid w:val="08B15238"/>
    <w:rsid w:val="09493D2D"/>
    <w:rsid w:val="09B62072"/>
    <w:rsid w:val="0D33691F"/>
    <w:rsid w:val="0DDA3501"/>
    <w:rsid w:val="0E8625A8"/>
    <w:rsid w:val="0EC8321E"/>
    <w:rsid w:val="0EE35C6A"/>
    <w:rsid w:val="0FEE2BE1"/>
    <w:rsid w:val="10BC060D"/>
    <w:rsid w:val="11CF760D"/>
    <w:rsid w:val="17211E0E"/>
    <w:rsid w:val="17A75A69"/>
    <w:rsid w:val="17B62FF6"/>
    <w:rsid w:val="188F0B80"/>
    <w:rsid w:val="199A131B"/>
    <w:rsid w:val="1AA34BFE"/>
    <w:rsid w:val="1ADE6BF9"/>
    <w:rsid w:val="1AFF235C"/>
    <w:rsid w:val="1B573241"/>
    <w:rsid w:val="1D251F4A"/>
    <w:rsid w:val="1D960B7F"/>
    <w:rsid w:val="1EF94F46"/>
    <w:rsid w:val="21DB276B"/>
    <w:rsid w:val="225A45EF"/>
    <w:rsid w:val="281A0092"/>
    <w:rsid w:val="28A27601"/>
    <w:rsid w:val="2DDE7E2B"/>
    <w:rsid w:val="2F0131D6"/>
    <w:rsid w:val="2F4457D3"/>
    <w:rsid w:val="33111FBB"/>
    <w:rsid w:val="331C5A14"/>
    <w:rsid w:val="334451F7"/>
    <w:rsid w:val="334D732D"/>
    <w:rsid w:val="344B05C9"/>
    <w:rsid w:val="36451E83"/>
    <w:rsid w:val="36E04702"/>
    <w:rsid w:val="37707534"/>
    <w:rsid w:val="38385296"/>
    <w:rsid w:val="3956021E"/>
    <w:rsid w:val="3A85035B"/>
    <w:rsid w:val="3C8501AD"/>
    <w:rsid w:val="3D613CAD"/>
    <w:rsid w:val="3E3F009D"/>
    <w:rsid w:val="3F9839ED"/>
    <w:rsid w:val="3FA56B5B"/>
    <w:rsid w:val="400927BD"/>
    <w:rsid w:val="40172240"/>
    <w:rsid w:val="4044017F"/>
    <w:rsid w:val="40504A07"/>
    <w:rsid w:val="405637C3"/>
    <w:rsid w:val="416F27CF"/>
    <w:rsid w:val="421D2AAA"/>
    <w:rsid w:val="435A6C95"/>
    <w:rsid w:val="44150A4D"/>
    <w:rsid w:val="45265061"/>
    <w:rsid w:val="4543745C"/>
    <w:rsid w:val="45EC62DD"/>
    <w:rsid w:val="45F96008"/>
    <w:rsid w:val="46B53A61"/>
    <w:rsid w:val="48034BC9"/>
    <w:rsid w:val="481E512C"/>
    <w:rsid w:val="48686EF2"/>
    <w:rsid w:val="48AC7D03"/>
    <w:rsid w:val="49C37F7C"/>
    <w:rsid w:val="4A397F3C"/>
    <w:rsid w:val="4AFF4944"/>
    <w:rsid w:val="4F52740E"/>
    <w:rsid w:val="4F9D3E6F"/>
    <w:rsid w:val="509A5D46"/>
    <w:rsid w:val="51A90B18"/>
    <w:rsid w:val="522C2F54"/>
    <w:rsid w:val="54F7470C"/>
    <w:rsid w:val="54FD607A"/>
    <w:rsid w:val="56916021"/>
    <w:rsid w:val="586C2504"/>
    <w:rsid w:val="5A072419"/>
    <w:rsid w:val="5AE54CD3"/>
    <w:rsid w:val="5B216442"/>
    <w:rsid w:val="5D065F3F"/>
    <w:rsid w:val="5D6A3E5A"/>
    <w:rsid w:val="5D6E0C42"/>
    <w:rsid w:val="5D773E9F"/>
    <w:rsid w:val="5F8B4C46"/>
    <w:rsid w:val="5FD74134"/>
    <w:rsid w:val="60BB1526"/>
    <w:rsid w:val="60CC3ECE"/>
    <w:rsid w:val="625E5C17"/>
    <w:rsid w:val="62B70711"/>
    <w:rsid w:val="637642DB"/>
    <w:rsid w:val="64030575"/>
    <w:rsid w:val="64805E15"/>
    <w:rsid w:val="65EC4BB9"/>
    <w:rsid w:val="663441E6"/>
    <w:rsid w:val="6667137C"/>
    <w:rsid w:val="66695C8C"/>
    <w:rsid w:val="67AB76AD"/>
    <w:rsid w:val="680A0C49"/>
    <w:rsid w:val="695D302A"/>
    <w:rsid w:val="6A635B94"/>
    <w:rsid w:val="6AD13263"/>
    <w:rsid w:val="6BE43543"/>
    <w:rsid w:val="6D0B62B6"/>
    <w:rsid w:val="6D1A3B55"/>
    <w:rsid w:val="6DAA4EC2"/>
    <w:rsid w:val="6DEC482F"/>
    <w:rsid w:val="6E254F50"/>
    <w:rsid w:val="6F025CB3"/>
    <w:rsid w:val="6F373310"/>
    <w:rsid w:val="70E3452D"/>
    <w:rsid w:val="711A24A9"/>
    <w:rsid w:val="724C02BE"/>
    <w:rsid w:val="72826A79"/>
    <w:rsid w:val="75674E1E"/>
    <w:rsid w:val="75F923A2"/>
    <w:rsid w:val="76305414"/>
    <w:rsid w:val="76326672"/>
    <w:rsid w:val="76B7766F"/>
    <w:rsid w:val="76E532E0"/>
    <w:rsid w:val="77B525D6"/>
    <w:rsid w:val="78F309B0"/>
    <w:rsid w:val="79263D87"/>
    <w:rsid w:val="7B4C788A"/>
    <w:rsid w:val="7B7B1562"/>
    <w:rsid w:val="7BDA17C2"/>
    <w:rsid w:val="7BFC5873"/>
    <w:rsid w:val="7C393271"/>
    <w:rsid w:val="7DA8638B"/>
    <w:rsid w:val="7ED938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4"/>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9"/>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1"/>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2"/>
    <w:semiHidden/>
    <w:unhideWhenUsed/>
    <w:qFormat/>
    <w:uiPriority w:val="0"/>
    <w:pPr>
      <w:keepNext/>
      <w:keepLines/>
      <w:outlineLvl w:val="3"/>
    </w:pPr>
    <w:rPr>
      <w:rFonts w:eastAsia="楷体" w:asciiTheme="majorHAnsi" w:hAnsiTheme="majorHAnsi" w:cstheme="majorBidi"/>
      <w:bCs/>
      <w:sz w:val="28"/>
      <w:szCs w:val="28"/>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3"/>
    <w:qFormat/>
    <w:uiPriority w:val="0"/>
    <w:rPr>
      <w:sz w:val="18"/>
      <w:szCs w:val="18"/>
    </w:rPr>
  </w:style>
  <w:style w:type="paragraph" w:styleId="7">
    <w:name w:val="annotation text"/>
    <w:basedOn w:val="1"/>
    <w:link w:val="79"/>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4"/>
    <w:qFormat/>
    <w:uiPriority w:val="0"/>
    <w:pPr>
      <w:spacing w:line="240" w:lineRule="auto"/>
    </w:pPr>
    <w:rPr>
      <w:rFonts w:eastAsia="仿宋_GB2312"/>
      <w:sz w:val="18"/>
      <w:szCs w:val="18"/>
    </w:rPr>
  </w:style>
  <w:style w:type="paragraph" w:styleId="10">
    <w:name w:val="footer"/>
    <w:basedOn w:val="1"/>
    <w:link w:val="55"/>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6"/>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2"/>
    <w:qFormat/>
    <w:uiPriority w:val="0"/>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FollowedHyperlink"/>
    <w:basedOn w:val="17"/>
    <w:qFormat/>
    <w:uiPriority w:val="0"/>
    <w:rPr>
      <w:rFonts w:ascii="Times New Roman" w:hAnsi="Times New Roman" w:eastAsia="宋体" w:cs="Times New Roman"/>
      <w:color w:val="333333"/>
      <w:u w:val="none"/>
    </w:rPr>
  </w:style>
  <w:style w:type="character" w:styleId="20">
    <w:name w:val="Emphasis"/>
    <w:basedOn w:val="17"/>
    <w:qFormat/>
    <w:uiPriority w:val="0"/>
    <w:rPr>
      <w:rFonts w:asciiTheme="minorHAnsi" w:hAnsiTheme="minorHAnsi" w:eastAsiaTheme="minorEastAsia" w:cstheme="minorBidi"/>
      <w:i/>
    </w:rPr>
  </w:style>
  <w:style w:type="character" w:styleId="21">
    <w:name w:val="HTML Definition"/>
    <w:basedOn w:val="17"/>
    <w:qFormat/>
    <w:uiPriority w:val="0"/>
    <w:rPr>
      <w:rFonts w:asciiTheme="minorHAnsi" w:hAnsiTheme="minorHAnsi" w:eastAsiaTheme="minorEastAsia" w:cstheme="minorBidi"/>
      <w:i/>
    </w:rPr>
  </w:style>
  <w:style w:type="character" w:styleId="22">
    <w:name w:val="HTML Variable"/>
    <w:basedOn w:val="17"/>
    <w:qFormat/>
    <w:uiPriority w:val="0"/>
    <w:rPr>
      <w:rFonts w:asciiTheme="minorHAnsi" w:hAnsiTheme="minorHAnsi" w:eastAsiaTheme="minorEastAsia" w:cstheme="minorBidi"/>
    </w:rPr>
  </w:style>
  <w:style w:type="character" w:styleId="23">
    <w:name w:val="Hyperlink"/>
    <w:basedOn w:val="17"/>
    <w:qFormat/>
    <w:uiPriority w:val="0"/>
    <w:rPr>
      <w:rFonts w:ascii="Times New Roman" w:hAnsi="Times New Roman" w:eastAsia="宋体" w:cs="Times New Roman"/>
      <w:color w:val="333333"/>
      <w:u w:val="none"/>
    </w:rPr>
  </w:style>
  <w:style w:type="character" w:styleId="24">
    <w:name w:val="HTML Code"/>
    <w:basedOn w:val="17"/>
    <w:qFormat/>
    <w:uiPriority w:val="0"/>
    <w:rPr>
      <w:rFonts w:ascii="Consolas" w:hAnsi="Consolas" w:eastAsia="Consolas" w:cs="Consolas"/>
      <w:sz w:val="21"/>
      <w:szCs w:val="21"/>
    </w:rPr>
  </w:style>
  <w:style w:type="character" w:styleId="25">
    <w:name w:val="annotation reference"/>
    <w:basedOn w:val="17"/>
    <w:qFormat/>
    <w:uiPriority w:val="0"/>
    <w:rPr>
      <w:rFonts w:asciiTheme="minorHAnsi" w:hAnsiTheme="minorHAnsi" w:eastAsiaTheme="minorEastAsia" w:cstheme="minorBidi"/>
      <w:sz w:val="21"/>
      <w:szCs w:val="21"/>
    </w:rPr>
  </w:style>
  <w:style w:type="character" w:styleId="26">
    <w:name w:val="HTML Cite"/>
    <w:basedOn w:val="17"/>
    <w:qFormat/>
    <w:uiPriority w:val="0"/>
    <w:rPr>
      <w:rFonts w:asciiTheme="minorHAnsi" w:hAnsiTheme="minorHAnsi" w:eastAsiaTheme="minorEastAsia" w:cstheme="minorBidi"/>
    </w:rPr>
  </w:style>
  <w:style w:type="character" w:styleId="27">
    <w:name w:val="HTML Keyboard"/>
    <w:basedOn w:val="17"/>
    <w:qFormat/>
    <w:uiPriority w:val="0"/>
    <w:rPr>
      <w:rFonts w:hint="default" w:ascii="serif" w:hAnsi="serif" w:eastAsia="serif" w:cs="serif"/>
      <w:sz w:val="21"/>
      <w:szCs w:val="21"/>
    </w:rPr>
  </w:style>
  <w:style w:type="character" w:styleId="28">
    <w:name w:val="HTML Sample"/>
    <w:basedOn w:val="17"/>
    <w:qFormat/>
    <w:uiPriority w:val="0"/>
    <w:rPr>
      <w:rFonts w:ascii="serif" w:hAnsi="serif" w:eastAsia="serif" w:cs="serif"/>
      <w:sz w:val="21"/>
      <w:szCs w:val="21"/>
    </w:rPr>
  </w:style>
  <w:style w:type="character" w:customStyle="1" w:styleId="29">
    <w:name w:val="标题 1 Char"/>
    <w:basedOn w:val="17"/>
    <w:link w:val="2"/>
    <w:qFormat/>
    <w:uiPriority w:val="9"/>
    <w:rPr>
      <w:rFonts w:eastAsia="黑体"/>
      <w:bCs/>
      <w:kern w:val="44"/>
      <w:sz w:val="28"/>
      <w:szCs w:val="44"/>
    </w:rPr>
  </w:style>
  <w:style w:type="character" w:customStyle="1" w:styleId="30">
    <w:name w:val="标题 2 Char"/>
    <w:basedOn w:val="17"/>
    <w:link w:val="3"/>
    <w:qFormat/>
    <w:uiPriority w:val="9"/>
    <w:rPr>
      <w:rFonts w:eastAsia="黑体" w:asciiTheme="majorHAnsi" w:hAnsiTheme="majorHAnsi" w:cstheme="majorBidi"/>
      <w:bCs/>
      <w:sz w:val="28"/>
      <w:szCs w:val="32"/>
    </w:rPr>
  </w:style>
  <w:style w:type="character" w:customStyle="1" w:styleId="31">
    <w:name w:val="标题 3 Char"/>
    <w:basedOn w:val="17"/>
    <w:link w:val="4"/>
    <w:qFormat/>
    <w:uiPriority w:val="0"/>
    <w:rPr>
      <w:rFonts w:eastAsia="仿宋_GB2312"/>
      <w:b/>
      <w:bCs/>
      <w:sz w:val="32"/>
      <w:szCs w:val="32"/>
    </w:rPr>
  </w:style>
  <w:style w:type="paragraph" w:customStyle="1" w:styleId="32">
    <w:name w:val="编号1"/>
    <w:link w:val="33"/>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3">
    <w:name w:val="编号1 字符"/>
    <w:basedOn w:val="34"/>
    <w:link w:val="32"/>
    <w:qFormat/>
    <w:uiPriority w:val="0"/>
    <w:rPr>
      <w:rFonts w:ascii="宋体" w:hAnsi="宋体" w:eastAsia="宋体" w:cs="Times New Roman"/>
      <w:b/>
      <w:bCs w:val="0"/>
      <w:kern w:val="44"/>
      <w:sz w:val="44"/>
      <w:szCs w:val="44"/>
    </w:rPr>
  </w:style>
  <w:style w:type="character" w:customStyle="1" w:styleId="34">
    <w:name w:val="Heading 1 Char"/>
    <w:basedOn w:val="17"/>
    <w:link w:val="2"/>
    <w:qFormat/>
    <w:locked/>
    <w:uiPriority w:val="99"/>
    <w:rPr>
      <w:rFonts w:ascii="Times New Roman" w:hAnsi="Times New Roman" w:eastAsia="黑体" w:cs="Times New Roman"/>
      <w:bCs/>
      <w:kern w:val="44"/>
      <w:sz w:val="44"/>
      <w:szCs w:val="44"/>
    </w:rPr>
  </w:style>
  <w:style w:type="paragraph" w:customStyle="1" w:styleId="35">
    <w:name w:val="编号2"/>
    <w:link w:val="36"/>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6">
    <w:name w:val="编号2 字符"/>
    <w:basedOn w:val="33"/>
    <w:link w:val="35"/>
    <w:qFormat/>
    <w:uiPriority w:val="0"/>
    <w:rPr>
      <w:rFonts w:ascii="宋体" w:hAnsi="宋体" w:eastAsia="宋体" w:cs="Times New Roman"/>
      <w:bCs/>
      <w:kern w:val="44"/>
      <w:sz w:val="32"/>
      <w:szCs w:val="44"/>
    </w:rPr>
  </w:style>
  <w:style w:type="paragraph" w:customStyle="1" w:styleId="37">
    <w:name w:val="编号3"/>
    <w:link w:val="38"/>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8">
    <w:name w:val="编号3 字符"/>
    <w:basedOn w:val="39"/>
    <w:link w:val="37"/>
    <w:qFormat/>
    <w:uiPriority w:val="0"/>
    <w:rPr>
      <w:rFonts w:eastAsia="宋体" w:asciiTheme="majorHAnsi" w:hAnsiTheme="majorHAnsi" w:cstheme="majorBidi"/>
      <w:kern w:val="44"/>
      <w:sz w:val="28"/>
      <w:szCs w:val="44"/>
    </w:rPr>
  </w:style>
  <w:style w:type="character" w:customStyle="1" w:styleId="39">
    <w:name w:val="Heading 2 Char"/>
    <w:basedOn w:val="17"/>
    <w:link w:val="3"/>
    <w:qFormat/>
    <w:locked/>
    <w:uiPriority w:val="99"/>
    <w:rPr>
      <w:rFonts w:ascii="等线 Light" w:hAnsi="等线 Light" w:eastAsia="黑体" w:cs="Times New Roman"/>
      <w:bCs/>
      <w:sz w:val="32"/>
      <w:szCs w:val="32"/>
    </w:rPr>
  </w:style>
  <w:style w:type="paragraph" w:customStyle="1" w:styleId="40">
    <w:name w:val="标题一"/>
    <w:next w:val="1"/>
    <w:link w:val="41"/>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1">
    <w:name w:val="标题一 字符"/>
    <w:basedOn w:val="34"/>
    <w:link w:val="40"/>
    <w:qFormat/>
    <w:uiPriority w:val="0"/>
    <w:rPr>
      <w:rFonts w:ascii="方正小标宋_GBK" w:hAnsi="宋体" w:eastAsia="黑体" w:cs="Times New Roman"/>
      <w:bCs w:val="0"/>
      <w:kern w:val="44"/>
      <w:sz w:val="32"/>
      <w:szCs w:val="44"/>
    </w:rPr>
  </w:style>
  <w:style w:type="paragraph" w:customStyle="1" w:styleId="42">
    <w:name w:val="标题二"/>
    <w:link w:val="43"/>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3">
    <w:name w:val="标题二 字符"/>
    <w:basedOn w:val="17"/>
    <w:link w:val="42"/>
    <w:qFormat/>
    <w:uiPriority w:val="0"/>
    <w:rPr>
      <w:rFonts w:eastAsia="楷体"/>
      <w:bCs/>
      <w:kern w:val="44"/>
      <w:sz w:val="32"/>
      <w:szCs w:val="44"/>
    </w:rPr>
  </w:style>
  <w:style w:type="character" w:customStyle="1" w:styleId="44">
    <w:name w:val="页眉 Char"/>
    <w:basedOn w:val="17"/>
    <w:link w:val="11"/>
    <w:qFormat/>
    <w:uiPriority w:val="99"/>
    <w:rPr>
      <w:rFonts w:ascii="宋体" w:hAnsi="宋体" w:eastAsia="仿宋_GB2312" w:cs="Times New Roman"/>
      <w:sz w:val="18"/>
      <w:szCs w:val="18"/>
    </w:rPr>
  </w:style>
  <w:style w:type="character" w:customStyle="1" w:styleId="45">
    <w:name w:val="页脚 Char"/>
    <w:basedOn w:val="17"/>
    <w:link w:val="10"/>
    <w:qFormat/>
    <w:uiPriority w:val="99"/>
    <w:rPr>
      <w:rFonts w:ascii="宋体" w:hAnsi="宋体" w:eastAsia="仿宋_GB2312" w:cs="Times New Roman"/>
      <w:sz w:val="18"/>
      <w:szCs w:val="18"/>
    </w:rPr>
  </w:style>
  <w:style w:type="character" w:customStyle="1" w:styleId="46">
    <w:name w:val="标题 4 Char"/>
    <w:basedOn w:val="17"/>
    <w:link w:val="5"/>
    <w:qFormat/>
    <w:uiPriority w:val="9"/>
    <w:rPr>
      <w:rFonts w:eastAsia="楷体" w:asciiTheme="majorHAnsi" w:hAnsiTheme="majorHAnsi" w:cstheme="majorBidi"/>
      <w:bCs/>
      <w:sz w:val="28"/>
      <w:szCs w:val="28"/>
    </w:rPr>
  </w:style>
  <w:style w:type="character" w:customStyle="1" w:styleId="47">
    <w:name w:val="批注框文本 Char"/>
    <w:basedOn w:val="17"/>
    <w:link w:val="9"/>
    <w:semiHidden/>
    <w:qFormat/>
    <w:uiPriority w:val="99"/>
    <w:rPr>
      <w:rFonts w:ascii="宋体" w:hAnsi="宋体" w:eastAsia="仿宋_GB2312" w:cs="Times New Roman"/>
      <w:sz w:val="18"/>
      <w:szCs w:val="18"/>
    </w:rPr>
  </w:style>
  <w:style w:type="paragraph" w:customStyle="1" w:styleId="48">
    <w:name w:val="列出段落1"/>
    <w:basedOn w:val="1"/>
    <w:qFormat/>
    <w:uiPriority w:val="34"/>
    <w:pPr>
      <w:ind w:firstLine="420"/>
    </w:pPr>
  </w:style>
  <w:style w:type="character" w:customStyle="1" w:styleId="49">
    <w:name w:val="文档结构图 Char"/>
    <w:basedOn w:val="17"/>
    <w:link w:val="6"/>
    <w:semiHidden/>
    <w:qFormat/>
    <w:uiPriority w:val="99"/>
    <w:rPr>
      <w:rFonts w:ascii="宋体" w:hAnsi="宋体" w:eastAsia="宋体" w:cs="Times New Roman"/>
      <w:sz w:val="18"/>
      <w:szCs w:val="18"/>
    </w:rPr>
  </w:style>
  <w:style w:type="paragraph" w:styleId="50">
    <w:name w:val="List Paragraph"/>
    <w:basedOn w:val="1"/>
    <w:qFormat/>
    <w:uiPriority w:val="99"/>
    <w:pPr>
      <w:ind w:firstLine="420"/>
    </w:pPr>
  </w:style>
  <w:style w:type="character" w:customStyle="1" w:styleId="51">
    <w:name w:val="Heading 3 Char"/>
    <w:basedOn w:val="17"/>
    <w:link w:val="4"/>
    <w:qFormat/>
    <w:locked/>
    <w:uiPriority w:val="99"/>
    <w:rPr>
      <w:rFonts w:ascii="Times New Roman" w:hAnsi="Times New Roman" w:eastAsia="仿宋_GB2312" w:cs="Times New Roman"/>
      <w:b/>
      <w:bCs/>
      <w:sz w:val="32"/>
      <w:szCs w:val="32"/>
    </w:rPr>
  </w:style>
  <w:style w:type="character" w:customStyle="1" w:styleId="52">
    <w:name w:val="Heading 4 Char"/>
    <w:basedOn w:val="17"/>
    <w:link w:val="5"/>
    <w:qFormat/>
    <w:locked/>
    <w:uiPriority w:val="99"/>
    <w:rPr>
      <w:rFonts w:ascii="等线 Light" w:hAnsi="等线 Light" w:eastAsia="楷体" w:cs="Times New Roman"/>
      <w:bCs/>
      <w:sz w:val="28"/>
      <w:szCs w:val="28"/>
    </w:rPr>
  </w:style>
  <w:style w:type="character" w:customStyle="1" w:styleId="53">
    <w:name w:val="Document Map Char"/>
    <w:basedOn w:val="17"/>
    <w:link w:val="6"/>
    <w:semiHidden/>
    <w:qFormat/>
    <w:locked/>
    <w:uiPriority w:val="99"/>
    <w:rPr>
      <w:rFonts w:ascii="宋体" w:hAnsi="宋体" w:eastAsia="宋体" w:cs="Times New Roman"/>
      <w:sz w:val="18"/>
      <w:szCs w:val="18"/>
    </w:rPr>
  </w:style>
  <w:style w:type="character" w:customStyle="1" w:styleId="54">
    <w:name w:val="Balloon Text Char"/>
    <w:basedOn w:val="17"/>
    <w:link w:val="9"/>
    <w:semiHidden/>
    <w:qFormat/>
    <w:locked/>
    <w:uiPriority w:val="99"/>
    <w:rPr>
      <w:rFonts w:ascii="宋体" w:hAnsi="宋体" w:eastAsia="仿宋_GB2312" w:cs="Times New Roman"/>
      <w:sz w:val="18"/>
      <w:szCs w:val="18"/>
    </w:rPr>
  </w:style>
  <w:style w:type="character" w:customStyle="1" w:styleId="55">
    <w:name w:val="Footer Char"/>
    <w:basedOn w:val="17"/>
    <w:link w:val="10"/>
    <w:qFormat/>
    <w:locked/>
    <w:uiPriority w:val="99"/>
    <w:rPr>
      <w:rFonts w:ascii="宋体" w:hAnsi="宋体" w:eastAsia="仿宋_GB2312" w:cs="Times New Roman"/>
      <w:sz w:val="18"/>
      <w:szCs w:val="18"/>
    </w:rPr>
  </w:style>
  <w:style w:type="character" w:customStyle="1" w:styleId="56">
    <w:name w:val="Header Char"/>
    <w:basedOn w:val="17"/>
    <w:link w:val="11"/>
    <w:qFormat/>
    <w:locked/>
    <w:uiPriority w:val="99"/>
    <w:rPr>
      <w:rFonts w:ascii="宋体" w:hAnsi="宋体" w:eastAsia="仿宋_GB2312" w:cs="Times New Roman"/>
      <w:sz w:val="18"/>
      <w:szCs w:val="18"/>
    </w:rPr>
  </w:style>
  <w:style w:type="character" w:customStyle="1" w:styleId="57">
    <w:name w:val="wz"/>
    <w:basedOn w:val="17"/>
    <w:qFormat/>
    <w:uiPriority w:val="0"/>
    <w:rPr>
      <w:rFonts w:ascii="Times New Roman" w:hAnsi="Times New Roman" w:eastAsia="宋体" w:cs="Times New Roman"/>
      <w:color w:val="808080"/>
    </w:rPr>
  </w:style>
  <w:style w:type="character" w:customStyle="1" w:styleId="58">
    <w:name w:val="hao1"/>
    <w:basedOn w:val="17"/>
    <w:qFormat/>
    <w:uiPriority w:val="0"/>
    <w:rPr>
      <w:rFonts w:ascii="Times New Roman" w:hAnsi="Times New Roman" w:eastAsia="宋体" w:cs="Times New Roman"/>
      <w:b/>
    </w:rPr>
  </w:style>
  <w:style w:type="character" w:customStyle="1" w:styleId="59">
    <w:name w:val="hao12"/>
    <w:basedOn w:val="17"/>
    <w:qFormat/>
    <w:uiPriority w:val="0"/>
    <w:rPr>
      <w:rFonts w:ascii="Times New Roman" w:hAnsi="Times New Roman" w:eastAsia="宋体" w:cs="Times New Roman"/>
      <w:b/>
    </w:rPr>
  </w:style>
  <w:style w:type="character" w:customStyle="1" w:styleId="60">
    <w:name w:val="gwds_nopic"/>
    <w:basedOn w:val="17"/>
    <w:qFormat/>
    <w:uiPriority w:val="0"/>
    <w:rPr>
      <w:rFonts w:ascii="Times New Roman" w:hAnsi="Times New Roman" w:eastAsia="宋体" w:cs="Times New Roman"/>
    </w:rPr>
  </w:style>
  <w:style w:type="character" w:customStyle="1" w:styleId="61">
    <w:name w:val="gwds_nopic1"/>
    <w:basedOn w:val="17"/>
    <w:qFormat/>
    <w:uiPriority w:val="0"/>
    <w:rPr>
      <w:rFonts w:ascii="Times New Roman" w:hAnsi="Times New Roman" w:eastAsia="宋体" w:cs="Times New Roman"/>
    </w:rPr>
  </w:style>
  <w:style w:type="character" w:customStyle="1" w:styleId="62">
    <w:name w:val="gwds_nopic2"/>
    <w:basedOn w:val="17"/>
    <w:qFormat/>
    <w:uiPriority w:val="0"/>
    <w:rPr>
      <w:rFonts w:ascii="Times New Roman" w:hAnsi="Times New Roman" w:eastAsia="宋体" w:cs="Times New Roman"/>
    </w:rPr>
  </w:style>
  <w:style w:type="paragraph" w:customStyle="1" w:styleId="63">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5">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6">
    <w:name w:val="fontstyle01"/>
    <w:basedOn w:val="17"/>
    <w:qFormat/>
    <w:uiPriority w:val="0"/>
    <w:rPr>
      <w:rFonts w:ascii="宋体" w:hAnsi="宋体" w:eastAsia="宋体" w:cs="宋体"/>
      <w:color w:val="000000"/>
      <w:sz w:val="32"/>
      <w:szCs w:val="32"/>
    </w:rPr>
  </w:style>
  <w:style w:type="character" w:customStyle="1" w:styleId="67">
    <w:name w:val="active3"/>
    <w:basedOn w:val="17"/>
    <w:qFormat/>
    <w:uiPriority w:val="0"/>
    <w:rPr>
      <w:rFonts w:asciiTheme="minorHAnsi" w:hAnsiTheme="minorHAnsi" w:eastAsiaTheme="minorEastAsia" w:cstheme="minorBidi"/>
      <w:shd w:val="clear" w:color="auto" w:fill="222222"/>
    </w:rPr>
  </w:style>
  <w:style w:type="character" w:customStyle="1" w:styleId="68">
    <w:name w:val="active4"/>
    <w:basedOn w:val="17"/>
    <w:qFormat/>
    <w:uiPriority w:val="0"/>
    <w:rPr>
      <w:rFonts w:asciiTheme="minorHAnsi" w:hAnsiTheme="minorHAnsi" w:eastAsiaTheme="minorEastAsia" w:cstheme="minorBidi"/>
      <w:color w:val="FFFFFF"/>
      <w:shd w:val="clear" w:color="auto" w:fill="222222"/>
    </w:rPr>
  </w:style>
  <w:style w:type="character" w:customStyle="1" w:styleId="69">
    <w:name w:val="current"/>
    <w:basedOn w:val="17"/>
    <w:qFormat/>
    <w:uiPriority w:val="0"/>
    <w:rPr>
      <w:rFonts w:asciiTheme="minorHAnsi" w:hAnsiTheme="minorHAnsi" w:eastAsiaTheme="minorEastAsia" w:cstheme="minorBidi"/>
      <w:color w:val="FFFFFF"/>
      <w:shd w:val="clear" w:color="auto" w:fill="222222"/>
    </w:rPr>
  </w:style>
  <w:style w:type="character" w:customStyle="1" w:styleId="70">
    <w:name w:val="tmpztreemove_arrow"/>
    <w:basedOn w:val="17"/>
    <w:qFormat/>
    <w:uiPriority w:val="0"/>
    <w:rPr>
      <w:rFonts w:asciiTheme="minorHAnsi" w:hAnsiTheme="minorHAnsi" w:eastAsiaTheme="minorEastAsia" w:cstheme="minorBidi"/>
    </w:rPr>
  </w:style>
  <w:style w:type="character" w:customStyle="1" w:styleId="71">
    <w:name w:val="button"/>
    <w:basedOn w:val="17"/>
    <w:qFormat/>
    <w:uiPriority w:val="0"/>
    <w:rPr>
      <w:rFonts w:asciiTheme="minorHAnsi" w:hAnsiTheme="minorHAnsi" w:eastAsiaTheme="minorEastAsia" w:cstheme="minorBidi"/>
    </w:rPr>
  </w:style>
  <w:style w:type="paragraph" w:customStyle="1" w:styleId="72">
    <w:name w:val="列出段落11"/>
    <w:basedOn w:val="1"/>
    <w:qFormat/>
    <w:uiPriority w:val="34"/>
    <w:pPr>
      <w:ind w:firstLine="420"/>
    </w:pPr>
  </w:style>
  <w:style w:type="character" w:customStyle="1" w:styleId="73">
    <w:name w:val="正文 首行缩进 Char"/>
    <w:link w:val="74"/>
    <w:qFormat/>
    <w:uiPriority w:val="99"/>
    <w:rPr>
      <w:rFonts w:ascii="Arial" w:hAnsi="Arial" w:eastAsiaTheme="minorEastAsia" w:cstheme="minorBidi"/>
      <w:sz w:val="21"/>
    </w:rPr>
  </w:style>
  <w:style w:type="paragraph" w:customStyle="1" w:styleId="74">
    <w:name w:val="正文 首行缩进"/>
    <w:basedOn w:val="1"/>
    <w:link w:val="73"/>
    <w:qFormat/>
    <w:uiPriority w:val="99"/>
    <w:pPr>
      <w:spacing w:line="360" w:lineRule="auto"/>
      <w:ind w:firstLine="420"/>
    </w:pPr>
    <w:rPr>
      <w:rFonts w:ascii="Arial" w:hAnsi="Arial" w:eastAsiaTheme="minorEastAsia" w:cstheme="minorBidi"/>
      <w:sz w:val="21"/>
    </w:rPr>
  </w:style>
  <w:style w:type="paragraph" w:customStyle="1" w:styleId="75">
    <w:name w:val="表格标题_0"/>
    <w:basedOn w:val="1"/>
    <w:link w:val="81"/>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6">
    <w:name w:val="标题 3_0"/>
    <w:basedOn w:val="1"/>
    <w:next w:val="1"/>
    <w:link w:val="80"/>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7">
    <w:name w:val="需求正文"/>
    <w:basedOn w:val="1"/>
    <w:link w:val="78"/>
    <w:qFormat/>
    <w:uiPriority w:val="0"/>
    <w:pPr>
      <w:spacing w:line="240" w:lineRule="auto"/>
      <w:ind w:firstLine="420" w:firstLineChars="0"/>
    </w:pPr>
    <w:rPr>
      <w:rFonts w:ascii="Arial" w:hAnsi="Arial"/>
      <w:sz w:val="21"/>
    </w:rPr>
  </w:style>
  <w:style w:type="character" w:customStyle="1" w:styleId="78">
    <w:name w:val="需求正文 Char"/>
    <w:link w:val="77"/>
    <w:qFormat/>
    <w:uiPriority w:val="0"/>
    <w:rPr>
      <w:rFonts w:ascii="Arial" w:hAnsi="Arial" w:eastAsiaTheme="minorEastAsia" w:cstheme="minorBidi"/>
      <w:sz w:val="21"/>
    </w:rPr>
  </w:style>
  <w:style w:type="character" w:customStyle="1" w:styleId="79">
    <w:name w:val="批注文字 Char"/>
    <w:basedOn w:val="17"/>
    <w:link w:val="7"/>
    <w:semiHidden/>
    <w:qFormat/>
    <w:uiPriority w:val="99"/>
    <w:rPr>
      <w:rFonts w:asciiTheme="minorHAnsi" w:hAnsiTheme="minorHAnsi" w:eastAsiaTheme="minorEastAsia" w:cstheme="minorBidi"/>
    </w:rPr>
  </w:style>
  <w:style w:type="character" w:customStyle="1" w:styleId="80">
    <w:name w:val="标题 3 Char_0"/>
    <w:link w:val="76"/>
    <w:qFormat/>
    <w:locked/>
    <w:uiPriority w:val="9"/>
    <w:rPr>
      <w:rFonts w:ascii="Times New Roman" w:hAnsi="Times New Roman" w:eastAsiaTheme="minorEastAsia" w:cstheme="minorBidi"/>
      <w:b/>
      <w:bCs/>
      <w:kern w:val="0"/>
      <w:sz w:val="32"/>
      <w:szCs w:val="32"/>
    </w:rPr>
  </w:style>
  <w:style w:type="character" w:customStyle="1" w:styleId="81">
    <w:name w:val="表格标题 Char"/>
    <w:link w:val="75"/>
    <w:qFormat/>
    <w:uiPriority w:val="0"/>
    <w:rPr>
      <w:rFonts w:ascii="Calibri" w:hAnsi="Calibri" w:eastAsiaTheme="minorEastAsia" w:cstheme="minorBidi"/>
      <w:b/>
      <w:kern w:val="0"/>
      <w:sz w:val="18"/>
      <w:szCs w:val="18"/>
    </w:rPr>
  </w:style>
  <w:style w:type="character" w:customStyle="1" w:styleId="82">
    <w:name w:val="批注主题 Char"/>
    <w:basedOn w:val="79"/>
    <w:link w:val="14"/>
    <w:semiHidden/>
    <w:qFormat/>
    <w:uiPriority w:val="99"/>
    <w:rPr>
      <w:rFonts w:asciiTheme="minorHAnsi" w:hAnsiTheme="minorHAnsi" w:eastAsiaTheme="minorEastAsia" w:cstheme="minorBidi"/>
      <w:b/>
      <w:bCs/>
    </w:rPr>
  </w:style>
  <w:style w:type="paragraph" w:customStyle="1" w:styleId="83">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4">
    <w:name w:val="征管规范图例表头 字符"/>
    <w:link w:val="85"/>
    <w:qFormat/>
    <w:uiPriority w:val="0"/>
    <w:rPr>
      <w:rFonts w:asciiTheme="minorHAnsi" w:hAnsiTheme="minorHAnsi" w:eastAsiaTheme="minorEastAsia" w:cstheme="minorBidi"/>
      <w:b/>
      <w:sz w:val="18"/>
    </w:rPr>
  </w:style>
  <w:style w:type="paragraph" w:customStyle="1" w:styleId="85">
    <w:name w:val="征管规范图例表头"/>
    <w:basedOn w:val="83"/>
    <w:link w:val="84"/>
    <w:qFormat/>
    <w:uiPriority w:val="0"/>
    <w:pPr>
      <w:jc w:val="center"/>
    </w:pPr>
    <w:rPr>
      <w:rFonts w:asciiTheme="minorHAnsi" w:hAnsiTheme="minorHAnsi" w:eastAsiaTheme="minorEastAsia" w:cstheme="minorBidi"/>
      <w:b/>
      <w:sz w:val="18"/>
    </w:rPr>
  </w:style>
  <w:style w:type="paragraph" w:customStyle="1" w:styleId="86">
    <w:name w:val="表格文字 居中_0"/>
    <w:basedOn w:val="1"/>
    <w:link w:val="96"/>
    <w:qFormat/>
    <w:uiPriority w:val="0"/>
    <w:pPr>
      <w:jc w:val="center"/>
    </w:pPr>
    <w:rPr>
      <w:rFonts w:ascii="Arial" w:hAnsi="Arial"/>
      <w:kern w:val="0"/>
      <w:sz w:val="18"/>
      <w:szCs w:val="24"/>
    </w:rPr>
  </w:style>
  <w:style w:type="character" w:customStyle="1" w:styleId="87">
    <w:name w:val="red2"/>
    <w:basedOn w:val="17"/>
    <w:qFormat/>
    <w:uiPriority w:val="0"/>
    <w:rPr>
      <w:rFonts w:hint="eastAsia" w:ascii="宋体" w:hAnsi="宋体" w:eastAsia="宋体" w:cs="宋体"/>
      <w:b/>
      <w:color w:val="FF0000"/>
    </w:rPr>
  </w:style>
  <w:style w:type="character" w:customStyle="1" w:styleId="88">
    <w:name w:val="tree-text"/>
    <w:basedOn w:val="17"/>
    <w:qFormat/>
    <w:uiPriority w:val="0"/>
    <w:rPr>
      <w:rFonts w:ascii="Times New Roman" w:hAnsi="Times New Roman" w:eastAsia="宋体" w:cs="Times New Roman"/>
    </w:rPr>
  </w:style>
  <w:style w:type="paragraph" w:customStyle="1" w:styleId="89">
    <w:name w:val="_Style 29"/>
    <w:basedOn w:val="1"/>
    <w:next w:val="1"/>
    <w:qFormat/>
    <w:uiPriority w:val="0"/>
    <w:pPr>
      <w:pBdr>
        <w:bottom w:val="single" w:color="auto" w:sz="6" w:space="1"/>
      </w:pBdr>
      <w:jc w:val="center"/>
    </w:pPr>
    <w:rPr>
      <w:rFonts w:ascii="Arial"/>
      <w:vanish/>
      <w:sz w:val="16"/>
    </w:rPr>
  </w:style>
  <w:style w:type="paragraph" w:customStyle="1" w:styleId="90">
    <w:name w:val="_Style 30"/>
    <w:basedOn w:val="1"/>
    <w:next w:val="1"/>
    <w:qFormat/>
    <w:uiPriority w:val="0"/>
    <w:pPr>
      <w:pBdr>
        <w:top w:val="single" w:color="auto" w:sz="6" w:space="1"/>
      </w:pBdr>
      <w:jc w:val="center"/>
    </w:pPr>
    <w:rPr>
      <w:rFonts w:ascii="Arial"/>
      <w:vanish/>
      <w:sz w:val="16"/>
    </w:rPr>
  </w:style>
  <w:style w:type="paragraph" w:customStyle="1" w:styleId="91">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2">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3">
    <w:name w:val="表格列标题_0"/>
    <w:basedOn w:val="1"/>
    <w:link w:val="95"/>
    <w:qFormat/>
    <w:uiPriority w:val="0"/>
    <w:pPr>
      <w:jc w:val="center"/>
    </w:pPr>
    <w:rPr>
      <w:rFonts w:ascii="Arial" w:hAnsi="Arial"/>
      <w:b/>
      <w:kern w:val="0"/>
      <w:sz w:val="18"/>
      <w:szCs w:val="24"/>
    </w:rPr>
  </w:style>
  <w:style w:type="paragraph" w:customStyle="1" w:styleId="94">
    <w:name w:val="需求正文_0"/>
    <w:basedOn w:val="1"/>
    <w:qFormat/>
    <w:uiPriority w:val="0"/>
    <w:pPr>
      <w:topLinePunct/>
    </w:pPr>
    <w:rPr>
      <w:kern w:val="20"/>
      <w:sz w:val="20"/>
      <w:szCs w:val="20"/>
    </w:rPr>
  </w:style>
  <w:style w:type="character" w:customStyle="1" w:styleId="95">
    <w:name w:val="表格列标题 Char"/>
    <w:link w:val="93"/>
    <w:qFormat/>
    <w:uiPriority w:val="0"/>
    <w:rPr>
      <w:rFonts w:ascii="Arial" w:hAnsi="Arial" w:eastAsia="宋体" w:cs="Times New Roman"/>
      <w:b/>
      <w:kern w:val="0"/>
      <w:sz w:val="18"/>
      <w:szCs w:val="24"/>
    </w:rPr>
  </w:style>
  <w:style w:type="character" w:customStyle="1" w:styleId="96">
    <w:name w:val="表格文字 居中 Char"/>
    <w:link w:val="86"/>
    <w:qFormat/>
    <w:uiPriority w:val="0"/>
    <w:rPr>
      <w:rFonts w:ascii="Arial" w:hAnsi="Arial" w:eastAsia="宋体" w:cs="Times New Roman"/>
      <w:kern w:val="0"/>
      <w:sz w:val="18"/>
      <w:szCs w:val="24"/>
    </w:rPr>
  </w:style>
  <w:style w:type="paragraph" w:customStyle="1" w:styleId="97">
    <w:name w:val="_Style 57"/>
    <w:basedOn w:val="1"/>
    <w:next w:val="1"/>
    <w:qFormat/>
    <w:uiPriority w:val="0"/>
    <w:pPr>
      <w:pBdr>
        <w:bottom w:val="single" w:color="auto" w:sz="6" w:space="1"/>
      </w:pBdr>
      <w:jc w:val="center"/>
    </w:pPr>
    <w:rPr>
      <w:rFonts w:ascii="Arial"/>
      <w:vanish/>
      <w:sz w:val="16"/>
    </w:rPr>
  </w:style>
  <w:style w:type="paragraph" w:customStyle="1" w:styleId="98">
    <w:name w:val="_Style 15"/>
    <w:basedOn w:val="1"/>
    <w:next w:val="1"/>
    <w:qFormat/>
    <w:uiPriority w:val="0"/>
    <w:pPr>
      <w:pBdr>
        <w:bottom w:val="single" w:color="auto" w:sz="6" w:space="1"/>
      </w:pBdr>
      <w:jc w:val="center"/>
    </w:pPr>
    <w:rPr>
      <w:rFonts w:ascii="Arial"/>
      <w:vanish/>
      <w:sz w:val="16"/>
    </w:rPr>
  </w:style>
  <w:style w:type="paragraph" w:customStyle="1" w:styleId="99">
    <w:name w:val="_Style 16"/>
    <w:basedOn w:val="1"/>
    <w:next w:val="1"/>
    <w:qFormat/>
    <w:uiPriority w:val="0"/>
    <w:pPr>
      <w:pBdr>
        <w:top w:val="single" w:color="auto" w:sz="6" w:space="1"/>
      </w:pBdr>
      <w:jc w:val="center"/>
    </w:pPr>
    <w:rPr>
      <w:rFonts w:ascii="Arial"/>
      <w:vanish/>
      <w:sz w:val="16"/>
    </w:rPr>
  </w:style>
  <w:style w:type="character" w:customStyle="1" w:styleId="100">
    <w:name w:val="hover6"/>
    <w:basedOn w:val="17"/>
    <w:qFormat/>
    <w:uiPriority w:val="0"/>
    <w:rPr>
      <w:rFonts w:asciiTheme="minorHAnsi" w:hAnsiTheme="minorHAnsi" w:eastAsiaTheme="minorEastAsia" w:cstheme="minorBidi"/>
      <w:color w:val="FFFFFF"/>
      <w:shd w:val="clear" w:color="auto" w:fill="F9AC00"/>
    </w:rPr>
  </w:style>
  <w:style w:type="paragraph" w:customStyle="1" w:styleId="101">
    <w:name w:val="一级标题"/>
    <w:basedOn w:val="2"/>
    <w:next w:val="1"/>
    <w:link w:val="103"/>
    <w:qFormat/>
    <w:uiPriority w:val="0"/>
    <w:pPr>
      <w:spacing w:before="0" w:after="0" w:line="578" w:lineRule="exact"/>
      <w:ind w:firstLine="560"/>
    </w:pPr>
    <w:rPr>
      <w:rFonts w:eastAsia="黑体"/>
      <w:bCs w:val="0"/>
      <w:sz w:val="28"/>
    </w:rPr>
  </w:style>
  <w:style w:type="paragraph" w:customStyle="1" w:styleId="102">
    <w:name w:val="二级标题"/>
    <w:basedOn w:val="2"/>
    <w:link w:val="104"/>
    <w:qFormat/>
    <w:uiPriority w:val="0"/>
    <w:pPr>
      <w:spacing w:before="0" w:after="0" w:line="578" w:lineRule="exact"/>
      <w:ind w:firstLine="560"/>
      <w:outlineLvl w:val="1"/>
    </w:pPr>
    <w:rPr>
      <w:rFonts w:eastAsia="黑体"/>
      <w:bCs w:val="0"/>
      <w:sz w:val="28"/>
    </w:rPr>
  </w:style>
  <w:style w:type="character" w:customStyle="1" w:styleId="103">
    <w:name w:val="一级标题 Char"/>
    <w:basedOn w:val="29"/>
    <w:link w:val="101"/>
    <w:qFormat/>
    <w:uiPriority w:val="0"/>
    <w:rPr>
      <w:rFonts w:eastAsia="黑体" w:asciiTheme="minorHAnsi" w:hAnsiTheme="minorHAnsi" w:cstheme="minorBidi"/>
      <w:bCs w:val="0"/>
      <w:sz w:val="28"/>
    </w:rPr>
  </w:style>
  <w:style w:type="character" w:customStyle="1" w:styleId="104">
    <w:name w:val="二级标题 Char"/>
    <w:basedOn w:val="30"/>
    <w:link w:val="102"/>
    <w:qFormat/>
    <w:uiPriority w:val="0"/>
    <w:rPr>
      <w:rFonts w:eastAsia="黑体"/>
      <w:bCs w:val="0"/>
      <w:sz w:val="28"/>
    </w:rPr>
  </w:style>
  <w:style w:type="paragraph" w:customStyle="1" w:styleId="105">
    <w:name w:val="三级标题"/>
    <w:basedOn w:val="4"/>
    <w:next w:val="1"/>
    <w:link w:val="106"/>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6">
    <w:name w:val="三级标题 Char"/>
    <w:basedOn w:val="17"/>
    <w:link w:val="105"/>
    <w:qFormat/>
    <w:uiPriority w:val="0"/>
    <w:rPr>
      <w:rFonts w:eastAsia="楷体" w:asciiTheme="minorHAnsi" w:hAnsiTheme="minorHAnsi" w:cstheme="minorBidi"/>
      <w:sz w:val="28"/>
    </w:rPr>
  </w:style>
  <w:style w:type="paragraph" w:customStyle="1" w:styleId="107">
    <w:name w:val="列出段落2"/>
    <w:basedOn w:val="1"/>
    <w:qFormat/>
    <w:uiPriority w:val="34"/>
    <w:pPr>
      <w:ind w:firstLine="420"/>
    </w:pPr>
  </w:style>
  <w:style w:type="paragraph" w:customStyle="1" w:styleId="108">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9">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12</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2019-10-31T07:31:00Z</dcterms:created>
  <dc:creator>TOM</dc:creator>
  <cp:lastModifiedBy>TOM</cp:lastModifiedBy>
  <dcterms:modified xsi:type="dcterms:W3CDTF">2019-11-01T01:13:13Z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