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0" w:name="_Toc944"/>
      <w:bookmarkStart w:id="4" w:name="_GoBack"/>
      <w:bookmarkEnd w:id="4"/>
      <w:r>
        <w:rPr>
          <w:rFonts w:ascii="黑体" w:hAnsi="黑体" w:cs="黑体"/>
          <w:color w:val="auto"/>
        </w:rPr>
        <w:t>1.1.1.1.</w:t>
      </w:r>
      <w:r>
        <w:rPr>
          <w:rFonts w:hint="eastAsia" w:ascii="黑体" w:hAnsi="黑体" w:cs="黑体"/>
          <w:color w:val="auto"/>
        </w:rPr>
        <w:t>3一照一码户信息变更</w:t>
      </w:r>
      <w:bookmarkEnd w:id="0"/>
    </w:p>
    <w:p>
      <w:pPr>
        <w:pStyle w:val="3"/>
        <w:ind w:firstLine="552"/>
        <w:rPr>
          <w:color w:val="auto"/>
        </w:rPr>
      </w:pPr>
      <w:r>
        <w:rPr>
          <w:color w:val="auto"/>
        </w:rPr>
        <w:t>一、事项名称</w:t>
      </w:r>
    </w:p>
    <w:p>
      <w:pPr>
        <w:ind w:firstLine="472"/>
        <w:rPr>
          <w:color w:val="auto"/>
        </w:rPr>
      </w:pPr>
      <w:r>
        <w:rPr>
          <w:rFonts w:hint="eastAsia"/>
          <w:color w:val="auto"/>
        </w:rPr>
        <w:t>一照一码户信息变更</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bookmarkStart w:id="1" w:name="OLE_LINK2"/>
      <w:r>
        <w:rPr>
          <w:rFonts w:hint="eastAsia"/>
          <w:color w:val="auto"/>
        </w:rPr>
        <w:t>最多跑一次：</w:t>
      </w:r>
      <w:bookmarkEnd w:id="1"/>
      <w:r>
        <w:rPr>
          <w:rFonts w:hint="eastAsia"/>
          <w:color w:val="auto"/>
        </w:rPr>
        <w:t>是</w:t>
      </w:r>
    </w:p>
    <w:p>
      <w:pPr>
        <w:pStyle w:val="3"/>
        <w:ind w:firstLine="552"/>
        <w:rPr>
          <w:rFonts w:hint="default" w:eastAsia="黑体"/>
          <w:color w:val="auto"/>
          <w:lang w:val="en-US" w:eastAsia="zh-CN"/>
        </w:rPr>
      </w:pPr>
      <w:r>
        <w:rPr>
          <w:color w:val="auto"/>
        </w:rPr>
        <w:t>三、</w:t>
      </w:r>
      <w:r>
        <w:rPr>
          <w:rFonts w:hint="eastAsia"/>
          <w:color w:val="auto"/>
          <w:lang w:val="en-US" w:eastAsia="zh-CN"/>
        </w:rPr>
        <w:t>办理条件</w:t>
      </w:r>
    </w:p>
    <w:p>
      <w:pPr>
        <w:ind w:firstLine="472"/>
        <w:rPr>
          <w:color w:val="auto"/>
        </w:rPr>
      </w:pPr>
      <w:r>
        <w:rPr>
          <w:color w:val="auto"/>
        </w:rPr>
        <w:t>1.一照一码户市场监管部门信息发生变更</w:t>
      </w:r>
    </w:p>
    <w:p>
      <w:pPr>
        <w:ind w:firstLine="472"/>
        <w:rPr>
          <w:color w:val="auto"/>
        </w:rPr>
      </w:pPr>
      <w:r>
        <w:rPr>
          <w:rFonts w:hint="eastAsia"/>
          <w:color w:val="auto"/>
        </w:rPr>
        <w:t>一照一码户市场监管部门登记信息发生变更，向市场监督管理部门申报办理变更登记，市场监督管理部门完成信息变更后将变更信息共享至省级信息交换平台，税务机关接收市场监管部门变更信息，经确认后更新税务系统内纳税人对应信息。</w:t>
      </w:r>
    </w:p>
    <w:p>
      <w:pPr>
        <w:ind w:firstLine="472"/>
        <w:rPr>
          <w:color w:val="auto"/>
        </w:rPr>
      </w:pPr>
      <w:r>
        <w:rPr>
          <w:color w:val="auto"/>
        </w:rPr>
        <w:t>2.一照一码户非市场监管部门登记信息发生变更</w:t>
      </w:r>
    </w:p>
    <w:p>
      <w:pPr>
        <w:ind w:firstLine="472"/>
        <w:rPr>
          <w:color w:val="auto"/>
        </w:rPr>
      </w:pPr>
      <w:r>
        <w:rPr>
          <w:rFonts w:hint="eastAsia"/>
          <w:color w:val="auto"/>
        </w:rPr>
        <w:t>一照一码户生产经营地、财务负责人等非市场监管部门登记信息发生变化时，向主管税务机关申报变更。主管税务机关应将变更后的生产经营地、财务负责人等信息即时共享至信息交换平台。</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1.《中华人民共和国税收征收管理法》第十六条</w:t>
      </w:r>
    </w:p>
    <w:p>
      <w:pPr>
        <w:ind w:firstLine="472"/>
        <w:rPr>
          <w:color w:val="auto"/>
        </w:rPr>
      </w:pPr>
      <w:r>
        <w:rPr>
          <w:rFonts w:hint="eastAsia"/>
          <w:color w:val="auto"/>
        </w:rPr>
        <w:t>“</w:t>
      </w:r>
      <w:r>
        <w:rPr>
          <w:color w:val="auto"/>
        </w:rPr>
        <w:t>从事生产、经营的纳税人，税务登记内容发生变化的，自工商行政管理机关办理变更登记之日起三十日内或者在向工商行政管理机关申请办理注销登记之前，持有关证件向税务机关申报办理变更或者注销税务登记。</w:t>
      </w:r>
      <w:r>
        <w:rPr>
          <w:rFonts w:hint="eastAsia"/>
          <w:color w:val="auto"/>
        </w:rPr>
        <w:t>”</w:t>
      </w:r>
    </w:p>
    <w:p>
      <w:pPr>
        <w:ind w:firstLine="472"/>
        <w:rPr>
          <w:color w:val="auto"/>
        </w:rPr>
      </w:pPr>
      <w:r>
        <w:rPr>
          <w:color w:val="auto"/>
        </w:rPr>
        <w:t>2.《中华人民共和国税收征收管理法实施纳税人税细则》第十四条</w:t>
      </w:r>
    </w:p>
    <w:p>
      <w:pPr>
        <w:ind w:firstLine="472"/>
        <w:rPr>
          <w:color w:val="auto"/>
        </w:rPr>
      </w:pPr>
      <w:r>
        <w:rPr>
          <w:rFonts w:hint="eastAsia"/>
          <w:color w:val="auto"/>
        </w:rPr>
        <w:t>“</w:t>
      </w:r>
      <w:r>
        <w:rPr>
          <w:color w:val="auto"/>
        </w:rPr>
        <w:t>纳税人税务登记内容发生变化的，应当自工商行政管理机关或者其他机关办理变更登记之日起30日内，持有关证件向原税务登记机关申报办理变更税务登记。纳税人税务登记内容发生变化，不需要到工商行政管理机关或者其他机关办理变更登记的，应当自发生变化之日起30日内，持有关证件向原税务登记机关申报办理变更税务登记。</w:t>
      </w:r>
      <w:r>
        <w:rPr>
          <w:rFonts w:hint="eastAsia"/>
          <w:color w:val="auto"/>
        </w:rPr>
        <w:t>”</w:t>
      </w:r>
    </w:p>
    <w:p>
      <w:pPr>
        <w:ind w:firstLine="472"/>
        <w:rPr>
          <w:color w:val="auto"/>
        </w:rPr>
      </w:pPr>
      <w:r>
        <w:rPr>
          <w:color w:val="auto"/>
        </w:rPr>
        <w:t>3.《税务登记管理办法》（国家税务总局令第7号公布，国家税务总局令第36号、第44号、第48号修改）第三章</w:t>
      </w:r>
    </w:p>
    <w:p>
      <w:pPr>
        <w:ind w:firstLine="472"/>
        <w:rPr>
          <w:color w:val="auto"/>
        </w:rPr>
      </w:pPr>
      <w:r>
        <w:rPr>
          <w:rFonts w:hint="eastAsia"/>
          <w:color w:val="auto"/>
        </w:rPr>
        <w:t>“第十六条</w:t>
      </w:r>
      <w:r>
        <w:rPr>
          <w:color w:val="auto"/>
        </w:rPr>
        <w:t>纳税人税务登记内容发生变化的，应当向原税务登记机关申报办理变更税务登记。</w:t>
      </w:r>
    </w:p>
    <w:p>
      <w:pPr>
        <w:ind w:firstLine="472"/>
        <w:rPr>
          <w:color w:val="auto"/>
        </w:rPr>
      </w:pPr>
      <w:r>
        <w:rPr>
          <w:rFonts w:hint="eastAsia"/>
          <w:color w:val="auto"/>
        </w:rPr>
        <w:t>第十七条</w:t>
      </w:r>
      <w:r>
        <w:rPr>
          <w:color w:val="auto"/>
        </w:rPr>
        <w:t>纳税人已在工商行政管理机关办理变更登记的，应当自工商行政管理机关变更登记之日起30日内，向原税务登记机关如实提供下列证件、资料，申报办理变更税务登记：</w:t>
      </w:r>
    </w:p>
    <w:p>
      <w:pPr>
        <w:ind w:firstLine="472"/>
        <w:rPr>
          <w:color w:val="auto"/>
        </w:rPr>
      </w:pPr>
      <w:r>
        <w:rPr>
          <w:rFonts w:hint="eastAsia"/>
          <w:color w:val="auto"/>
        </w:rPr>
        <w:t>（一）工商登记变更表及工商营业执照；</w:t>
      </w:r>
    </w:p>
    <w:p>
      <w:pPr>
        <w:ind w:firstLine="472"/>
        <w:rPr>
          <w:color w:val="auto"/>
        </w:rPr>
      </w:pPr>
      <w:r>
        <w:rPr>
          <w:rFonts w:hint="eastAsia"/>
          <w:color w:val="auto"/>
        </w:rPr>
        <w:t>（二）纳税人变更登记内容的有关证明文件；</w:t>
      </w:r>
    </w:p>
    <w:p>
      <w:pPr>
        <w:ind w:firstLine="472"/>
        <w:rPr>
          <w:color w:val="auto"/>
        </w:rPr>
      </w:pPr>
      <w:r>
        <w:rPr>
          <w:rFonts w:hint="eastAsia"/>
          <w:color w:val="auto"/>
        </w:rPr>
        <w:t>（三）税务机关发放的原税务登记证件（登记证正、副本和登记表等）；</w:t>
      </w:r>
    </w:p>
    <w:p>
      <w:pPr>
        <w:ind w:firstLine="472"/>
        <w:rPr>
          <w:color w:val="auto"/>
        </w:rPr>
      </w:pPr>
      <w:r>
        <w:rPr>
          <w:rFonts w:hint="eastAsia"/>
          <w:color w:val="auto"/>
        </w:rPr>
        <w:t>（四）其他有关资料。</w:t>
      </w:r>
    </w:p>
    <w:p>
      <w:pPr>
        <w:ind w:firstLine="472"/>
        <w:rPr>
          <w:color w:val="auto"/>
        </w:rPr>
      </w:pPr>
      <w:r>
        <w:rPr>
          <w:rFonts w:hint="eastAsia"/>
          <w:color w:val="auto"/>
        </w:rPr>
        <w:t>第十八条</w:t>
      </w:r>
      <w:r>
        <w:rPr>
          <w:color w:val="auto"/>
        </w:rPr>
        <w:t>纳税人按照规定不需要在工商行政管理机关办理变更登记，或者其变更登记的内容与工商登记内容无关的，应当自税务登记内容实际发生变化之日起30日内，或者自有关机关批准或者宣布变更之日起30日内，持下列证件到原税务登记机关申报办理变更税务登记：</w:t>
      </w:r>
    </w:p>
    <w:p>
      <w:pPr>
        <w:ind w:firstLine="472"/>
        <w:rPr>
          <w:color w:val="auto"/>
        </w:rPr>
      </w:pPr>
      <w:r>
        <w:rPr>
          <w:rFonts w:hint="eastAsia"/>
          <w:color w:val="auto"/>
        </w:rPr>
        <w:t>（一）纳税人变更登记内容的有关证明文件；</w:t>
      </w:r>
    </w:p>
    <w:p>
      <w:pPr>
        <w:ind w:firstLine="472"/>
        <w:rPr>
          <w:color w:val="auto"/>
        </w:rPr>
      </w:pPr>
      <w:r>
        <w:rPr>
          <w:rFonts w:hint="eastAsia"/>
          <w:color w:val="auto"/>
        </w:rPr>
        <w:t>（二）税务机关发放的原税务登记证件（登记证正、副本和税务登记表等）；</w:t>
      </w:r>
    </w:p>
    <w:p>
      <w:pPr>
        <w:ind w:firstLine="472"/>
        <w:rPr>
          <w:color w:val="auto"/>
        </w:rPr>
      </w:pPr>
      <w:r>
        <w:rPr>
          <w:rFonts w:hint="eastAsia"/>
          <w:color w:val="auto"/>
        </w:rPr>
        <w:t>（三）其他有关资料。</w:t>
      </w:r>
    </w:p>
    <w:p>
      <w:pPr>
        <w:ind w:firstLine="472"/>
        <w:rPr>
          <w:color w:val="auto"/>
        </w:rPr>
      </w:pPr>
      <w:r>
        <w:rPr>
          <w:rFonts w:hint="eastAsia"/>
          <w:color w:val="auto"/>
        </w:rPr>
        <w:t>第十九条</w:t>
      </w:r>
      <w:r>
        <w:rPr>
          <w:color w:val="auto"/>
        </w:rPr>
        <w:t>纳税人提交的有关变更登记的证件、资料齐全的，应如实填写税务登记变更表，符合规定的，税务机关应当日办理；不符合规定的，税务机关应通知其补正。</w:t>
      </w:r>
    </w:p>
    <w:p>
      <w:pPr>
        <w:ind w:firstLine="472"/>
        <w:rPr>
          <w:color w:val="auto"/>
        </w:rPr>
      </w:pPr>
      <w:r>
        <w:rPr>
          <w:rFonts w:hint="eastAsia"/>
          <w:color w:val="auto"/>
        </w:rPr>
        <w:t>第二十条</w:t>
      </w:r>
      <w:r>
        <w:rPr>
          <w:color w:val="auto"/>
        </w:rPr>
        <w:t>税务机关应当于受理当日办理变更税务登记。纳税人税务登记表和税务登记证中的内容都发生变更的，税务机关按变更后的内容重新发放税务登记证件；纳税人税务登记表的内容发生变更而税务登记证中的内容未发生变更的，税务机关不重新发放税务登记证件。</w:t>
      </w:r>
      <w:r>
        <w:rPr>
          <w:rFonts w:hint="eastAsia"/>
          <w:color w:val="auto"/>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经办人身份证明</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变更信息的资料或证明材料复印件</w:t>
            </w:r>
          </w:p>
        </w:tc>
        <w:tc>
          <w:tcPr>
            <w:tcW w:w="709" w:type="dxa"/>
            <w:shd w:val="clear" w:color="auto" w:fill="auto"/>
            <w:vAlign w:val="center"/>
          </w:tcPr>
          <w:p>
            <w:pPr>
              <w:widowControl/>
              <w:spacing w:line="280" w:lineRule="exact"/>
              <w:ind w:firstLine="0" w:firstLineChars="0"/>
              <w:jc w:val="center"/>
              <w:rPr>
                <w:b/>
                <w:color w:val="auto"/>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对于税务机关能够获取相关信息的可取消报送复印件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drawing>
          <wp:inline distT="0" distB="0" distL="0" distR="0">
            <wp:extent cx="5972175" cy="16014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72400" cy="1602000"/>
                    </a:xfrm>
                    <a:prstGeom prst="rect">
                      <a:avLst/>
                    </a:prstGeom>
                    <a:noFill/>
                  </pic:spPr>
                </pic:pic>
              </a:graphicData>
            </a:graphic>
          </wp:inline>
        </w:drawing>
      </w:r>
    </w:p>
    <w:p>
      <w:pPr>
        <w:pStyle w:val="3"/>
        <w:ind w:firstLine="552"/>
        <w:rPr>
          <w:color w:val="auto"/>
        </w:rPr>
      </w:pPr>
      <w:r>
        <w:rPr>
          <w:rFonts w:hint="eastAsia"/>
          <w:color w:val="auto"/>
        </w:rPr>
        <w:t>七、</w:t>
      </w:r>
      <w:bookmarkStart w:id="2" w:name="OLE_LINK18"/>
      <w:r>
        <w:rPr>
          <w:rFonts w:hint="eastAsia"/>
          <w:color w:val="auto"/>
        </w:rPr>
        <w:t>办理时限</w:t>
      </w:r>
      <w:bookmarkEnd w:id="2"/>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color w:val="auto"/>
        </w:rPr>
        <w:t>1.经营范围项目变更引起国标行业变化和税（费）种变化的，税务机关根据经营范围的变更对国标行业进行变更和税（费）种认定进行变更。</w:t>
      </w:r>
    </w:p>
    <w:p>
      <w:pPr>
        <w:ind w:firstLine="472"/>
        <w:rPr>
          <w:color w:val="auto"/>
        </w:rPr>
      </w:pPr>
      <w:r>
        <w:rPr>
          <w:color w:val="auto"/>
        </w:rPr>
        <w:t>2.生产经营地址项目发生变更涉及主管税务机关发生变化的，进行主管税务机关及科所分配。</w:t>
      </w:r>
    </w:p>
    <w:p>
      <w:pPr>
        <w:ind w:firstLine="472"/>
        <w:rPr>
          <w:color w:val="auto"/>
        </w:rPr>
      </w:pPr>
      <w:r>
        <w:rPr>
          <w:color w:val="auto"/>
        </w:rPr>
        <w:t>3.附报资料中通过电子税务局等渠道已提交电子资料的不再报送纸质资料。</w:t>
      </w:r>
    </w:p>
    <w:p>
      <w:pPr>
        <w:ind w:firstLine="472"/>
        <w:rPr>
          <w:color w:val="auto"/>
        </w:rPr>
      </w:pPr>
      <w:r>
        <w:rPr>
          <w:rFonts w:hint="eastAsia"/>
          <w:color w:val="auto"/>
        </w:rPr>
        <w:t>4.纳税人对报送资料的真实性和合法性承担责任。</w:t>
      </w:r>
    </w:p>
    <w:p>
      <w:pPr>
        <w:ind w:firstLine="472"/>
        <w:jc w:val="left"/>
        <w:rPr>
          <w:color w:val="auto"/>
        </w:rPr>
      </w:pPr>
      <w:r>
        <w:rPr>
          <w:rFonts w:hint="eastAsia"/>
          <w:color w:val="auto"/>
        </w:rPr>
        <w:t>5.最多跑一次是在资料完整且符合法定受理条件的前提下，最多只需要到税务机关跑一次。</w:t>
      </w:r>
    </w:p>
    <w:p>
      <w:pPr>
        <w:ind w:firstLine="472"/>
        <w:jc w:val="left"/>
        <w:rPr>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bookmarkStart w:id="3" w:name="OLE_LINK16"/>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bookmarkEnd w:id="3"/>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C604D69"/>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2019-10-31T03:27:12Z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