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1045"/>
      <w:r>
        <w:rPr>
          <w:rFonts w:ascii="黑体" w:hAnsi="黑体"/>
          <w:color w:val="auto"/>
        </w:rPr>
        <w:t>2.5.2.1</w:t>
      </w:r>
      <w:r>
        <w:rPr>
          <w:rFonts w:hint="eastAsia" w:ascii="黑体" w:hAnsi="黑体"/>
          <w:color w:val="auto"/>
        </w:rPr>
        <w:t>出口货物劳务免退税申报核准</w:t>
      </w:r>
      <w:bookmarkEnd w:id="0"/>
    </w:p>
    <w:p>
      <w:pPr>
        <w:pStyle w:val="3"/>
        <w:ind w:firstLine="552"/>
        <w:rPr>
          <w:color w:val="auto"/>
        </w:rPr>
      </w:pPr>
      <w:r>
        <w:rPr>
          <w:color w:val="auto"/>
        </w:rPr>
        <w:t>一、事项名称</w:t>
      </w:r>
    </w:p>
    <w:p>
      <w:pPr>
        <w:ind w:firstLine="472"/>
        <w:rPr>
          <w:color w:val="auto"/>
        </w:rPr>
      </w:pPr>
      <w:r>
        <w:rPr>
          <w:rFonts w:hint="eastAsia"/>
          <w:color w:val="auto"/>
        </w:rPr>
        <w:t>出口货物劳务免退税申报核准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出口货物劳务免退税申报核准是指实行免退税办法的出口企业出口货物劳务后，向主管税务机关申请办理出口免退税申报业务，税务机关按照国家规定核准的管理事项。</w:t>
      </w:r>
    </w:p>
    <w:p>
      <w:pPr>
        <w:ind w:firstLine="472"/>
        <w:rPr>
          <w:color w:val="auto"/>
        </w:rPr>
      </w:pPr>
      <w:r>
        <w:rPr>
          <w:rFonts w:hint="eastAsia"/>
          <w:color w:val="auto"/>
        </w:rPr>
        <w:t>出口货物劳务免退税申报核准包括：出口货物免退税申报核准、视同出口货物免退税申报核准、对外加工修理修配劳务免退税申报核准。</w:t>
      </w:r>
    </w:p>
    <w:p>
      <w:pPr>
        <w:ind w:firstLine="472"/>
        <w:rPr>
          <w:color w:val="auto"/>
        </w:rPr>
      </w:pPr>
      <w:r>
        <w:rPr>
          <w:rFonts w:hint="eastAsia"/>
          <w:color w:val="auto"/>
        </w:rPr>
        <w:t>一般纳税人转登记为小规模纳税人（以下称转登记纳税人）的，其在一般纳税人期间出口适用增值税退（免）税政策的货物劳务，继续按照现行规定申报和办理出口退（免）税相关事项。</w:t>
      </w:r>
    </w:p>
    <w:p>
      <w:pPr>
        <w:ind w:firstLine="472"/>
        <w:rPr>
          <w:color w:val="auto"/>
        </w:rPr>
      </w:pPr>
      <w:r>
        <w:rPr>
          <w:rFonts w:hint="eastAsia"/>
          <w:color w:val="auto"/>
        </w:rPr>
        <w:t>出口货物劳务的出口日期，按以下原则确定：属于向海关报关出口的货物劳务，以出口货物报关单信息上注明的出口日期为准；属于非报关出口销售的货物以出口发票或普通发票的开具时间为准；属于保税区内出口企业或其他单位出口的货物以及经保税区出口的货物，以货物离境时海关出具的出境货物备案清单上注明的出口日期为准。</w:t>
      </w:r>
    </w:p>
    <w:p>
      <w:pPr>
        <w:ind w:firstLine="472"/>
        <w:rPr>
          <w:color w:val="auto"/>
        </w:rPr>
      </w:pPr>
      <w:r>
        <w:rPr>
          <w:color w:val="auto"/>
        </w:rPr>
        <w:t>1.出口货物免退税申报核准</w:t>
      </w:r>
    </w:p>
    <w:p>
      <w:pPr>
        <w:ind w:firstLine="472"/>
        <w:rPr>
          <w:color w:val="auto"/>
        </w:rPr>
      </w:pPr>
      <w:r>
        <w:rPr>
          <w:rFonts w:hint="eastAsia"/>
          <w:color w:val="auto"/>
        </w:rPr>
        <w:t>出口货物免退税申报核准指外贸企业以自营出口或委托出口方式销售给境外单位或个人的货物，在海关报关并实际离境后于规定申报期限内向主管税务机关提交免退税申报，税务机关按规定办理核准手续。</w:t>
      </w:r>
    </w:p>
    <w:p>
      <w:pPr>
        <w:ind w:firstLine="472"/>
        <w:rPr>
          <w:color w:val="auto"/>
        </w:rPr>
      </w:pPr>
      <w:r>
        <w:rPr>
          <w:rFonts w:hint="eastAsia"/>
          <w:color w:val="auto"/>
        </w:rPr>
        <w:t>出口货物免退税申报核准业务中的出口货物除出口企业常规性出口货物外，还包括经保税区仓储企业出口货物、适用启运港退税政策出口货物、边境贸易人民币结算出口货物、跨境贸易人民币结算出口货物。</w:t>
      </w:r>
    </w:p>
    <w:p>
      <w:pPr>
        <w:ind w:firstLine="472"/>
        <w:rPr>
          <w:color w:val="auto"/>
        </w:rPr>
      </w:pPr>
      <w:r>
        <w:rPr>
          <w:color w:val="auto"/>
        </w:rPr>
        <w:t>2.视同出口货物免退税申报核准</w:t>
      </w:r>
    </w:p>
    <w:p>
      <w:pPr>
        <w:ind w:firstLine="472"/>
        <w:rPr>
          <w:color w:val="auto"/>
        </w:rPr>
      </w:pPr>
      <w:r>
        <w:rPr>
          <w:rFonts w:hint="eastAsia"/>
          <w:color w:val="auto"/>
        </w:rPr>
        <w:t>视同出口货物免退税申报核准的货物范围包括：对外承包工程出口货物、销售给外轮、远洋国轮货物、境外实物投资出口货物、对外援助出口货物、中标机电产品、销售给特殊区域货物、进入列名出口监管仓库的国内货物、免税品经营企业运入海关监管仓库货物、上海虹桥、浦东机场海关隔离区内免税店销售货物、融资租赁货物、销售横琴、平潭企业的货物、境外带料加工装配业务的出口货物。</w:t>
      </w:r>
    </w:p>
    <w:p>
      <w:pPr>
        <w:ind w:firstLine="472"/>
        <w:rPr>
          <w:color w:val="auto"/>
        </w:rPr>
      </w:pPr>
      <w:r>
        <w:rPr>
          <w:color w:val="auto"/>
        </w:rPr>
        <w:t>3.对外提供加工修理修配劳务</w:t>
      </w:r>
    </w:p>
    <w:p>
      <w:pPr>
        <w:ind w:firstLine="472"/>
        <w:rPr>
          <w:color w:val="auto"/>
        </w:rPr>
      </w:pPr>
      <w:r>
        <w:rPr>
          <w:rFonts w:hint="eastAsia"/>
          <w:color w:val="auto"/>
        </w:rPr>
        <w:t>对外提供加工修理修配劳务申报核准指出口企业对进境复出口货物或从事国际运输的运输工具进行的加工修理修配业务在规定申报期限内向主管税务机关提交免退税申报，税务机关按规定办理核准手续。</w:t>
      </w:r>
    </w:p>
    <w:p>
      <w:pPr>
        <w:ind w:firstLine="472"/>
        <w:rPr>
          <w:color w:val="auto"/>
        </w:rPr>
      </w:pPr>
      <w:r>
        <w:rPr>
          <w:rFonts w:hint="eastAsia"/>
          <w:color w:val="auto"/>
        </w:rPr>
        <w:t>对外提供加工修理修配劳务业务类型包括：修理修配船舶、其他进境复出口货物以及航线维护（航次维修）。</w:t>
      </w:r>
    </w:p>
    <w:p>
      <w:pPr>
        <w:pStyle w:val="3"/>
        <w:ind w:firstLine="552"/>
        <w:rPr>
          <w:color w:val="auto"/>
        </w:rPr>
      </w:pPr>
      <w:r>
        <w:rPr>
          <w:rFonts w:hint="eastAsia"/>
          <w:color w:val="auto"/>
        </w:rPr>
        <w:t>四、设定依据</w:t>
      </w:r>
    </w:p>
    <w:p>
      <w:pPr>
        <w:ind w:firstLine="472"/>
        <w:rPr>
          <w:color w:val="auto"/>
        </w:rPr>
      </w:pPr>
      <w:r>
        <w:rPr>
          <w:color w:val="auto"/>
        </w:rPr>
        <w:t>1.《国家税务总局关于发布〈出口货物劳务增值税和消费税管理办法〉的公告》（国家税务总局公告2012年第24号）</w:t>
      </w:r>
      <w:r>
        <w:rPr>
          <w:rFonts w:hint="eastAsia"/>
          <w:color w:val="auto"/>
        </w:rPr>
        <w:t>全文</w:t>
      </w:r>
    </w:p>
    <w:p>
      <w:pPr>
        <w:ind w:firstLine="472"/>
        <w:rPr>
          <w:color w:val="auto"/>
        </w:rPr>
      </w:pPr>
      <w:r>
        <w:rPr>
          <w:color w:val="auto"/>
        </w:rPr>
        <w:t>2.《国家税务总局关于发布〈适用增值税零税率应税服务退（免）税管理办法〉的公告》（国家税务总局2014年第11号公告）</w:t>
      </w:r>
      <w:r>
        <w:rPr>
          <w:rFonts w:hint="eastAsia"/>
          <w:color w:val="auto"/>
        </w:rPr>
        <w:t>全文</w:t>
      </w:r>
    </w:p>
    <w:p>
      <w:pPr>
        <w:ind w:firstLine="472"/>
        <w:rPr>
          <w:rFonts w:hint="eastAsia" w:eastAsia="宋体"/>
          <w:color w:val="auto"/>
          <w:lang w:eastAsia="zh-CN"/>
        </w:rPr>
      </w:pPr>
      <w:r>
        <w:rPr>
          <w:color w:val="auto"/>
        </w:rPr>
        <w:t>3.《国家税务总局关于〈适用增值税零税率应税服务退（免）税管理办法〉的补充公告》（国家税务总局公告2015年第88号）全文</w:t>
      </w:r>
    </w:p>
    <w:p>
      <w:pPr>
        <w:ind w:firstLine="472"/>
        <w:rPr>
          <w:color w:val="auto"/>
        </w:rPr>
      </w:pPr>
      <w:r>
        <w:rPr>
          <w:color w:val="auto"/>
        </w:rPr>
        <w:t>4.《国家税务总局关于出口退（免）税申报有关问题的公告》（国家税务总局公告2018年第16号）</w:t>
      </w:r>
      <w:r>
        <w:rPr>
          <w:rFonts w:hint="eastAsia"/>
          <w:color w:val="auto"/>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出口货物退（免）税正式申报电子数据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《外贸企业出口退税汇总申报表》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税务机关留存2份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《外贸企业出口退税进货明细申报表》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税务机关留存2份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《外贸企业出口退税出口明细申报表》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《海关出口商品代码、名称、退税率调整对应表》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在出口货物报关单上的申报日期和出口日期期间，若海关调整商品代码，导致出口货物报关单上的商品代码与调整后的商品代码不一致的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《出口货物收汇申报表》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strike/>
                <w:color w:val="auto"/>
                <w:kern w:val="0"/>
                <w:sz w:val="18"/>
                <w:szCs w:val="18"/>
              </w:rPr>
            </w:pPr>
            <w:r>
              <w:rPr>
                <w:rFonts w:hint="eastAsia" w:cs="宋体"/>
                <w:color w:val="auto"/>
                <w:kern w:val="0"/>
                <w:sz w:val="18"/>
                <w:szCs w:val="18"/>
              </w:rPr>
              <w:t>需要提供收汇资料的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《出口货物不能收汇申报表》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由于规定原因不能收汇或不能在出口货物退（免）税申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报期的截止之日内收汇的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增值税专用发票（抵扣联）</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9</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海关进口增值税专用缴款书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进口货物复出口时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0</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消费税税收（出口货物专用）缴款书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属出口消费税应税货物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消费税出口货物完税分割单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属出口消费税应税货物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海关进口消费税专用缴款书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进口货物复出口时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出口收汇资料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需要提供收汇资料的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出口货物不能收汇的原因及证明材料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由于规定原因不能收汇或不能在出口货物退（免）税申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报期的截止之日内收汇的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代理出口货物证明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属委托出口的货物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r>
              <w:rPr>
                <w:rFonts w:cs="宋体"/>
                <w:color w:val="auto"/>
                <w:kern w:val="0"/>
                <w:sz w:val="18"/>
                <w:szCs w:val="18"/>
              </w:rPr>
              <w:t>6</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代理出口协议副本</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属委托出口的货物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17</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对外承包工程合同复印件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对外承包工程出口货物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18</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分包合同（协议）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对外承包工程项目分包</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19</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经外轮或远洋国轮船长签名的出口发票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销售给外轮、远洋国轮货物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20</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商务部及其授权单位批准其在境外投资的文件复印件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境外投资出口货物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招标单位所在地主管税务机关签发的《中标证明通知书》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由中国招标公司或其他国内招标组织签发的中标证明（正本）</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中标人与中国招标公司或其他招标组织签订的供货合同</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24</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中标人按照标书规定及供货合同向用户发货的发货单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25</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与中标人签署的分包合同（协议）（国外企业中标再分包给国内企业供应的机电产品提供）</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26</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中标机电产品用户收货清单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销售中标机电产品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27</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海关对免税店销售货物的核销证明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免税品经营企业运入海关监管仓库货物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28</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收取租金开具的发票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融资租赁海洋工程结构物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29</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与承租人签订的《融资租赁合同》复印件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租赁期在5年（含）以上的</w:t>
            </w:r>
            <w:r>
              <w:rPr>
                <w:rFonts w:hint="eastAsia" w:cs="宋体"/>
                <w:color w:val="auto"/>
                <w:kern w:val="0"/>
                <w:sz w:val="18"/>
                <w:szCs w:val="18"/>
              </w:rPr>
              <w:t>融资租赁海洋工程结构物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30</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列名海上石油天然气开采企业收货清单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融资租赁海洋工程结构物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境外带料加工装配企业批准证书复印件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境外带料加工企业</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人民币结算的银行入账单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边境贸易人民币结算出口货物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仓储企业的出境货物备案清单</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经保税区仓储企业出口货物</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与境外单位、个人签署的修理修配合同</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对外提供加工修理修配劳务</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w:t>
            </w:r>
            <w:r>
              <w:rPr>
                <w:rFonts w:cs="宋体"/>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drawing>
          <wp:inline distT="0" distB="0" distL="0" distR="0">
            <wp:extent cx="5619115" cy="24193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619115" cy="241935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color w:val="auto"/>
        </w:rPr>
        <w:t>5个工作日、10个工作日、15个工作日、20个工作日</w:t>
      </w:r>
      <w:r>
        <w:rPr>
          <w:rFonts w:hint="eastAsia"/>
          <w:color w:val="auto"/>
        </w:rPr>
        <w:t>办结</w:t>
      </w:r>
      <w:r>
        <w:rPr>
          <w:color w:val="auto"/>
        </w:rPr>
        <w:t>(根据出口企业类别不同）</w:t>
      </w:r>
      <w:r>
        <w:rPr>
          <w:rFonts w:hint="eastAsia"/>
          <w:color w:val="auto"/>
        </w:rPr>
        <w:t>。</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rPr>
        <w:t>1.</w:t>
      </w:r>
      <w:r>
        <w:rPr>
          <w:color w:val="auto"/>
        </w:rPr>
        <w:t>A06316</w:t>
      </w:r>
      <w:r>
        <w:rPr>
          <w:rFonts w:hint="eastAsia"/>
          <w:color w:val="auto"/>
        </w:rPr>
        <w:t>《外贸企业出口退税汇总申报表》（</w:t>
      </w:r>
      <w:r>
        <w:rPr>
          <w:color w:val="auto"/>
        </w:rPr>
        <w:t>A06316</w:t>
      </w:r>
      <w:r>
        <w:rPr>
          <w:rFonts w:hint="eastAsia"/>
          <w:color w:val="auto"/>
        </w:rPr>
        <w:t>《外贸企业出口退税汇总申报表》</w:t>
      </w:r>
      <w:r>
        <w:rPr>
          <w:rFonts w:hint="eastAsia"/>
          <w:color w:val="auto"/>
          <w:lang w:val="en-US" w:eastAsia="zh-CN"/>
        </w:rPr>
        <w:t>(</w:t>
      </w:r>
      <w:r>
        <w:rPr>
          <w:rFonts w:hint="eastAsia"/>
          <w:color w:val="auto"/>
        </w:rPr>
        <w:t>填写样例）</w:t>
      </w:r>
      <w:r>
        <w:rPr>
          <w:rFonts w:hint="eastAsia"/>
          <w:color w:val="auto"/>
          <w:lang w:val="en-US" w:eastAsia="zh-CN"/>
        </w:rPr>
        <w:t>)</w:t>
      </w:r>
    </w:p>
    <w:p>
      <w:pPr>
        <w:ind w:firstLine="472"/>
        <w:rPr>
          <w:color w:val="auto"/>
        </w:rPr>
      </w:pPr>
      <w:r>
        <w:rPr>
          <w:rFonts w:hint="eastAsia"/>
          <w:color w:val="auto"/>
        </w:rPr>
        <w:t>2.</w:t>
      </w:r>
      <w:r>
        <w:rPr>
          <w:color w:val="auto"/>
        </w:rPr>
        <w:t>A08005</w:t>
      </w:r>
      <w:r>
        <w:rPr>
          <w:rFonts w:hint="eastAsia"/>
          <w:color w:val="auto"/>
        </w:rPr>
        <w:t>《外贸企业出口退税进货明细申报表》（</w:t>
      </w:r>
      <w:r>
        <w:rPr>
          <w:color w:val="auto"/>
        </w:rPr>
        <w:t>A08005</w:t>
      </w:r>
      <w:r>
        <w:rPr>
          <w:rFonts w:hint="eastAsia"/>
          <w:color w:val="auto"/>
        </w:rPr>
        <w:t>《外贸企业出口退税进货明细申报表》</w:t>
      </w:r>
      <w:r>
        <w:rPr>
          <w:rFonts w:hint="eastAsia"/>
          <w:color w:val="auto"/>
          <w:lang w:val="en-US" w:eastAsia="zh-CN"/>
        </w:rPr>
        <w:t>(</w:t>
      </w:r>
      <w:r>
        <w:rPr>
          <w:rFonts w:hint="eastAsia"/>
          <w:color w:val="auto"/>
        </w:rPr>
        <w:t>填写样例）</w:t>
      </w:r>
      <w:r>
        <w:rPr>
          <w:rFonts w:hint="eastAsia"/>
          <w:color w:val="auto"/>
          <w:lang w:val="en-US" w:eastAsia="zh-CN"/>
        </w:rPr>
        <w:t>)</w:t>
      </w:r>
    </w:p>
    <w:p>
      <w:pPr>
        <w:ind w:firstLine="472"/>
        <w:rPr>
          <w:color w:val="auto"/>
        </w:rPr>
      </w:pPr>
      <w:r>
        <w:rPr>
          <w:rFonts w:hint="eastAsia"/>
          <w:color w:val="auto"/>
        </w:rPr>
        <w:t>3.</w:t>
      </w:r>
      <w:r>
        <w:rPr>
          <w:color w:val="auto"/>
        </w:rPr>
        <w:t>A08006</w:t>
      </w:r>
      <w:r>
        <w:rPr>
          <w:rFonts w:hint="eastAsia"/>
          <w:color w:val="auto"/>
        </w:rPr>
        <w:t>《外贸企业出口退税出口明细申报表》</w:t>
      </w:r>
    </w:p>
    <w:p>
      <w:pPr>
        <w:ind w:firstLine="472"/>
        <w:rPr>
          <w:color w:val="auto"/>
        </w:rPr>
      </w:pPr>
      <w:r>
        <w:rPr>
          <w:color w:val="auto"/>
        </w:rPr>
        <w:t>4</w:t>
      </w:r>
      <w:r>
        <w:rPr>
          <w:rFonts w:hint="eastAsia"/>
          <w:color w:val="auto"/>
        </w:rPr>
        <w:t>.</w:t>
      </w:r>
      <w:r>
        <w:rPr>
          <w:color w:val="auto"/>
        </w:rPr>
        <w:t>A06374</w:t>
      </w:r>
      <w:r>
        <w:rPr>
          <w:rFonts w:hint="eastAsia"/>
          <w:color w:val="auto"/>
        </w:rPr>
        <w:t>《海关出口商品代码、名称、退税率调整对应表》（</w:t>
      </w:r>
      <w:r>
        <w:rPr>
          <w:color w:val="auto"/>
        </w:rPr>
        <w:t>A06374</w:t>
      </w:r>
      <w:r>
        <w:rPr>
          <w:rFonts w:hint="eastAsia"/>
          <w:color w:val="auto"/>
        </w:rPr>
        <w:t>《海关出口商品代码、名称、退税率调整对应表》</w:t>
      </w:r>
      <w:r>
        <w:rPr>
          <w:rFonts w:hint="eastAsia"/>
          <w:color w:val="auto"/>
          <w:lang w:val="en-US" w:eastAsia="zh-CN"/>
        </w:rPr>
        <w:t>(</w:t>
      </w:r>
      <w:r>
        <w:rPr>
          <w:rFonts w:hint="eastAsia"/>
          <w:color w:val="auto"/>
        </w:rPr>
        <w:t>填写样例）</w:t>
      </w:r>
      <w:r>
        <w:rPr>
          <w:rFonts w:hint="eastAsia"/>
          <w:color w:val="auto"/>
          <w:lang w:val="en-US" w:eastAsia="zh-CN"/>
        </w:rPr>
        <w:t>)</w:t>
      </w:r>
    </w:p>
    <w:p>
      <w:pPr>
        <w:ind w:firstLine="472"/>
        <w:rPr>
          <w:color w:val="auto"/>
        </w:rPr>
      </w:pPr>
      <w:r>
        <w:rPr>
          <w:rFonts w:hint="eastAsia"/>
          <w:color w:val="auto"/>
        </w:rPr>
        <w:t>5.</w:t>
      </w:r>
      <w:r>
        <w:rPr>
          <w:color w:val="auto"/>
        </w:rPr>
        <w:t>A06342</w:t>
      </w:r>
      <w:r>
        <w:rPr>
          <w:rFonts w:hint="eastAsia"/>
          <w:color w:val="auto"/>
        </w:rPr>
        <w:t>《出口货物收汇申报表》（</w:t>
      </w:r>
      <w:r>
        <w:rPr>
          <w:color w:val="auto"/>
        </w:rPr>
        <w:t>A06342</w:t>
      </w:r>
      <w:r>
        <w:rPr>
          <w:rFonts w:hint="eastAsia"/>
          <w:color w:val="auto"/>
        </w:rPr>
        <w:t>《出口货物收汇申报表》</w:t>
      </w:r>
      <w:r>
        <w:rPr>
          <w:rFonts w:hint="eastAsia"/>
          <w:color w:val="auto"/>
          <w:lang w:val="en-US" w:eastAsia="zh-CN"/>
        </w:rPr>
        <w:t>(</w:t>
      </w:r>
      <w:r>
        <w:rPr>
          <w:rFonts w:hint="eastAsia"/>
          <w:color w:val="auto"/>
        </w:rPr>
        <w:t>填写样例）</w:t>
      </w:r>
      <w:r>
        <w:rPr>
          <w:rFonts w:hint="eastAsia"/>
          <w:color w:val="auto"/>
          <w:lang w:val="en-US" w:eastAsia="zh-CN"/>
        </w:rPr>
        <w:t>)</w:t>
      </w:r>
    </w:p>
    <w:p>
      <w:pPr>
        <w:ind w:firstLine="472"/>
        <w:rPr>
          <w:color w:val="auto"/>
        </w:rPr>
      </w:pPr>
      <w:r>
        <w:rPr>
          <w:rFonts w:hint="eastAsia"/>
          <w:color w:val="auto"/>
        </w:rPr>
        <w:t>6.</w:t>
      </w:r>
      <w:r>
        <w:rPr>
          <w:color w:val="auto"/>
        </w:rPr>
        <w:t>A06343</w:t>
      </w:r>
      <w:r>
        <w:rPr>
          <w:rFonts w:hint="eastAsia"/>
          <w:color w:val="auto"/>
        </w:rPr>
        <w:t>《出口货物不能收汇申报表》（</w:t>
      </w:r>
      <w:r>
        <w:rPr>
          <w:color w:val="auto"/>
        </w:rPr>
        <w:t>A06343</w:t>
      </w:r>
      <w:r>
        <w:rPr>
          <w:rFonts w:hint="eastAsia"/>
          <w:color w:val="auto"/>
        </w:rPr>
        <w:t>《出口货物不能收汇申报表》</w:t>
      </w:r>
      <w:r>
        <w:rPr>
          <w:rFonts w:hint="eastAsia"/>
          <w:color w:val="auto"/>
          <w:lang w:val="en-US" w:eastAsia="zh-CN"/>
        </w:rPr>
        <w:t>(</w:t>
      </w:r>
      <w:r>
        <w:rPr>
          <w:rFonts w:hint="eastAsia"/>
          <w:color w:val="auto"/>
        </w:rPr>
        <w:t>填写样例）</w:t>
      </w:r>
      <w:r>
        <w:rPr>
          <w:rFonts w:hint="eastAsia"/>
          <w:color w:val="auto"/>
          <w:lang w:val="en-US" w:eastAsia="zh-CN"/>
        </w:rPr>
        <w:t>)</w:t>
      </w:r>
    </w:p>
    <w:p>
      <w:pPr>
        <w:pStyle w:val="3"/>
        <w:ind w:firstLine="552"/>
        <w:rPr>
          <w:color w:val="auto"/>
        </w:rPr>
      </w:pPr>
      <w:r>
        <w:rPr>
          <w:rFonts w:hint="eastAsia"/>
          <w:color w:val="auto"/>
        </w:rPr>
        <w:t>九、注意事项</w:t>
      </w:r>
    </w:p>
    <w:p>
      <w:pPr>
        <w:ind w:left="472" w:firstLine="0" w:firstLineChars="0"/>
        <w:rPr>
          <w:color w:val="auto"/>
        </w:rPr>
      </w:pPr>
      <w:r>
        <w:rPr>
          <w:rFonts w:hint="eastAsia"/>
          <w:color w:val="auto"/>
        </w:rPr>
        <w:t>1.本事项限时办结。</w:t>
      </w:r>
    </w:p>
    <w:tbl>
      <w:tblPr>
        <w:tblStyle w:val="15"/>
        <w:tblW w:w="8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2"/>
        <w:gridCol w:w="1689"/>
        <w:gridCol w:w="1690"/>
        <w:gridCol w:w="1690"/>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2032" w:type="dxa"/>
            <w:tcBorders>
              <w:top w:val="single" w:color="auto" w:sz="12" w:space="0"/>
              <w:left w:val="single" w:color="auto" w:sz="12" w:space="0"/>
              <w:bottom w:val="single" w:color="auto" w:sz="6" w:space="0"/>
              <w:right w:val="single" w:color="auto" w:sz="6" w:space="0"/>
              <w:tl2br w:val="single" w:color="auto" w:sz="8" w:space="0"/>
            </w:tcBorders>
            <w:vAlign w:val="center"/>
          </w:tcPr>
          <w:p>
            <w:pPr>
              <w:ind w:firstLine="353"/>
              <w:jc w:val="right"/>
              <w:rPr>
                <w:b/>
                <w:color w:val="auto"/>
                <w:sz w:val="18"/>
                <w:szCs w:val="18"/>
              </w:rPr>
            </w:pPr>
            <w:r>
              <w:rPr>
                <w:rFonts w:hint="eastAsia"/>
                <w:b/>
                <w:color w:val="auto"/>
                <w:sz w:val="18"/>
                <w:szCs w:val="18"/>
              </w:rPr>
              <w:t>出口企业分类</w:t>
            </w:r>
          </w:p>
          <w:p>
            <w:pPr>
              <w:ind w:firstLine="353"/>
              <w:rPr>
                <w:b/>
                <w:color w:val="auto"/>
              </w:rPr>
            </w:pPr>
            <w:r>
              <w:rPr>
                <w:rFonts w:hint="eastAsia"/>
                <w:b/>
                <w:color w:val="auto"/>
                <w:sz w:val="18"/>
                <w:szCs w:val="18"/>
              </w:rPr>
              <w:t>差异化规则</w:t>
            </w:r>
          </w:p>
        </w:tc>
        <w:tc>
          <w:tcPr>
            <w:tcW w:w="1689"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一类</w:t>
            </w:r>
          </w:p>
        </w:tc>
        <w:tc>
          <w:tcPr>
            <w:tcW w:w="1690"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二类</w:t>
            </w:r>
          </w:p>
        </w:tc>
        <w:tc>
          <w:tcPr>
            <w:tcW w:w="1690" w:type="dxa"/>
            <w:tcBorders>
              <w:top w:val="single" w:color="auto" w:sz="12" w:space="0"/>
              <w:left w:val="single" w:color="auto" w:sz="6" w:space="0"/>
              <w:bottom w:val="single" w:color="auto" w:sz="6" w:space="0"/>
              <w:right w:val="single" w:color="auto" w:sz="6" w:space="0"/>
            </w:tcBorders>
            <w:vAlign w:val="center"/>
          </w:tcPr>
          <w:p>
            <w:pPr>
              <w:ind w:firstLine="353"/>
              <w:jc w:val="center"/>
              <w:rPr>
                <w:b/>
                <w:color w:val="auto"/>
                <w:kern w:val="0"/>
                <w:sz w:val="18"/>
                <w:szCs w:val="18"/>
              </w:rPr>
            </w:pPr>
            <w:r>
              <w:rPr>
                <w:rFonts w:hint="eastAsia"/>
                <w:b/>
                <w:color w:val="auto"/>
                <w:kern w:val="0"/>
                <w:sz w:val="18"/>
                <w:szCs w:val="18"/>
              </w:rPr>
              <w:t>三类</w:t>
            </w:r>
          </w:p>
        </w:tc>
        <w:tc>
          <w:tcPr>
            <w:tcW w:w="1690" w:type="dxa"/>
            <w:tcBorders>
              <w:top w:val="single" w:color="auto" w:sz="12" w:space="0"/>
              <w:left w:val="single" w:color="auto" w:sz="6" w:space="0"/>
              <w:bottom w:val="single" w:color="auto" w:sz="6" w:space="0"/>
              <w:right w:val="single" w:color="auto" w:sz="12" w:space="0"/>
            </w:tcBorders>
            <w:vAlign w:val="center"/>
          </w:tcPr>
          <w:p>
            <w:pPr>
              <w:ind w:firstLine="353"/>
              <w:jc w:val="center"/>
              <w:rPr>
                <w:b/>
                <w:color w:val="auto"/>
                <w:kern w:val="0"/>
                <w:sz w:val="18"/>
                <w:szCs w:val="18"/>
              </w:rPr>
            </w:pPr>
            <w:r>
              <w:rPr>
                <w:rFonts w:hint="eastAsia"/>
                <w:b/>
                <w:color w:val="auto"/>
                <w:kern w:val="0"/>
                <w:sz w:val="18"/>
                <w:szCs w:val="18"/>
              </w:rPr>
              <w:t>四类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ind w:firstLine="353"/>
              <w:jc w:val="center"/>
              <w:rPr>
                <w:b/>
                <w:color w:val="auto"/>
                <w:sz w:val="18"/>
                <w:szCs w:val="18"/>
              </w:rPr>
            </w:pPr>
            <w:r>
              <w:rPr>
                <w:rFonts w:hint="eastAsia"/>
                <w:b/>
                <w:color w:val="auto"/>
                <w:sz w:val="18"/>
                <w:szCs w:val="18"/>
              </w:rPr>
              <w:t>办理期限</w:t>
            </w:r>
          </w:p>
        </w:tc>
        <w:tc>
          <w:tcPr>
            <w:tcW w:w="1689"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5个工作日</w:t>
            </w:r>
          </w:p>
        </w:tc>
        <w:tc>
          <w:tcPr>
            <w:tcW w:w="1690"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10个工作日</w:t>
            </w:r>
          </w:p>
        </w:tc>
        <w:tc>
          <w:tcPr>
            <w:tcW w:w="1690" w:type="dxa"/>
            <w:tcBorders>
              <w:top w:val="single" w:color="auto" w:sz="6" w:space="0"/>
              <w:left w:val="single" w:color="auto" w:sz="6" w:space="0"/>
              <w:bottom w:val="single" w:color="auto" w:sz="12" w:space="0"/>
              <w:right w:val="single" w:color="auto" w:sz="6" w:space="0"/>
            </w:tcBorders>
            <w:vAlign w:val="center"/>
          </w:tcPr>
          <w:p>
            <w:pPr>
              <w:ind w:firstLine="352"/>
              <w:jc w:val="center"/>
              <w:rPr>
                <w:color w:val="auto"/>
                <w:kern w:val="0"/>
                <w:sz w:val="18"/>
                <w:szCs w:val="18"/>
              </w:rPr>
            </w:pPr>
            <w:r>
              <w:rPr>
                <w:rFonts w:hint="eastAsia"/>
                <w:color w:val="auto"/>
                <w:kern w:val="20"/>
                <w:sz w:val="18"/>
                <w:szCs w:val="18"/>
              </w:rPr>
              <w:t>15个工作日</w:t>
            </w:r>
          </w:p>
        </w:tc>
        <w:tc>
          <w:tcPr>
            <w:tcW w:w="1690" w:type="dxa"/>
            <w:tcBorders>
              <w:top w:val="single" w:color="auto" w:sz="6" w:space="0"/>
              <w:left w:val="single" w:color="auto" w:sz="6" w:space="0"/>
              <w:bottom w:val="single" w:color="auto" w:sz="12" w:space="0"/>
              <w:right w:val="single" w:color="auto" w:sz="12" w:space="0"/>
            </w:tcBorders>
          </w:tcPr>
          <w:p>
            <w:pPr>
              <w:ind w:firstLine="352"/>
              <w:jc w:val="center"/>
              <w:rPr>
                <w:color w:val="auto"/>
                <w:kern w:val="0"/>
                <w:sz w:val="18"/>
                <w:szCs w:val="18"/>
              </w:rPr>
            </w:pPr>
            <w:r>
              <w:rPr>
                <w:rFonts w:hint="eastAsia"/>
                <w:color w:val="auto"/>
                <w:kern w:val="20"/>
                <w:sz w:val="18"/>
                <w:szCs w:val="18"/>
              </w:rPr>
              <w:t>20个工作日</w:t>
            </w:r>
          </w:p>
        </w:tc>
      </w:tr>
    </w:tbl>
    <w:p>
      <w:pPr>
        <w:ind w:left="472" w:firstLine="0" w:firstLineChars="0"/>
        <w:rPr>
          <w:color w:val="auto"/>
        </w:rPr>
      </w:pPr>
      <w:r>
        <w:rPr>
          <w:color w:val="auto"/>
        </w:rPr>
        <w:t>对需要排除涉嫌骗税疑点及其他按规定暂缓退税的受理时限不受办理时限的限制。</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AB42380"/>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2019-10-31T05:10:34Z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