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755"/>
      <w:r>
        <w:rPr>
          <w:rFonts w:hint="eastAsia" w:ascii="黑体" w:hAnsi="黑体" w:cs="黑体"/>
          <w:color w:val="auto"/>
        </w:rPr>
        <w:t>1.1.6.5企业所得税清算报备</w:t>
      </w:r>
      <w:bookmarkEnd w:id="0"/>
    </w:p>
    <w:p>
      <w:pPr>
        <w:pStyle w:val="3"/>
        <w:ind w:firstLine="552"/>
        <w:rPr>
          <w:color w:val="auto"/>
        </w:rPr>
      </w:pPr>
      <w:r>
        <w:rPr>
          <w:color w:val="auto"/>
        </w:rPr>
        <w:t>一、事项名称</w:t>
      </w:r>
    </w:p>
    <w:p>
      <w:pPr>
        <w:ind w:firstLine="472"/>
        <w:rPr>
          <w:color w:val="auto"/>
        </w:rPr>
      </w:pPr>
      <w:r>
        <w:rPr>
          <w:rFonts w:hint="eastAsia"/>
          <w:color w:val="auto"/>
        </w:rPr>
        <w:t>企业所得税清算报备</w:t>
      </w:r>
    </w:p>
    <w:p>
      <w:pPr>
        <w:pStyle w:val="3"/>
        <w:ind w:firstLine="552"/>
        <w:rPr>
          <w:color w:val="auto"/>
        </w:rPr>
      </w:pPr>
      <w:r>
        <w:rPr>
          <w:color w:val="auto"/>
        </w:rPr>
        <w:t>二、事项类别</w:t>
      </w:r>
    </w:p>
    <w:p>
      <w:pPr>
        <w:numPr>
          <w:ilvl w:val="0"/>
          <w:numId w:val="3"/>
        </w:numPr>
        <w:tabs>
          <w:tab w:val="left" w:pos="420"/>
        </w:tabs>
        <w:ind w:left="0" w:firstLine="472"/>
        <w:rPr>
          <w:color w:val="auto"/>
        </w:rPr>
      </w:pPr>
      <w:r>
        <w:rPr>
          <w:rFonts w:hint="eastAsia"/>
          <w:color w:val="auto"/>
        </w:rPr>
        <w:t>发起方式：人工发起（纳税人）</w:t>
      </w:r>
    </w:p>
    <w:p>
      <w:pPr>
        <w:numPr>
          <w:ilvl w:val="0"/>
          <w:numId w:val="3"/>
        </w:numPr>
        <w:tabs>
          <w:tab w:val="left" w:pos="420"/>
        </w:tabs>
        <w:ind w:left="0" w:firstLine="472"/>
        <w:rPr>
          <w:color w:val="auto"/>
        </w:rPr>
      </w:pPr>
      <w:r>
        <w:rPr>
          <w:rFonts w:hint="eastAsia"/>
          <w:color w:val="auto"/>
        </w:rPr>
        <w:t>办结方式：即办</w:t>
      </w:r>
    </w:p>
    <w:p>
      <w:pPr>
        <w:numPr>
          <w:ilvl w:val="0"/>
          <w:numId w:val="3"/>
        </w:numPr>
        <w:tabs>
          <w:tab w:val="left" w:pos="420"/>
        </w:tabs>
        <w:ind w:left="0" w:firstLine="472"/>
        <w:rPr>
          <w:color w:val="auto"/>
        </w:rPr>
      </w:pPr>
      <w:r>
        <w:rPr>
          <w:rFonts w:hint="eastAsia"/>
          <w:color w:val="auto"/>
        </w:rPr>
        <w:t>全省通办：是</w:t>
      </w:r>
    </w:p>
    <w:p>
      <w:pPr>
        <w:numPr>
          <w:ilvl w:val="0"/>
          <w:numId w:val="3"/>
        </w:numPr>
        <w:tabs>
          <w:tab w:val="left" w:pos="420"/>
        </w:tabs>
        <w:ind w:left="0" w:firstLine="472"/>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1.企业应当在办理注销登记前，就其清算所得向税务机关申报并依法缴纳企业所得税。</w:t>
      </w:r>
    </w:p>
    <w:p>
      <w:pPr>
        <w:ind w:firstLine="472"/>
        <w:rPr>
          <w:color w:val="auto"/>
        </w:rPr>
      </w:pPr>
      <w:r>
        <w:rPr>
          <w:rFonts w:hint="eastAsia"/>
          <w:color w:val="auto"/>
        </w:rPr>
        <w:t>（1）企业清算的所得税处理，是指企业在不再持续经营，发生结束自身业务、处置资产、偿还债务以及向所有者分配剩余财产等经济行为时，对清算所得、清算所得税、股息分配等事项的处理。</w:t>
      </w:r>
    </w:p>
    <w:p>
      <w:pPr>
        <w:ind w:firstLine="472"/>
        <w:rPr>
          <w:color w:val="auto"/>
        </w:rPr>
      </w:pPr>
      <w:r>
        <w:rPr>
          <w:rFonts w:hint="eastAsia"/>
          <w:color w:val="auto"/>
        </w:rPr>
        <w:t>（2）下列企业应进行清算的所得税处理：</w:t>
      </w:r>
    </w:p>
    <w:p>
      <w:pPr>
        <w:ind w:firstLine="472"/>
        <w:rPr>
          <w:color w:val="auto"/>
        </w:rPr>
      </w:pPr>
      <w:r>
        <w:rPr>
          <w:rFonts w:hint="eastAsia"/>
          <w:color w:val="auto"/>
        </w:rPr>
        <w:t>①按《公司法》、《企业破产法》等规定需要进行清算的企业；</w:t>
      </w:r>
    </w:p>
    <w:p>
      <w:pPr>
        <w:ind w:firstLine="472"/>
        <w:rPr>
          <w:color w:val="auto"/>
        </w:rPr>
      </w:pPr>
      <w:r>
        <w:rPr>
          <w:rFonts w:hint="eastAsia"/>
          <w:color w:val="auto"/>
        </w:rPr>
        <w:t>②企业重组中需要按清算处理的企业。</w:t>
      </w:r>
    </w:p>
    <w:p>
      <w:pPr>
        <w:ind w:firstLine="472"/>
        <w:rPr>
          <w:color w:val="auto"/>
        </w:rPr>
      </w:pPr>
      <w:r>
        <w:rPr>
          <w:rFonts w:hint="eastAsia"/>
          <w:color w:val="auto"/>
        </w:rPr>
        <w:t>上述企业重组中需要按清算处理的企业是指，发生《财政部国家税务总局关于企业重组业务企业所得税处理若干问题的通知》（财税〔2009〕59号）第四条第（一）项规定的由法人转变为个人独资企业、合伙企业等非法人组织，或将登记注册地转移至中华人民共和国境外（包括港澳台地区），第（四）项规定的合并以及第（五）项规定的分立，被分立企业不再继续存在的，应按照《财政部国家税务总局关于企业清算业务企业所得税处理若干问题的通知》（财税〔2009〕60号）规定进行清算。</w:t>
      </w:r>
    </w:p>
    <w:p>
      <w:pPr>
        <w:ind w:firstLine="472"/>
        <w:rPr>
          <w:color w:val="auto"/>
        </w:rPr>
      </w:pPr>
      <w:r>
        <w:rPr>
          <w:rFonts w:hint="eastAsia"/>
          <w:color w:val="auto"/>
        </w:rPr>
        <w:t>（3）企业发生符合相关规定的特殊性税务处理规定的合并、分立，无需进行清算。</w:t>
      </w:r>
    </w:p>
    <w:p>
      <w:pPr>
        <w:ind w:firstLine="472"/>
        <w:rPr>
          <w:color w:val="auto"/>
        </w:rPr>
      </w:pPr>
      <w:r>
        <w:rPr>
          <w:rFonts w:hint="eastAsia"/>
          <w:color w:val="auto"/>
        </w:rPr>
        <w:t>2.进入清算期的企业应对清算事项，报主管税务机关备案。</w:t>
      </w:r>
    </w:p>
    <w:p>
      <w:pPr>
        <w:ind w:firstLine="472"/>
        <w:rPr>
          <w:color w:val="auto"/>
        </w:rPr>
      </w:pPr>
      <w:r>
        <w:rPr>
          <w:rFonts w:hint="eastAsia"/>
          <w:color w:val="auto"/>
        </w:rPr>
        <w:t>3.纳税人有解散、撤销、破产情形的，在清算前应当向其主管税务机关报告；未结清税款的，由其主管税务机关参加清算。</w:t>
      </w:r>
    </w:p>
    <w:p>
      <w:pPr>
        <w:pStyle w:val="3"/>
        <w:ind w:firstLine="552"/>
        <w:rPr>
          <w:color w:val="auto"/>
        </w:rPr>
      </w:pPr>
      <w:r>
        <w:rPr>
          <w:rFonts w:hint="eastAsia"/>
          <w:color w:val="auto"/>
        </w:rPr>
        <w:t>四、设定依据</w:t>
      </w:r>
    </w:p>
    <w:p>
      <w:pPr>
        <w:ind w:firstLine="472"/>
        <w:rPr>
          <w:color w:val="auto"/>
        </w:rPr>
      </w:pPr>
      <w:r>
        <w:rPr>
          <w:rFonts w:hint="eastAsia"/>
          <w:color w:val="auto"/>
        </w:rPr>
        <w:t>1.《中华人民共和国税收征收管理法》第二十五条第一款</w:t>
      </w:r>
    </w:p>
    <w:p>
      <w:pPr>
        <w:ind w:firstLine="472"/>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color w:val="auto"/>
        </w:rPr>
      </w:pPr>
      <w:r>
        <w:rPr>
          <w:rFonts w:hint="eastAsia"/>
          <w:color w:val="auto"/>
        </w:rPr>
        <w:t>2.《中华人民共和国企业所得税法》第一条、第五十五条</w:t>
      </w:r>
    </w:p>
    <w:p>
      <w:pPr>
        <w:ind w:firstLine="472"/>
        <w:rPr>
          <w:color w:val="auto"/>
        </w:rPr>
      </w:pPr>
      <w:r>
        <w:rPr>
          <w:rFonts w:hint="eastAsia"/>
          <w:color w:val="auto"/>
        </w:rPr>
        <w:t>“第一条　在中华人民共和国境内，企业和其他取得收入的组织（以下统称企业）为企业所得税的纳税人，依照本法的规定缴纳企业所得税。</w:t>
      </w:r>
    </w:p>
    <w:p>
      <w:pPr>
        <w:ind w:firstLine="472"/>
        <w:rPr>
          <w:color w:val="auto"/>
        </w:rPr>
      </w:pPr>
      <w:r>
        <w:rPr>
          <w:rFonts w:hint="eastAsia"/>
          <w:color w:val="auto"/>
        </w:rPr>
        <w:t>个人独资企业、合伙企业不适用本法。</w:t>
      </w:r>
    </w:p>
    <w:p>
      <w:pPr>
        <w:ind w:firstLine="472"/>
        <w:rPr>
          <w:color w:val="auto"/>
        </w:rPr>
      </w:pPr>
      <w:r>
        <w:rPr>
          <w:rFonts w:hint="eastAsia"/>
          <w:color w:val="auto"/>
        </w:rPr>
        <w:t>第五十五条　企业在年度中间终止经营活动的，应当自实际经营终止之日起六十日内，向税务机关办理当期企业所得税汇算清缴。</w:t>
      </w:r>
    </w:p>
    <w:p>
      <w:pPr>
        <w:ind w:firstLine="472"/>
        <w:rPr>
          <w:color w:val="auto"/>
        </w:rPr>
      </w:pPr>
      <w:r>
        <w:rPr>
          <w:rFonts w:hint="eastAsia"/>
          <w:color w:val="auto"/>
        </w:rPr>
        <w:t>企业应当在办理注销登记前，就其清算所得向税务机关申报并依法缴纳企业所得税。”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jc w:val="center"/>
              <w:rPr>
                <w:rFonts w:cs="宋体"/>
                <w:color w:val="auto"/>
                <w:sz w:val="18"/>
                <w:szCs w:val="18"/>
              </w:rPr>
            </w:pPr>
            <w:r>
              <w:rPr>
                <w:rFonts w:ascii="宋体" w:hAnsi="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hint="eastAsia" w:ascii="宋体" w:hAnsi="宋体" w:cs="微软雅黑"/>
                <w:color w:val="auto"/>
                <w:sz w:val="18"/>
                <w:szCs w:val="18"/>
              </w:rPr>
              <w:t>《企业所得税清算事项备案表》</w:t>
            </w:r>
          </w:p>
        </w:tc>
        <w:tc>
          <w:tcPr>
            <w:tcW w:w="709" w:type="dxa"/>
            <w:shd w:val="clear" w:color="auto" w:fill="auto"/>
            <w:vAlign w:val="center"/>
          </w:tcPr>
          <w:p>
            <w:pPr>
              <w:pStyle w:val="13"/>
              <w:widowControl/>
              <w:spacing w:before="100" w:after="100"/>
              <w:ind w:firstLine="352"/>
              <w:rPr>
                <w:rFonts w:cs="宋体"/>
                <w:color w:val="auto"/>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jc w:val="center"/>
              <w:rPr>
                <w:rFonts w:cs="宋体"/>
                <w:color w:val="auto"/>
                <w:sz w:val="18"/>
                <w:szCs w:val="18"/>
              </w:rPr>
            </w:pPr>
            <w:r>
              <w:rPr>
                <w:rFonts w:hint="eastAsia" w:ascii="宋体" w:hAnsi="宋体" w:cs="微软雅黑"/>
                <w:color w:val="auto"/>
                <w:sz w:val="18"/>
                <w:szCs w:val="18"/>
              </w:rPr>
              <w:t>必报</w:t>
            </w:r>
          </w:p>
        </w:tc>
        <w:tc>
          <w:tcPr>
            <w:tcW w:w="1134" w:type="dxa"/>
            <w:shd w:val="clear" w:color="auto" w:fill="auto"/>
            <w:vAlign w:val="center"/>
          </w:tcPr>
          <w:p>
            <w:pPr>
              <w:pStyle w:val="13"/>
              <w:widowControl/>
              <w:spacing w:before="100" w:after="100"/>
              <w:ind w:firstLine="352"/>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45" o:spt="75" type="#_x0000_t75" style="height:101.9pt;width:381.05pt;" o:ole="t" filled="f" o:preferrelative="t" stroked="f" coordsize="21600,21600">
            <v:path/>
            <v:fill on="f" focussize="0,0"/>
            <v:stroke on="f" joinstyle="miter"/>
            <v:imagedata r:id="rId11" o:title=""/>
            <o:lock v:ext="edit" aspectratio="t"/>
            <w10:wrap type="none"/>
            <w10:anchorlock/>
          </v:shape>
          <o:OLEObject Type="Embed" ProgID="Visio.Drawing.11" ShapeID="_x0000_i1045" DrawAspect="Content" ObjectID="_1468075725" r:id="rId10">
            <o:LockedField>false</o:LockedField>
          </o:OLEObject>
        </w:object>
      </w:r>
    </w:p>
    <w:p>
      <w:pPr>
        <w:ind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1.A01086《企业所得税清算事项备案表》</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rPr>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6C013C33"/>
    <w:multiLevelType w:val="multilevel"/>
    <w:tmpl w:val="6C013C33"/>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76C2F"/>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2019-10-31T03:35:39Z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