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color w:val="auto"/>
        </w:rPr>
      </w:pPr>
      <w:bookmarkStart w:id="1" w:name="_GoBack"/>
      <w:bookmarkEnd w:id="1"/>
      <w:bookmarkStart w:id="0" w:name="_Toc27952"/>
      <w:r>
        <w:rPr>
          <w:rFonts w:hint="eastAsia" w:ascii="黑体" w:hAnsi="黑体"/>
          <w:color w:val="auto"/>
        </w:rPr>
        <w:t>1.3.13.1资源税申报</w:t>
      </w:r>
      <w:bookmarkEnd w:id="0"/>
    </w:p>
    <w:p>
      <w:pPr>
        <w:pStyle w:val="3"/>
        <w:ind w:firstLine="552"/>
        <w:rPr>
          <w:color w:val="auto"/>
        </w:rPr>
      </w:pPr>
      <w:r>
        <w:rPr>
          <w:color w:val="auto"/>
        </w:rPr>
        <w:t>一、事项名称</w:t>
      </w:r>
    </w:p>
    <w:p>
      <w:pPr>
        <w:ind w:firstLine="472"/>
        <w:rPr>
          <w:rFonts w:hint="eastAsia"/>
          <w:color w:val="auto"/>
        </w:rPr>
      </w:pPr>
      <w:r>
        <w:rPr>
          <w:rFonts w:hint="eastAsia"/>
          <w:color w:val="auto"/>
        </w:rPr>
        <w:t>资源税申报</w:t>
      </w:r>
    </w:p>
    <w:p>
      <w:pPr>
        <w:pStyle w:val="3"/>
        <w:ind w:firstLine="552"/>
        <w:rPr>
          <w:color w:val="auto"/>
        </w:rPr>
      </w:pPr>
      <w:r>
        <w:rPr>
          <w:color w:val="auto"/>
        </w:rPr>
        <w:t>二、事项类别</w:t>
      </w:r>
    </w:p>
    <w:p>
      <w:pPr>
        <w:pStyle w:val="47"/>
        <w:numPr>
          <w:ilvl w:val="0"/>
          <w:numId w:val="3"/>
        </w:numPr>
        <w:ind w:firstLineChars="0"/>
        <w:rPr>
          <w:color w:val="auto"/>
        </w:rPr>
      </w:pPr>
      <w:r>
        <w:rPr>
          <w:rFonts w:hint="eastAsia"/>
          <w:color w:val="auto"/>
        </w:rPr>
        <w:t>发起方式：人工发起（纳税人）</w:t>
      </w:r>
    </w:p>
    <w:p>
      <w:pPr>
        <w:pStyle w:val="47"/>
        <w:numPr>
          <w:ilvl w:val="0"/>
          <w:numId w:val="3"/>
        </w:numPr>
        <w:ind w:firstLineChars="0"/>
        <w:rPr>
          <w:color w:val="auto"/>
        </w:rPr>
      </w:pPr>
      <w:r>
        <w:rPr>
          <w:rFonts w:hint="eastAsia"/>
          <w:color w:val="auto"/>
        </w:rPr>
        <w:t>办结方式：即办</w:t>
      </w:r>
    </w:p>
    <w:p>
      <w:pPr>
        <w:pStyle w:val="47"/>
        <w:numPr>
          <w:ilvl w:val="0"/>
          <w:numId w:val="3"/>
        </w:numPr>
        <w:ind w:firstLineChars="0"/>
        <w:rPr>
          <w:color w:val="auto"/>
        </w:rPr>
      </w:pPr>
      <w:r>
        <w:rPr>
          <w:rFonts w:hint="eastAsia"/>
          <w:color w:val="auto"/>
        </w:rPr>
        <w:t>全省通办：是</w:t>
      </w:r>
    </w:p>
    <w:p>
      <w:pPr>
        <w:pStyle w:val="47"/>
        <w:numPr>
          <w:ilvl w:val="0"/>
          <w:numId w:val="3"/>
        </w:numPr>
        <w:ind w:firstLineChars="0"/>
        <w:rPr>
          <w:color w:val="auto"/>
        </w:rPr>
      </w:pPr>
      <w:r>
        <w:rPr>
          <w:rFonts w:hint="eastAsia"/>
          <w:color w:val="auto"/>
        </w:rPr>
        <w:t>网上办理：是</w:t>
      </w:r>
    </w:p>
    <w:p>
      <w:pPr>
        <w:pStyle w:val="47"/>
        <w:numPr>
          <w:ilvl w:val="0"/>
          <w:numId w:val="3"/>
        </w:numPr>
        <w:ind w:firstLineChars="0"/>
        <w:rPr>
          <w:color w:val="auto"/>
        </w:rPr>
      </w:pPr>
      <w:r>
        <w:rPr>
          <w:rFonts w:hint="eastAsia"/>
          <w:color w:val="auto"/>
        </w:rPr>
        <w:t>适用层级：县(市、区)级</w:t>
      </w:r>
    </w:p>
    <w:p>
      <w:pPr>
        <w:pStyle w:val="47"/>
        <w:numPr>
          <w:ilvl w:val="0"/>
          <w:numId w:val="3"/>
        </w:numPr>
        <w:ind w:firstLineChars="0"/>
        <w:rPr>
          <w:color w:val="auto"/>
        </w:rPr>
      </w:pPr>
      <w:r>
        <w:rPr>
          <w:rFonts w:hint="eastAsia"/>
          <w:color w:val="auto"/>
        </w:rPr>
        <w:t>最多跑一次：是</w:t>
      </w:r>
    </w:p>
    <w:p>
      <w:pPr>
        <w:pStyle w:val="3"/>
        <w:ind w:firstLine="552"/>
        <w:rPr>
          <w:color w:val="auto"/>
        </w:rPr>
      </w:pPr>
      <w:r>
        <w:rPr>
          <w:color w:val="auto"/>
        </w:rPr>
        <w:t>三、</w:t>
      </w:r>
      <w:r>
        <w:rPr>
          <w:rFonts w:hint="eastAsia"/>
          <w:color w:val="auto"/>
          <w:lang w:val="en-US" w:eastAsia="zh-CN"/>
        </w:rPr>
        <w:t>办理条件</w:t>
      </w:r>
    </w:p>
    <w:p>
      <w:pPr>
        <w:ind w:firstLine="472"/>
        <w:rPr>
          <w:rFonts w:hint="eastAsia"/>
          <w:color w:val="auto"/>
        </w:rPr>
      </w:pPr>
      <w:r>
        <w:rPr>
          <w:rFonts w:hint="eastAsia"/>
          <w:color w:val="auto"/>
        </w:rPr>
        <w:t>资源税申报是指在中华人民共和国领域及管辖海域开采应税矿产品或者生产盐的单位和个人，应依照税收法律、法规、规章及其他有关规定，在规定的纳税期限内，填报《资源税纳税申报表》和税务机关要求的其他资料向税务机关进行纳税申报的业务活动。</w:t>
      </w:r>
    </w:p>
    <w:p>
      <w:pPr>
        <w:ind w:firstLine="472"/>
        <w:rPr>
          <w:color w:val="auto"/>
        </w:rPr>
      </w:pPr>
      <w:r>
        <w:rPr>
          <w:rFonts w:hint="eastAsia"/>
          <w:color w:val="auto"/>
        </w:rPr>
        <w:t>自2019年1月1日起至2021年12月31日，对我省增值税小规模纳税人按50%的税额幅度减征资源税（不含水资源税）、城市维护建设税、房产税、城镇土地使用税、印花税（不含证券交易印花税）、耕地占用税和教育费附加、地方教育附加。纳税人可以叠加享受以前出台的优惠政策和增值税小规模纳税人优惠政策，增值税小规模纳税人优惠政策在计算应纳税额、其他政策减免税额之后叠加。</w:t>
      </w:r>
    </w:p>
    <w:p>
      <w:pPr>
        <w:pStyle w:val="3"/>
        <w:ind w:firstLine="552"/>
        <w:rPr>
          <w:color w:val="auto"/>
        </w:rPr>
      </w:pPr>
      <w:r>
        <w:rPr>
          <w:rFonts w:hint="eastAsia"/>
          <w:color w:val="auto"/>
        </w:rPr>
        <w:t>四、设定依据</w:t>
      </w:r>
    </w:p>
    <w:p>
      <w:pPr>
        <w:ind w:firstLine="472"/>
        <w:rPr>
          <w:rFonts w:hint="eastAsia"/>
          <w:color w:val="auto"/>
        </w:rPr>
      </w:pPr>
      <w:r>
        <w:rPr>
          <w:rFonts w:hint="eastAsia"/>
          <w:color w:val="auto"/>
        </w:rPr>
        <w:t>1.《中华人民共和国税收征收管理法》第二十五条第一款</w:t>
      </w:r>
    </w:p>
    <w:p>
      <w:pPr>
        <w:ind w:firstLine="472"/>
        <w:rPr>
          <w:rFonts w:hint="eastAsia"/>
          <w:color w:val="auto"/>
        </w:rPr>
      </w:pPr>
      <w:r>
        <w:rPr>
          <w:rFonts w:hint="eastAsia"/>
          <w:color w:val="auto"/>
        </w:rPr>
        <w:t>“纳税人必须依照法律、行政法规规定或者税务机关依照法律、行政法规的规定确定的申报期限、申报内容如实办理纳税申报，报送纳税申报表、财务会计报表以及税务机关根据实际需要要求纳税人报送的其他纳税资料。”</w:t>
      </w:r>
    </w:p>
    <w:p>
      <w:pPr>
        <w:ind w:firstLine="472"/>
        <w:rPr>
          <w:rFonts w:hint="eastAsia"/>
          <w:color w:val="auto"/>
        </w:rPr>
      </w:pPr>
      <w:r>
        <w:rPr>
          <w:rFonts w:hint="eastAsia"/>
          <w:color w:val="auto"/>
        </w:rPr>
        <w:t>2.《中华人民共和国资源税暂行条例》第一条、第二条</w:t>
      </w:r>
    </w:p>
    <w:p>
      <w:pPr>
        <w:ind w:firstLine="472"/>
        <w:rPr>
          <w:rFonts w:hint="eastAsia"/>
          <w:color w:val="auto"/>
        </w:rPr>
      </w:pPr>
      <w:r>
        <w:rPr>
          <w:rFonts w:hint="eastAsia"/>
          <w:color w:val="auto"/>
        </w:rPr>
        <w:t>“第一条　根据《中华人民共和国资源税暂行条例》（以下简称条例），制定本细则。</w:t>
      </w:r>
    </w:p>
    <w:p>
      <w:pPr>
        <w:ind w:firstLine="472"/>
        <w:rPr>
          <w:rFonts w:hint="eastAsia"/>
          <w:color w:val="auto"/>
        </w:rPr>
      </w:pPr>
      <w:r>
        <w:rPr>
          <w:rFonts w:hint="eastAsia"/>
          <w:color w:val="auto"/>
        </w:rPr>
        <w:t>第二条　条例所附《资源税税目税率表》中所列部分税目的征税范围限定如下：</w:t>
      </w:r>
    </w:p>
    <w:p>
      <w:pPr>
        <w:ind w:firstLine="472"/>
        <w:rPr>
          <w:rFonts w:hint="eastAsia"/>
          <w:color w:val="auto"/>
        </w:rPr>
      </w:pPr>
      <w:r>
        <w:rPr>
          <w:rFonts w:hint="eastAsia"/>
          <w:color w:val="auto"/>
        </w:rPr>
        <w:t>（一）原油，是指开采的天然原油，不包括人造石油。</w:t>
      </w:r>
    </w:p>
    <w:p>
      <w:pPr>
        <w:ind w:firstLine="472"/>
        <w:rPr>
          <w:rFonts w:hint="eastAsia"/>
          <w:color w:val="auto"/>
        </w:rPr>
      </w:pPr>
      <w:r>
        <w:rPr>
          <w:rFonts w:hint="eastAsia"/>
          <w:color w:val="auto"/>
        </w:rPr>
        <w:t>（二）天然气，是指专门开采或者与原油同时开采的天然气。</w:t>
      </w:r>
    </w:p>
    <w:p>
      <w:pPr>
        <w:ind w:firstLine="472"/>
        <w:rPr>
          <w:rFonts w:hint="eastAsia"/>
          <w:color w:val="auto"/>
        </w:rPr>
      </w:pPr>
      <w:r>
        <w:rPr>
          <w:rFonts w:hint="eastAsia"/>
          <w:color w:val="auto"/>
        </w:rPr>
        <w:t>（三）煤炭，是指原煤，不包括洗煤、选煤及其他煤炭制品。</w:t>
      </w:r>
    </w:p>
    <w:p>
      <w:pPr>
        <w:ind w:firstLine="472"/>
        <w:rPr>
          <w:rFonts w:hint="eastAsia"/>
          <w:color w:val="auto"/>
        </w:rPr>
      </w:pPr>
      <w:r>
        <w:rPr>
          <w:rFonts w:hint="eastAsia"/>
          <w:color w:val="auto"/>
        </w:rPr>
        <w:t>（四）其他非金属矿原矿，是指上列产品和井矿盐以外的非金属矿原矿。</w:t>
      </w:r>
    </w:p>
    <w:p>
      <w:pPr>
        <w:ind w:firstLine="472"/>
        <w:rPr>
          <w:rFonts w:hint="eastAsia"/>
          <w:color w:val="auto"/>
        </w:rPr>
      </w:pPr>
      <w:r>
        <w:rPr>
          <w:rFonts w:hint="eastAsia"/>
          <w:color w:val="auto"/>
        </w:rPr>
        <w:t>（五）固体盐，是指海盐原盐、湖盐原盐和井矿盐。</w:t>
      </w:r>
    </w:p>
    <w:p>
      <w:pPr>
        <w:ind w:firstLine="472"/>
        <w:rPr>
          <w:rFonts w:hint="eastAsia"/>
          <w:color w:val="auto"/>
        </w:rPr>
      </w:pPr>
      <w:r>
        <w:rPr>
          <w:rFonts w:hint="eastAsia"/>
          <w:color w:val="auto"/>
        </w:rPr>
        <w:t>液体盐，是指卤水。”</w:t>
      </w:r>
    </w:p>
    <w:p>
      <w:pPr>
        <w:ind w:firstLine="472"/>
        <w:rPr>
          <w:rFonts w:hint="eastAsia"/>
          <w:color w:val="auto"/>
        </w:rPr>
      </w:pPr>
      <w:r>
        <w:rPr>
          <w:rFonts w:hint="eastAsia"/>
          <w:color w:val="auto"/>
        </w:rPr>
        <w:t>纳税人应当自纳税期满或者纳税义务发生之日起15日内申报纳税。”</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2551" w:type="dxa"/>
            <w:shd w:val="clear" w:color="auto" w:fill="auto"/>
            <w:vAlign w:val="center"/>
          </w:tcPr>
          <w:p>
            <w:pPr>
              <w:pStyle w:val="13"/>
              <w:widowControl/>
              <w:spacing w:beforeAutospacing="0" w:afterAutospacing="0" w:line="280" w:lineRule="exact"/>
              <w:ind w:firstLine="0" w:firstLineChars="0"/>
              <w:rPr>
                <w:rFonts w:cs="宋体"/>
                <w:color w:val="auto"/>
                <w:kern w:val="0"/>
                <w:sz w:val="18"/>
                <w:szCs w:val="18"/>
              </w:rPr>
            </w:pPr>
            <w:r>
              <w:rPr>
                <w:rFonts w:hint="eastAsia" w:ascii="宋体" w:hAnsi="宋体" w:eastAsia="宋体" w:cs="宋体"/>
                <w:color w:val="auto"/>
                <w:sz w:val="18"/>
                <w:szCs w:val="18"/>
              </w:rPr>
              <w:t>《资源税纳税申报表》</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必报</w:t>
            </w:r>
          </w:p>
        </w:tc>
        <w:tc>
          <w:tcPr>
            <w:tcW w:w="1134" w:type="dxa"/>
            <w:shd w:val="clear" w:color="auto" w:fill="auto"/>
            <w:vAlign w:val="center"/>
          </w:tcPr>
          <w:p>
            <w:pPr>
              <w:widowControl/>
              <w:spacing w:line="280" w:lineRule="exact"/>
              <w:ind w:firstLine="0" w:firstLineChars="0"/>
              <w:jc w:val="left"/>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w:t>
            </w:r>
          </w:p>
        </w:tc>
        <w:tc>
          <w:tcPr>
            <w:tcW w:w="2551" w:type="dxa"/>
            <w:shd w:val="clear" w:color="auto" w:fill="auto"/>
            <w:vAlign w:val="center"/>
          </w:tcPr>
          <w:p>
            <w:pPr>
              <w:pStyle w:val="13"/>
              <w:widowControl/>
              <w:spacing w:beforeAutospacing="0" w:afterAutospacing="0" w:line="280" w:lineRule="exact"/>
              <w:ind w:firstLine="0" w:firstLineChars="0"/>
              <w:rPr>
                <w:rFonts w:cs="宋体"/>
                <w:color w:val="auto"/>
                <w:kern w:val="0"/>
                <w:sz w:val="18"/>
                <w:szCs w:val="18"/>
              </w:rPr>
            </w:pPr>
            <w:r>
              <w:rPr>
                <w:rFonts w:hint="eastAsia" w:ascii="宋体" w:hAnsi="宋体" w:eastAsia="宋体" w:cs="宋体"/>
                <w:color w:val="auto"/>
                <w:sz w:val="18"/>
                <w:szCs w:val="18"/>
              </w:rPr>
              <w:t>《资源税纳税申报表附表（一）（原矿类税目适用）》</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凡开采以原矿为征税对象的应税产品的纳税人</w:t>
            </w:r>
          </w:p>
        </w:tc>
        <w:tc>
          <w:tcPr>
            <w:tcW w:w="1134"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3</w:t>
            </w:r>
          </w:p>
        </w:tc>
        <w:tc>
          <w:tcPr>
            <w:tcW w:w="2551" w:type="dxa"/>
            <w:shd w:val="clear" w:color="auto" w:fill="auto"/>
            <w:vAlign w:val="center"/>
          </w:tcPr>
          <w:p>
            <w:pPr>
              <w:widowControl/>
              <w:spacing w:line="280" w:lineRule="exact"/>
              <w:ind w:firstLine="0" w:firstLineChars="0"/>
              <w:jc w:val="left"/>
              <w:rPr>
                <w:rFonts w:hint="eastAsia" w:cs="宋体"/>
                <w:color w:val="auto"/>
                <w:kern w:val="0"/>
                <w:sz w:val="18"/>
                <w:szCs w:val="18"/>
              </w:rPr>
            </w:pPr>
            <w:r>
              <w:rPr>
                <w:rFonts w:hint="eastAsia" w:cs="宋体"/>
                <w:color w:val="auto"/>
                <w:kern w:val="0"/>
                <w:sz w:val="18"/>
                <w:szCs w:val="18"/>
              </w:rPr>
              <w:t>《资源税纳税申报表附表（二）（精矿类税目适用）》</w:t>
            </w:r>
          </w:p>
        </w:tc>
        <w:tc>
          <w:tcPr>
            <w:tcW w:w="709"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2</w:t>
            </w:r>
          </w:p>
        </w:tc>
        <w:tc>
          <w:tcPr>
            <w:tcW w:w="992"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凡开采以精矿为征税对象的应税产品的纳税人</w:t>
            </w:r>
          </w:p>
        </w:tc>
        <w:tc>
          <w:tcPr>
            <w:tcW w:w="1134"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hint="eastAsia" w:eastAsia="宋体" w:cs="宋体"/>
                <w:color w:val="auto"/>
                <w:kern w:val="0"/>
                <w:sz w:val="18"/>
                <w:szCs w:val="18"/>
                <w:lang w:val="en-US" w:eastAsia="zh-CN"/>
              </w:rPr>
            </w:pPr>
            <w:r>
              <w:rPr>
                <w:rFonts w:hint="eastAsia" w:cs="宋体"/>
                <w:color w:val="auto"/>
                <w:kern w:val="0"/>
                <w:sz w:val="18"/>
                <w:szCs w:val="18"/>
                <w:lang w:val="en-US" w:eastAsia="zh-CN"/>
              </w:rPr>
              <w:t>4</w:t>
            </w:r>
          </w:p>
        </w:tc>
        <w:tc>
          <w:tcPr>
            <w:tcW w:w="2551" w:type="dxa"/>
            <w:shd w:val="clear" w:color="auto" w:fill="auto"/>
            <w:vAlign w:val="center"/>
          </w:tcPr>
          <w:p>
            <w:pPr>
              <w:widowControl/>
              <w:spacing w:line="280" w:lineRule="exact"/>
              <w:ind w:firstLine="0" w:firstLineChars="0"/>
              <w:jc w:val="left"/>
              <w:rPr>
                <w:rFonts w:hint="eastAsia" w:ascii="宋体" w:hAnsi="宋体" w:eastAsia="宋体" w:cs="宋体"/>
                <w:color w:val="auto"/>
                <w:sz w:val="18"/>
                <w:szCs w:val="18"/>
              </w:rPr>
            </w:pPr>
            <w:r>
              <w:rPr>
                <w:rFonts w:hint="eastAsia" w:cs="宋体"/>
                <w:color w:val="auto"/>
                <w:kern w:val="0"/>
                <w:sz w:val="18"/>
                <w:szCs w:val="18"/>
              </w:rPr>
              <w:t>《资源税纳税申报表附表（三）（减免税明细）》</w:t>
            </w:r>
          </w:p>
        </w:tc>
        <w:tc>
          <w:tcPr>
            <w:tcW w:w="709"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2</w:t>
            </w:r>
          </w:p>
        </w:tc>
        <w:tc>
          <w:tcPr>
            <w:tcW w:w="992" w:type="dxa"/>
            <w:shd w:val="clear" w:color="auto" w:fill="auto"/>
            <w:vAlign w:val="center"/>
          </w:tcPr>
          <w:p>
            <w:pPr>
              <w:widowControl/>
              <w:spacing w:line="280" w:lineRule="exact"/>
              <w:ind w:firstLine="0" w:firstLineChars="0"/>
              <w:jc w:val="center"/>
              <w:rPr>
                <w:rStyle w:val="17"/>
                <w:rFonts w:hint="eastAsia" w:ascii="宋体" w:hAnsi="宋体" w:eastAsia="宋体" w:cs="微软雅黑"/>
                <w:b w:val="0"/>
                <w:color w:val="auto"/>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left"/>
              <w:rPr>
                <w:rFonts w:hint="eastAsia" w:ascii="宋体" w:hAnsi="宋体" w:eastAsia="宋体" w:cs="宋体"/>
                <w:color w:val="auto"/>
                <w:sz w:val="18"/>
                <w:szCs w:val="18"/>
              </w:rPr>
            </w:pPr>
            <w:r>
              <w:rPr>
                <w:rFonts w:hint="eastAsia" w:cs="宋体"/>
                <w:color w:val="auto"/>
                <w:kern w:val="0"/>
                <w:sz w:val="18"/>
                <w:szCs w:val="18"/>
              </w:rPr>
              <w:t>适用于有减免资源税项目的纳税人</w:t>
            </w:r>
          </w:p>
        </w:tc>
        <w:tc>
          <w:tcPr>
            <w:tcW w:w="1134"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hint="eastAsia" w:eastAsia="宋体" w:cs="宋体"/>
                <w:color w:val="auto"/>
                <w:kern w:val="0"/>
                <w:sz w:val="18"/>
                <w:szCs w:val="18"/>
                <w:lang w:val="en-US" w:eastAsia="zh-CN"/>
              </w:rPr>
            </w:pPr>
            <w:r>
              <w:rPr>
                <w:rFonts w:hint="eastAsia" w:cs="宋体"/>
                <w:color w:val="auto"/>
                <w:kern w:val="0"/>
                <w:sz w:val="18"/>
                <w:szCs w:val="18"/>
                <w:lang w:val="en-US" w:eastAsia="zh-CN"/>
              </w:rPr>
              <w:t>5</w:t>
            </w:r>
          </w:p>
        </w:tc>
        <w:tc>
          <w:tcPr>
            <w:tcW w:w="2551" w:type="dxa"/>
            <w:shd w:val="clear" w:color="auto" w:fill="auto"/>
            <w:vAlign w:val="center"/>
          </w:tcPr>
          <w:p>
            <w:pPr>
              <w:pStyle w:val="13"/>
              <w:widowControl/>
              <w:spacing w:beforeAutospacing="0" w:afterAutospacing="0" w:line="280" w:lineRule="exact"/>
              <w:ind w:firstLine="0" w:firstLineChars="0"/>
              <w:rPr>
                <w:rFonts w:hint="eastAsia" w:ascii="宋体" w:hAnsi="宋体" w:eastAsia="宋体" w:cs="宋体"/>
                <w:color w:val="auto"/>
                <w:sz w:val="18"/>
                <w:szCs w:val="18"/>
              </w:rPr>
            </w:pPr>
            <w:r>
              <w:rPr>
                <w:rFonts w:hint="eastAsia" w:ascii="宋体" w:hAnsi="宋体" w:eastAsia="宋体"/>
                <w:color w:val="auto"/>
                <w:sz w:val="18"/>
                <w:szCs w:val="18"/>
              </w:rPr>
              <w:t>《中外合作及海上自营油气田资源税纳税申报表》</w:t>
            </w:r>
          </w:p>
        </w:tc>
        <w:tc>
          <w:tcPr>
            <w:tcW w:w="709"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2</w:t>
            </w:r>
          </w:p>
        </w:tc>
        <w:tc>
          <w:tcPr>
            <w:tcW w:w="992" w:type="dxa"/>
            <w:shd w:val="clear" w:color="auto" w:fill="auto"/>
            <w:vAlign w:val="center"/>
          </w:tcPr>
          <w:p>
            <w:pPr>
              <w:widowControl/>
              <w:spacing w:line="280" w:lineRule="exact"/>
              <w:ind w:firstLine="0" w:firstLineChars="0"/>
              <w:jc w:val="center"/>
              <w:rPr>
                <w:rStyle w:val="17"/>
                <w:rFonts w:hint="eastAsia" w:ascii="宋体" w:hAnsi="宋体" w:eastAsia="宋体" w:cs="微软雅黑"/>
                <w:b w:val="0"/>
                <w:color w:val="auto"/>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left"/>
              <w:rPr>
                <w:rFonts w:hint="eastAsia" w:ascii="宋体" w:hAnsi="宋体" w:eastAsia="宋体" w:cs="宋体"/>
                <w:color w:val="auto"/>
                <w:sz w:val="18"/>
                <w:szCs w:val="18"/>
              </w:rPr>
            </w:pPr>
            <w:r>
              <w:rPr>
                <w:rFonts w:hint="eastAsia" w:cs="宋体"/>
                <w:color w:val="auto"/>
                <w:kern w:val="0"/>
                <w:sz w:val="18"/>
                <w:szCs w:val="18"/>
              </w:rPr>
              <w:t>经</w:t>
            </w:r>
            <w:r>
              <w:rPr>
                <w:rFonts w:cs="宋体"/>
                <w:color w:val="auto"/>
                <w:kern w:val="0"/>
                <w:sz w:val="18"/>
                <w:szCs w:val="18"/>
              </w:rPr>
              <w:t>营</w:t>
            </w:r>
            <w:r>
              <w:rPr>
                <w:rFonts w:hint="eastAsia" w:cs="宋体"/>
                <w:color w:val="auto"/>
                <w:kern w:val="0"/>
                <w:sz w:val="18"/>
                <w:szCs w:val="18"/>
              </w:rPr>
              <w:t>中外合作油气田和中国海洋石油总公司海上自营油气田的</w:t>
            </w:r>
            <w:r>
              <w:rPr>
                <w:rFonts w:cs="宋体"/>
                <w:color w:val="auto"/>
                <w:kern w:val="0"/>
                <w:sz w:val="18"/>
                <w:szCs w:val="18"/>
              </w:rPr>
              <w:t>纳税人</w:t>
            </w:r>
          </w:p>
        </w:tc>
        <w:tc>
          <w:tcPr>
            <w:tcW w:w="1134"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bl>
    <w:p>
      <w:pPr>
        <w:pStyle w:val="3"/>
        <w:ind w:firstLine="552"/>
        <w:rPr>
          <w:color w:val="auto"/>
        </w:rPr>
      </w:pPr>
      <w:r>
        <w:rPr>
          <w:rFonts w:hint="eastAsia"/>
          <w:color w:val="auto"/>
        </w:rPr>
        <w:t>六</w:t>
      </w:r>
      <w:r>
        <w:rPr>
          <w:color w:val="auto"/>
        </w:rPr>
        <w:t>、办理流程</w:t>
      </w:r>
    </w:p>
    <w:p>
      <w:pPr>
        <w:spacing w:line="240" w:lineRule="auto"/>
        <w:ind w:left="0" w:leftChars="0" w:firstLine="0" w:firstLineChars="0"/>
        <w:rPr>
          <w:color w:val="auto"/>
        </w:rPr>
      </w:pPr>
      <w:r>
        <w:rPr>
          <w:rFonts w:hint="eastAsia" w:eastAsia="宋体"/>
          <w:color w:val="auto"/>
          <w:lang w:eastAsia="zh-CN"/>
        </w:rPr>
        <w:drawing>
          <wp:inline distT="0" distB="0" distL="114300" distR="114300">
            <wp:extent cx="5334000" cy="1304925"/>
            <wp:effectExtent l="0" t="0" r="0" b="9525"/>
            <wp:docPr id="16" name="图片 16"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图片1"/>
                    <pic:cNvPicPr>
                      <a:picLocks noChangeAspect="1"/>
                    </pic:cNvPicPr>
                  </pic:nvPicPr>
                  <pic:blipFill>
                    <a:blip r:embed="rId10"/>
                    <a:stretch>
                      <a:fillRect/>
                    </a:stretch>
                  </pic:blipFill>
                  <pic:spPr>
                    <a:xfrm>
                      <a:off x="0" y="0"/>
                      <a:ext cx="5334000" cy="1304925"/>
                    </a:xfrm>
                    <a:prstGeom prst="rect">
                      <a:avLst/>
                    </a:prstGeom>
                  </pic:spPr>
                </pic:pic>
              </a:graphicData>
            </a:graphic>
          </wp:inline>
        </w:drawing>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2"/>
        <w:rPr>
          <w:rFonts w:hint="eastAsia"/>
          <w:color w:val="auto"/>
        </w:rPr>
      </w:pPr>
      <w:r>
        <w:rPr>
          <w:rFonts w:hint="eastAsia"/>
          <w:color w:val="auto"/>
        </w:rPr>
        <w:t>1.A06104《资源税纳税申报表》</w:t>
      </w:r>
    </w:p>
    <w:p>
      <w:pPr>
        <w:ind w:firstLine="472"/>
        <w:rPr>
          <w:rFonts w:hint="eastAsia"/>
          <w:color w:val="auto"/>
        </w:rPr>
      </w:pPr>
      <w:r>
        <w:rPr>
          <w:rFonts w:hint="eastAsia"/>
          <w:color w:val="auto"/>
        </w:rPr>
        <w:t>2.A06759《资源税纳税申报表附表（一）（原矿类税目适用）》</w:t>
      </w:r>
    </w:p>
    <w:p>
      <w:pPr>
        <w:ind w:firstLine="472"/>
        <w:rPr>
          <w:rFonts w:hint="eastAsia"/>
          <w:color w:val="auto"/>
        </w:rPr>
      </w:pPr>
      <w:r>
        <w:rPr>
          <w:rFonts w:hint="eastAsia"/>
          <w:color w:val="auto"/>
        </w:rPr>
        <w:t>3.A06760《资源税纳税申报表附表（二）（精矿类税目适用）》</w:t>
      </w:r>
    </w:p>
    <w:p>
      <w:pPr>
        <w:ind w:firstLine="472"/>
        <w:rPr>
          <w:rFonts w:hint="eastAsia"/>
          <w:color w:val="auto"/>
        </w:rPr>
      </w:pPr>
      <w:r>
        <w:rPr>
          <w:rFonts w:hint="eastAsia"/>
          <w:color w:val="auto"/>
        </w:rPr>
        <w:t>4.A06761《资源税纳税申报表附表（三）（减免税明细）》</w:t>
      </w:r>
    </w:p>
    <w:p>
      <w:pPr>
        <w:ind w:firstLine="472"/>
        <w:rPr>
          <w:rFonts w:hint="default"/>
          <w:color w:val="auto"/>
          <w:lang w:val="en-US" w:eastAsia="zh-CN"/>
        </w:rPr>
      </w:pPr>
      <w:r>
        <w:rPr>
          <w:rFonts w:hint="eastAsia"/>
          <w:color w:val="auto"/>
        </w:rPr>
        <w:t>5.A06273《中外合作及海上自营油气田资源税纳税申报表》</w:t>
      </w:r>
    </w:p>
    <w:p>
      <w:pPr>
        <w:pStyle w:val="3"/>
        <w:ind w:firstLine="552"/>
        <w:rPr>
          <w:color w:val="auto"/>
        </w:rPr>
      </w:pPr>
      <w:r>
        <w:rPr>
          <w:rFonts w:hint="eastAsia"/>
          <w:color w:val="auto"/>
        </w:rPr>
        <w:t>九、注意事项</w:t>
      </w:r>
    </w:p>
    <w:p>
      <w:pPr>
        <w:ind w:firstLine="472"/>
        <w:rPr>
          <w:rFonts w:hint="eastAsia"/>
          <w:color w:val="auto"/>
        </w:rPr>
      </w:pPr>
      <w:r>
        <w:rPr>
          <w:rFonts w:hint="eastAsia"/>
          <w:color w:val="auto"/>
        </w:rPr>
        <w:t>1.资源税应纳税额按照应税产品的计税销售额或者销售数量乘以适用税率计算。计税销售额是指纳税人销售应税产品向购买方收取的全部价款和价外费用，不包括增值税销项税额。计税销售数量是指从量计征的应税产品销售数量。</w:t>
      </w:r>
    </w:p>
    <w:p>
      <w:pPr>
        <w:ind w:firstLine="472"/>
        <w:rPr>
          <w:rFonts w:hint="eastAsia"/>
          <w:color w:val="auto"/>
        </w:rPr>
      </w:pPr>
      <w:r>
        <w:rPr>
          <w:rFonts w:hint="eastAsia"/>
          <w:color w:val="auto"/>
        </w:rPr>
        <w:t>2.原矿和精矿的销售额或者销售量应当分别核算，未分别核算的，从高确定计税销售额或者销售数量。纳税人开采或者生产不同税目应税产品的，应当分别核算不同税目应税产品的销售额或者销售数量；未分别核算或者不能准确提供不同税目应税产品的销售额或者销售数量的，从高适用税率。</w:t>
      </w:r>
    </w:p>
    <w:p>
      <w:pPr>
        <w:ind w:firstLine="472"/>
        <w:rPr>
          <w:rFonts w:hint="eastAsia"/>
          <w:color w:val="auto"/>
        </w:rPr>
      </w:pPr>
      <w:r>
        <w:rPr>
          <w:rFonts w:hint="eastAsia"/>
          <w:color w:val="auto"/>
        </w:rPr>
        <w:t>3.纳税人有视同销售应税产品行为而无销售价格的，或者申报的应税产品销售价格明显偏低且无正当理由的，税务机关应按下列顺序确定其应税产品计税价格：</w:t>
      </w:r>
    </w:p>
    <w:p>
      <w:pPr>
        <w:ind w:firstLine="472"/>
        <w:rPr>
          <w:rFonts w:hint="eastAsia"/>
          <w:color w:val="auto"/>
        </w:rPr>
      </w:pPr>
      <w:r>
        <w:rPr>
          <w:rFonts w:hint="eastAsia"/>
          <w:color w:val="auto"/>
        </w:rPr>
        <w:t>（1）按纳税人最近时期同类产品的平均销售价格确定。</w:t>
      </w:r>
    </w:p>
    <w:p>
      <w:pPr>
        <w:ind w:firstLine="472"/>
        <w:rPr>
          <w:rFonts w:hint="eastAsia"/>
          <w:color w:val="auto"/>
        </w:rPr>
      </w:pPr>
      <w:r>
        <w:rPr>
          <w:rFonts w:hint="eastAsia"/>
          <w:color w:val="auto"/>
        </w:rPr>
        <w:t>（2）按其他纳税人最近时期同类产品的平均销售价格确定。</w:t>
      </w:r>
    </w:p>
    <w:p>
      <w:pPr>
        <w:ind w:firstLine="472"/>
        <w:rPr>
          <w:rFonts w:hint="eastAsia"/>
          <w:color w:val="auto"/>
        </w:rPr>
      </w:pPr>
      <w:r>
        <w:rPr>
          <w:rFonts w:hint="eastAsia"/>
          <w:color w:val="auto"/>
        </w:rPr>
        <w:t>（3）按应税产品组成计价格确定。</w:t>
      </w:r>
    </w:p>
    <w:p>
      <w:pPr>
        <w:ind w:firstLine="472"/>
        <w:rPr>
          <w:rFonts w:hint="eastAsia"/>
          <w:color w:val="auto"/>
        </w:rPr>
      </w:pPr>
      <w:r>
        <w:rPr>
          <w:rFonts w:hint="eastAsia"/>
          <w:color w:val="auto"/>
        </w:rPr>
        <w:t>组成计税价格＝成本×（1+成本利润率）÷（1-资源税率）。</w:t>
      </w:r>
    </w:p>
    <w:p>
      <w:pPr>
        <w:ind w:firstLine="472"/>
        <w:rPr>
          <w:rFonts w:hint="eastAsia"/>
          <w:color w:val="auto"/>
        </w:rPr>
      </w:pPr>
      <w:r>
        <w:rPr>
          <w:rFonts w:hint="eastAsia"/>
          <w:color w:val="auto"/>
        </w:rPr>
        <w:t>（4）按后续加工非应税产品销售价格，减去后续加工环节的成本利润后确定。</w:t>
      </w:r>
    </w:p>
    <w:p>
      <w:pPr>
        <w:ind w:firstLine="472"/>
        <w:rPr>
          <w:rFonts w:hint="eastAsia"/>
          <w:color w:val="auto"/>
        </w:rPr>
      </w:pPr>
      <w:r>
        <w:rPr>
          <w:rFonts w:hint="eastAsia"/>
          <w:color w:val="auto"/>
        </w:rPr>
        <w:t>（5）按其他合理方法确定。</w:t>
      </w:r>
    </w:p>
    <w:p>
      <w:pPr>
        <w:ind w:firstLine="472"/>
        <w:rPr>
          <w:rFonts w:hint="eastAsia"/>
          <w:color w:val="auto"/>
        </w:rPr>
      </w:pPr>
      <w:r>
        <w:rPr>
          <w:rFonts w:hint="eastAsia"/>
          <w:color w:val="auto"/>
        </w:rPr>
        <w:t>4.附报资料中已通过电子税务局等渠道提交电子资料的不再报送纸质资料。</w:t>
      </w:r>
    </w:p>
    <w:p>
      <w:pPr>
        <w:ind w:firstLine="472"/>
        <w:rPr>
          <w:color w:val="auto"/>
        </w:rPr>
      </w:pPr>
      <w:r>
        <w:rPr>
          <w:rFonts w:hint="eastAsia"/>
          <w:color w:val="auto"/>
          <w:lang w:val="en-US" w:eastAsia="zh-CN"/>
        </w:rPr>
        <w:t>5</w:t>
      </w:r>
      <w:r>
        <w:rPr>
          <w:rFonts w:hint="eastAsia"/>
          <w:color w:val="auto"/>
        </w:rPr>
        <w:t>.纳税人对报送资料的真实性和合法性承担责任。</w:t>
      </w:r>
    </w:p>
    <w:p>
      <w:pPr>
        <w:ind w:firstLine="472"/>
        <w:jc w:val="left"/>
        <w:rPr>
          <w:rFonts w:hint="eastAsia"/>
          <w:color w:val="auto"/>
        </w:rPr>
      </w:pPr>
      <w:r>
        <w:rPr>
          <w:rFonts w:hint="eastAsia"/>
          <w:color w:val="auto"/>
          <w:lang w:val="en-US" w:eastAsia="zh-CN"/>
        </w:rPr>
        <w:t>6</w:t>
      </w:r>
      <w:r>
        <w:rPr>
          <w:rFonts w:hint="eastAsia"/>
          <w:color w:val="auto"/>
        </w:rPr>
        <w:t>.最多跑一次是在资料完整且符合法定受理条件的前提下，最多只需要到税务机关跑一次。</w:t>
      </w:r>
    </w:p>
    <w:p>
      <w:pPr>
        <w:ind w:firstLine="472"/>
        <w:jc w:val="left"/>
        <w:rPr>
          <w:rFonts w:hint="default" w:eastAsia="宋体"/>
          <w:color w:val="auto"/>
          <w:lang w:val="en-US" w:eastAsia="zh-CN"/>
        </w:rPr>
      </w:pPr>
      <w:r>
        <w:rPr>
          <w:rFonts w:hint="eastAsia"/>
          <w:color w:val="auto"/>
          <w:lang w:val="en-US" w:eastAsia="zh-CN"/>
        </w:rPr>
        <w:t>7.</w:t>
      </w:r>
      <w:r>
        <w:rPr>
          <w:rFonts w:hint="eastAsia"/>
          <w:color w:val="auto"/>
        </w:rPr>
        <w:t>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rFonts w:hint="eastAsia"/>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rFonts w:hint="eastAsia"/>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color w:val="auto"/>
        </w:rPr>
      </w:pPr>
      <w:r>
        <w:rPr>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6AE1BDB"/>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451E83"/>
    <w:rsid w:val="36E04702"/>
    <w:rsid w:val="37707534"/>
    <w:rsid w:val="3956021E"/>
    <w:rsid w:val="3A85035B"/>
    <w:rsid w:val="3C051FA7"/>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80A0C49"/>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6B7766F"/>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77</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2019-10-31T06:25:25Z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