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30119"/>
      <w:r>
        <w:rPr>
          <w:rFonts w:ascii="黑体" w:hAnsi="黑体"/>
          <w:bCs w:val="0"/>
          <w:color w:val="auto"/>
        </w:rPr>
        <w:t>1.3.3.</w:t>
      </w:r>
      <w:r>
        <w:rPr>
          <w:rFonts w:hint="eastAsia" w:ascii="黑体" w:hAnsi="黑体"/>
          <w:bCs w:val="0"/>
          <w:color w:val="auto"/>
        </w:rPr>
        <w:t>10</w:t>
      </w:r>
      <w:r>
        <w:rPr>
          <w:rFonts w:hint="eastAsia"/>
          <w:color w:val="auto"/>
        </w:rPr>
        <w:t>非居民企业企业所得税扣缴申报</w:t>
      </w:r>
      <w:bookmarkEnd w:id="0"/>
    </w:p>
    <w:p>
      <w:pPr>
        <w:pStyle w:val="3"/>
        <w:ind w:firstLine="552"/>
        <w:rPr>
          <w:color w:val="auto"/>
        </w:rPr>
      </w:pPr>
      <w:r>
        <w:rPr>
          <w:color w:val="auto"/>
        </w:rPr>
        <w:t>一、事项名称</w:t>
      </w:r>
    </w:p>
    <w:p>
      <w:pPr>
        <w:ind w:firstLine="472"/>
        <w:rPr>
          <w:bCs/>
          <w:color w:val="auto"/>
        </w:rPr>
      </w:pPr>
      <w:r>
        <w:rPr>
          <w:rFonts w:hint="eastAsia"/>
          <w:bCs/>
          <w:color w:val="auto"/>
        </w:rPr>
        <w:t>非居民企业企业所得税扣缴申报</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发起方式：人工发起（扣缴义务人）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法律、行政法规规定负有代扣代缴、代收代缴税款义务的单位和个人为扣缴义务人。扣缴义务人必须依照法律、行政法规规定或者税务机关依照法律、行政法规的规定确定的申报期限、申报内容如实报送代扣代缴、代收代缴税款报告表以及税务机关根据实际需要要求扣缴义务人报送的其他有关资料。</w:t>
      </w:r>
    </w:p>
    <w:p>
      <w:pPr>
        <w:ind w:firstLine="472"/>
        <w:rPr>
          <w:color w:val="auto"/>
        </w:rPr>
      </w:pPr>
      <w:r>
        <w:rPr>
          <w:rFonts w:hint="eastAsia"/>
          <w:color w:val="auto"/>
        </w:rPr>
        <w:t>应扣缴的企业所得税的征管，由支付所得的境内单位和个人的主管税务局负责。</w:t>
      </w:r>
    </w:p>
    <w:p>
      <w:pPr>
        <w:ind w:firstLine="472"/>
        <w:rPr>
          <w:color w:val="auto"/>
        </w:rPr>
      </w:pPr>
      <w:r>
        <w:rPr>
          <w:rFonts w:hint="eastAsia"/>
          <w:color w:val="auto"/>
        </w:rPr>
        <w:t>对非居民企业在中国境内取得工程作业和劳务所得应缴纳的所得税，税务机关可以指定工程价款或者劳务费的支付人为扣缴义务人。</w:t>
      </w:r>
    </w:p>
    <w:p>
      <w:pPr>
        <w:ind w:firstLine="472"/>
        <w:rPr>
          <w:color w:val="auto"/>
        </w:rPr>
      </w:pPr>
      <w:r>
        <w:rPr>
          <w:rFonts w:hint="eastAsia"/>
          <w:color w:val="auto"/>
        </w:rPr>
        <w:t>对非居民企业取得来源于中国境内的股息、红利等权益性投资收益和利息、租金、特许权使用费所得、转让财产所得以及其他所得应当缴纳的企业所得税，实行源泉扣缴，以依照有关法律规定或者合同约定对非居民企业直接负有支付相关款项义务的单位或者个人为扣缴义务人。扣缴义务人在每次向非居民企业支付或者到期应支付所得时，应从支付或者到期应支付的款项中扣缴企业所得税。到期应支付的款项，是指支付人按照权责发生制原则应当计入相关成本、费用的应付款项。扣缴义务人每次代扣代缴税款时，应当向其主管税务机关报送《中华人民共和国扣缴企业所得税报告表（</w:t>
      </w:r>
      <w:r>
        <w:rPr>
          <w:color w:val="auto"/>
        </w:rPr>
        <w:t>2019年版）（F500）》，并自代扣之日起7日内缴入国库。</w:t>
      </w:r>
    </w:p>
    <w:p>
      <w:pPr>
        <w:ind w:firstLine="472"/>
        <w:rPr>
          <w:color w:val="auto"/>
        </w:rPr>
      </w:pPr>
      <w:r>
        <w:rPr>
          <w:rFonts w:hint="eastAsia"/>
          <w:color w:val="auto"/>
        </w:rPr>
        <w:t>境内机构向境外不具备所在国家（地区）法人资格的分行支付利息时，不代扣代缴企业所得税。境外分行从境内取得的利息如果属于代收性质，据以产生利息的债权属于境外非居民企业，境内机构向境外分行支付利息时，应代扣代缴企业所得税。</w:t>
      </w:r>
    </w:p>
    <w:p>
      <w:pPr>
        <w:ind w:firstLine="472"/>
        <w:rPr>
          <w:color w:val="auto"/>
        </w:rPr>
      </w:pPr>
      <w:r>
        <w:rPr>
          <w:rFonts w:hint="eastAsia"/>
          <w:color w:val="auto"/>
        </w:rPr>
        <w:t>自</w:t>
      </w:r>
      <w:r>
        <w:rPr>
          <w:color w:val="auto"/>
        </w:rPr>
        <w:t>2017年1月1日起，对境外投资者从中国境内居民企业分配的利润，直接投资于鼓励类投资项目，凡符合规定条件的，实行递延纳税政策，暂不征收预提所得税。</w:t>
      </w:r>
    </w:p>
    <w:p>
      <w:pPr>
        <w:ind w:firstLine="472"/>
        <w:rPr>
          <w:color w:val="auto"/>
        </w:rPr>
      </w:pPr>
      <w:r>
        <w:rPr>
          <w:rFonts w:hint="eastAsia"/>
          <w:color w:val="auto"/>
        </w:rPr>
        <w:t>自</w:t>
      </w:r>
      <w:r>
        <w:rPr>
          <w:color w:val="auto"/>
        </w:rPr>
        <w:t>2018年1月1日起，对境外投资者从中国境内居民企业分配的利润，用于境内直接投资暂不征收预提所得税政策的适用范围，由外商投资鼓励类项目扩大至所有非禁止外商投资的项目和领域。</w:t>
      </w:r>
    </w:p>
    <w:p>
      <w:pPr>
        <w:pStyle w:val="3"/>
        <w:ind w:firstLine="552"/>
        <w:rPr>
          <w:color w:val="auto"/>
        </w:rPr>
      </w:pPr>
      <w:r>
        <w:rPr>
          <w:rFonts w:hint="eastAsia"/>
          <w:color w:val="auto"/>
        </w:rPr>
        <w:t>四、设定依据</w:t>
      </w:r>
    </w:p>
    <w:p>
      <w:pPr>
        <w:ind w:firstLine="472"/>
        <w:rPr>
          <w:color w:val="auto"/>
        </w:rPr>
      </w:pPr>
      <w:r>
        <w:rPr>
          <w:color w:val="auto"/>
        </w:rPr>
        <w:t>1.《中华人民共和国税收征收管理法》第二十五条第二款</w:t>
      </w:r>
    </w:p>
    <w:p>
      <w:pPr>
        <w:ind w:firstLine="472"/>
        <w:rPr>
          <w:color w:val="auto"/>
        </w:rPr>
      </w:pPr>
      <w:r>
        <w:rPr>
          <w:rFonts w:hint="eastAsia"/>
          <w:color w:val="auto"/>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p>
    <w:p>
      <w:pPr>
        <w:ind w:firstLine="472"/>
        <w:rPr>
          <w:color w:val="auto"/>
        </w:rPr>
      </w:pPr>
      <w:r>
        <w:rPr>
          <w:color w:val="auto"/>
        </w:rPr>
        <w:t>2.《中华人民共和国企业所得税法》第三条、第三十七条、</w:t>
      </w:r>
      <w:r>
        <w:rPr>
          <w:rFonts w:hint="eastAsia"/>
          <w:color w:val="auto"/>
        </w:rPr>
        <w:t>第</w:t>
      </w:r>
      <w:r>
        <w:rPr>
          <w:color w:val="auto"/>
        </w:rPr>
        <w:t>三十八条、第四十条</w:t>
      </w:r>
    </w:p>
    <w:p>
      <w:pPr>
        <w:ind w:firstLine="472"/>
        <w:rPr>
          <w:color w:val="auto"/>
        </w:rPr>
      </w:pPr>
      <w:r>
        <w:rPr>
          <w:rFonts w:hint="eastAsia"/>
          <w:color w:val="auto"/>
        </w:rPr>
        <w:t>“第三条居民企业应当就其来源于中国境内、境外的所得缴纳企业所得税。</w:t>
      </w:r>
    </w:p>
    <w:p>
      <w:pPr>
        <w:ind w:firstLine="472"/>
        <w:rPr>
          <w:color w:val="auto"/>
        </w:rPr>
      </w:pPr>
      <w:r>
        <w:rPr>
          <w:rFonts w:hint="eastAsia"/>
          <w:color w:val="auto"/>
        </w:rPr>
        <w:t>非居民企业在中国境内设立机构、场所的，应当就其所设机构、场所取得的来源于中国境内的所得，以及发生在中国境外但与其所设机构、场所有实际联系的所得，缴纳企业所得税。</w:t>
      </w:r>
    </w:p>
    <w:p>
      <w:pPr>
        <w:ind w:firstLine="472"/>
        <w:rPr>
          <w:color w:val="auto"/>
        </w:rPr>
      </w:pPr>
      <w:r>
        <w:rPr>
          <w:rFonts w:hint="eastAsia"/>
          <w:color w:val="auto"/>
        </w:rPr>
        <w:t>非居民企业在中国境内未设立机构、场所的，或者虽设立机构、场所但取得的所得与其所设机构、场所没有实际联系的，应当就其来源于中国境内的所得缴纳企业所得税。</w:t>
      </w:r>
    </w:p>
    <w:p>
      <w:pPr>
        <w:ind w:firstLine="472"/>
        <w:rPr>
          <w:color w:val="auto"/>
        </w:rPr>
      </w:pPr>
      <w:r>
        <w:rPr>
          <w:rFonts w:hint="eastAsia"/>
          <w:color w:val="auto"/>
        </w:rPr>
        <w:t>　第三十七条对非居民企业取得本法第三条第三款规定的所得应缴纳的所得税，实行源泉扣缴，以支付人为扣缴义务人。税款由扣缴义务人在每次支付或者到期应支付时，从支付或者到期应支付的款项中扣缴。</w:t>
      </w:r>
    </w:p>
    <w:p>
      <w:pPr>
        <w:ind w:firstLine="472"/>
        <w:rPr>
          <w:color w:val="auto"/>
        </w:rPr>
      </w:pPr>
      <w:r>
        <w:rPr>
          <w:rFonts w:hint="eastAsia"/>
          <w:color w:val="auto"/>
        </w:rPr>
        <w:t>　第三十八条对非居民企业在中国境内取得工程作业和劳务所得应缴纳的所得税，税务机关可以指定工程价款或者劳务费的支付人为扣缴义务人。</w:t>
      </w:r>
    </w:p>
    <w:p>
      <w:pPr>
        <w:ind w:firstLine="472"/>
        <w:rPr>
          <w:color w:val="auto"/>
        </w:rPr>
      </w:pPr>
      <w:r>
        <w:rPr>
          <w:rFonts w:hint="eastAsia"/>
          <w:color w:val="auto"/>
        </w:rPr>
        <w:t>　第四十条扣缴义务人每次代扣的税款，应当自代扣之日起七日内缴入国库，并向所在地的税务机关报送扣缴企业所得税报告表。”</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90"/>
        <w:gridCol w:w="1985"/>
        <w:gridCol w:w="850"/>
        <w:gridCol w:w="993"/>
        <w:gridCol w:w="1984"/>
        <w:gridCol w:w="992"/>
        <w:gridCol w:w="10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1985"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85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3"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98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992"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011"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69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198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《中华人民共和国扣缴企业所得税报告表（2019年版）（F500）》</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3"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98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0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9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1985"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《非居民企业递延缴纳预提所得税信息报告表》</w:t>
            </w:r>
          </w:p>
        </w:tc>
        <w:tc>
          <w:tcPr>
            <w:tcW w:w="850"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993"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条件报送</w:t>
            </w:r>
          </w:p>
        </w:tc>
        <w:tc>
          <w:tcPr>
            <w:tcW w:w="198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享受以分配利润直接投资暂不征收预提所得税优惠政策的利润分配企业扣缴申报企业所得税时报送</w:t>
            </w:r>
          </w:p>
        </w:tc>
        <w:tc>
          <w:tcPr>
            <w:tcW w:w="992"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0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left="471" w:firstLine="0" w:firstLineChars="0"/>
        <w:rPr>
          <w:color w:val="auto"/>
        </w:rPr>
      </w:pPr>
      <w:r>
        <w:rPr>
          <w:color w:val="auto"/>
        </w:rPr>
        <w:drawing>
          <wp:inline distT="0" distB="0" distL="0" distR="0">
            <wp:extent cx="4552315" cy="155257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552315" cy="1552575"/>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color w:val="auto"/>
        </w:rPr>
        <w:t>A06865</w:t>
      </w:r>
      <w:r>
        <w:rPr>
          <w:rFonts w:hint="eastAsia"/>
          <w:color w:val="auto"/>
        </w:rPr>
        <w:t>《中华人民共和国扣缴企业所得税报告表（</w:t>
      </w:r>
      <w:r>
        <w:rPr>
          <w:color w:val="auto"/>
        </w:rPr>
        <w:t>2019年版）（F500）》</w:t>
      </w:r>
    </w:p>
    <w:p>
      <w:pPr>
        <w:ind w:firstLine="472"/>
        <w:rPr>
          <w:color w:val="auto"/>
        </w:rPr>
      </w:pPr>
      <w:r>
        <w:rPr>
          <w:rFonts w:hint="eastAsia"/>
          <w:color w:val="auto"/>
        </w:rPr>
        <w:t>2.</w:t>
      </w:r>
      <w:r>
        <w:rPr>
          <w:color w:val="auto"/>
        </w:rPr>
        <w:t>A03073</w:t>
      </w:r>
      <w:r>
        <w:rPr>
          <w:rFonts w:hint="eastAsia"/>
          <w:color w:val="auto"/>
        </w:rPr>
        <w:t>《非居民企业递延缴纳预提所得税信息报告表》</w:t>
      </w:r>
    </w:p>
    <w:p>
      <w:pPr>
        <w:pStyle w:val="3"/>
        <w:ind w:firstLine="552"/>
        <w:rPr>
          <w:color w:val="auto"/>
        </w:rPr>
      </w:pPr>
      <w:r>
        <w:rPr>
          <w:rFonts w:hint="eastAsia"/>
          <w:color w:val="auto"/>
        </w:rPr>
        <w:t>九、注意事项</w:t>
      </w:r>
    </w:p>
    <w:p>
      <w:pPr>
        <w:ind w:firstLine="472"/>
        <w:rPr>
          <w:color w:val="auto"/>
        </w:rPr>
      </w:pPr>
      <w:r>
        <w:rPr>
          <w:color w:val="auto"/>
        </w:rPr>
        <w:t>1.如需调整前期的申报或对前期申报进行补充申报，则通过申报错误更正业务进行办理；如属于纳税评估自查补报，则通过纳税评估通知书进行办理。</w:t>
      </w:r>
    </w:p>
    <w:p>
      <w:pPr>
        <w:ind w:firstLine="472"/>
        <w:rPr>
          <w:color w:val="auto"/>
        </w:rPr>
      </w:pPr>
      <w:r>
        <w:rPr>
          <w:color w:val="auto"/>
        </w:rPr>
        <w:t>2.对于非居民纳税人享受暂不征收预提所得税的，办税服务厅应当于1个工作日内将相关资料转县（市、区）局国际税管理部门进行后续管理。</w:t>
      </w:r>
    </w:p>
    <w:p>
      <w:pPr>
        <w:ind w:firstLine="472"/>
        <w:rPr>
          <w:color w:val="auto"/>
        </w:rPr>
      </w:pPr>
      <w:r>
        <w:rPr>
          <w:color w:val="auto"/>
        </w:rPr>
        <w:t>3.扣缴义务人应当自代扣之日起7日内将代扣代缴税款缴入国库。</w:t>
      </w:r>
    </w:p>
    <w:p>
      <w:pPr>
        <w:ind w:firstLine="472"/>
        <w:rPr>
          <w:color w:val="auto"/>
        </w:rPr>
      </w:pPr>
      <w:r>
        <w:rPr>
          <w:rFonts w:hint="eastAsia"/>
          <w:color w:val="auto"/>
        </w:rPr>
        <w:t>4.纳税人对报送资料的真实性和合法性承担责任。</w:t>
      </w:r>
    </w:p>
    <w:p>
      <w:pPr>
        <w:ind w:firstLine="472"/>
        <w:jc w:val="left"/>
        <w:rPr>
          <w:color w:val="auto"/>
        </w:rPr>
      </w:pPr>
      <w:r>
        <w:rPr>
          <w:rFonts w:hint="eastAsia"/>
          <w:color w:val="auto"/>
        </w:rPr>
        <w:t>5.最多跑一次是在资料完整且符合法定受理条件的前提下，最多只需要到税务机关跑一次。</w:t>
      </w:r>
    </w:p>
    <w:p>
      <w:pPr>
        <w:ind w:firstLine="472"/>
        <w:jc w:val="left"/>
        <w:rPr>
          <w:rFonts w:hint="eastAsia"/>
          <w:color w:val="auto"/>
        </w:rPr>
      </w:pPr>
      <w:r>
        <w:rPr>
          <w:rFonts w:hint="eastAsia"/>
          <w:color w:val="auto"/>
        </w:rPr>
        <w:t>6.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9A63E23"/>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2019-10-31T03:46:40Z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