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28931"/>
      <w:r>
        <w:rPr>
          <w:rFonts w:hint="eastAsia" w:ascii="黑体" w:hAnsi="黑体"/>
          <w:color w:val="auto"/>
        </w:rPr>
        <w:t>1.3.2</w:t>
      </w:r>
      <w:r>
        <w:rPr>
          <w:rFonts w:hint="eastAsia" w:ascii="黑体" w:hAnsi="黑体"/>
          <w:color w:val="auto"/>
          <w:lang w:val="en-US" w:eastAsia="zh-CN"/>
        </w:rPr>
        <w:t>1</w:t>
      </w:r>
      <w:r>
        <w:rPr>
          <w:rFonts w:hint="eastAsia" w:ascii="黑体" w:hAnsi="黑体"/>
          <w:color w:val="auto"/>
        </w:rPr>
        <w:t>.5财务报表报送与信息采集（其他会计制度）</w:t>
      </w:r>
      <w:bookmarkEnd w:id="0"/>
    </w:p>
    <w:p>
      <w:pPr>
        <w:pStyle w:val="3"/>
        <w:ind w:firstLine="552"/>
        <w:rPr>
          <w:color w:val="auto"/>
        </w:rPr>
      </w:pPr>
      <w:r>
        <w:rPr>
          <w:color w:val="auto"/>
        </w:rPr>
        <w:t>一、事项名称</w:t>
      </w:r>
    </w:p>
    <w:p>
      <w:pPr>
        <w:ind w:firstLine="472"/>
        <w:rPr>
          <w:color w:val="auto"/>
          <w:szCs w:val="24"/>
        </w:rPr>
      </w:pPr>
      <w:r>
        <w:rPr>
          <w:rFonts w:hint="eastAsia"/>
          <w:color w:val="auto"/>
        </w:rPr>
        <w:t>财务报表报送与信息采集（其他会计制度）</w:t>
      </w:r>
    </w:p>
    <w:p>
      <w:pPr>
        <w:pStyle w:val="3"/>
        <w:ind w:firstLine="552"/>
        <w:rPr>
          <w:color w:val="auto"/>
        </w:rPr>
      </w:pPr>
      <w:r>
        <w:rPr>
          <w:color w:val="auto"/>
        </w:rPr>
        <w:t>二、事项类别</w:t>
      </w:r>
    </w:p>
    <w:p>
      <w:pPr>
        <w:pStyle w:val="48"/>
        <w:numPr>
          <w:ilvl w:val="0"/>
          <w:numId w:val="3"/>
        </w:numPr>
        <w:ind w:firstLineChars="0"/>
        <w:rPr>
          <w:color w:val="auto"/>
        </w:rPr>
      </w:pPr>
      <w:r>
        <w:rPr>
          <w:rFonts w:hint="eastAsia"/>
          <w:color w:val="auto"/>
        </w:rPr>
        <w:t>发起方式：人工发起（纳税人）</w:t>
      </w:r>
    </w:p>
    <w:p>
      <w:pPr>
        <w:pStyle w:val="48"/>
        <w:numPr>
          <w:ilvl w:val="0"/>
          <w:numId w:val="3"/>
        </w:numPr>
        <w:ind w:firstLineChars="0"/>
        <w:rPr>
          <w:color w:val="auto"/>
        </w:rPr>
      </w:pPr>
      <w:r>
        <w:rPr>
          <w:rFonts w:hint="eastAsia"/>
          <w:color w:val="auto"/>
        </w:rPr>
        <w:t>办结方式：即办</w:t>
      </w:r>
    </w:p>
    <w:p>
      <w:pPr>
        <w:pStyle w:val="48"/>
        <w:numPr>
          <w:ilvl w:val="0"/>
          <w:numId w:val="3"/>
        </w:numPr>
        <w:ind w:firstLineChars="0"/>
        <w:rPr>
          <w:color w:val="auto"/>
        </w:rPr>
      </w:pPr>
      <w:r>
        <w:rPr>
          <w:rFonts w:hint="eastAsia"/>
          <w:color w:val="auto"/>
        </w:rPr>
        <w:t>全省通办：是</w:t>
      </w:r>
    </w:p>
    <w:p>
      <w:pPr>
        <w:pStyle w:val="48"/>
        <w:numPr>
          <w:ilvl w:val="0"/>
          <w:numId w:val="3"/>
        </w:numPr>
        <w:ind w:firstLineChars="0"/>
        <w:rPr>
          <w:color w:val="auto"/>
        </w:rPr>
      </w:pPr>
      <w:r>
        <w:rPr>
          <w:rFonts w:hint="eastAsia"/>
          <w:color w:val="auto"/>
        </w:rPr>
        <w:t>网上办理：是</w:t>
      </w:r>
    </w:p>
    <w:p>
      <w:pPr>
        <w:pStyle w:val="48"/>
        <w:numPr>
          <w:ilvl w:val="0"/>
          <w:numId w:val="3"/>
        </w:numPr>
        <w:ind w:firstLineChars="0"/>
        <w:rPr>
          <w:color w:val="auto"/>
        </w:rPr>
      </w:pPr>
      <w:r>
        <w:rPr>
          <w:rFonts w:hint="eastAsia"/>
          <w:color w:val="auto"/>
        </w:rPr>
        <w:t>适用层级：县(市、区)级</w:t>
      </w:r>
    </w:p>
    <w:p>
      <w:pPr>
        <w:pStyle w:val="48"/>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rFonts w:hint="eastAsia" w:ascii="宋体" w:hAnsi="宋体"/>
          <w:color w:val="auto"/>
          <w:sz w:val="24"/>
          <w:szCs w:val="24"/>
        </w:rPr>
      </w:pPr>
      <w:r>
        <w:rPr>
          <w:rFonts w:hint="eastAsia" w:ascii="宋体" w:hAnsi="宋体"/>
          <w:color w:val="auto"/>
          <w:sz w:val="24"/>
          <w:szCs w:val="24"/>
        </w:rPr>
        <w:t>其他会计制度包括：《民间非营利组织会计制度》、《农民专业化合作社财务会计制度（试行）》、《村集体经济组织会计制度》、《工会会计制度》。</w:t>
      </w:r>
    </w:p>
    <w:p>
      <w:pPr>
        <w:ind w:firstLine="472"/>
        <w:rPr>
          <w:rFonts w:hint="eastAsia" w:ascii="宋体" w:hAnsi="宋体"/>
          <w:color w:val="auto"/>
          <w:sz w:val="24"/>
          <w:szCs w:val="24"/>
        </w:rPr>
      </w:pPr>
      <w:r>
        <w:rPr>
          <w:rFonts w:hint="eastAsia" w:ascii="宋体" w:hAnsi="宋体"/>
          <w:color w:val="auto"/>
          <w:sz w:val="24"/>
          <w:szCs w:val="24"/>
        </w:rPr>
        <w:t>在中华人民共和国境内依法设立的符合《民间非营利组织会计制度》（财会〔2004〕7号）规定特征的民间非营利组织，包括依照国家法律、行政法规登记的社会团体、基金会、民办非企业单位和寺院、宫观、清真寺、教堂等，执行《民间非营利组织会计制度》，应依照《民间非营利组织会计制度》、税收法律法规及相关规定，编制《资产负债表》《业务活动表》《现金流量表》。</w:t>
      </w:r>
    </w:p>
    <w:p>
      <w:pPr>
        <w:ind w:firstLine="472"/>
        <w:rPr>
          <w:rFonts w:hint="eastAsia" w:ascii="宋体" w:hAnsi="宋体"/>
          <w:color w:val="auto"/>
          <w:sz w:val="24"/>
          <w:szCs w:val="24"/>
        </w:rPr>
      </w:pPr>
      <w:r>
        <w:rPr>
          <w:rFonts w:hint="eastAsia" w:ascii="宋体" w:hAnsi="宋体"/>
          <w:color w:val="auto"/>
          <w:sz w:val="24"/>
          <w:szCs w:val="24"/>
        </w:rPr>
        <w:t>依照《中华人民共和国农民专业合作社法》设立并取得法人资格的合作社，执行《农民专业 合作社财务会计制度（试行）》，应依照《农民专业化合作社财务会计制度（试行）》编制《资产负债表》《盈余及盈余分配表》《成员权益变动表》。</w:t>
      </w:r>
    </w:p>
    <w:p>
      <w:pPr>
        <w:ind w:firstLine="472"/>
        <w:rPr>
          <w:rFonts w:hint="eastAsia" w:ascii="宋体" w:hAnsi="宋体"/>
          <w:color w:val="auto"/>
          <w:sz w:val="24"/>
          <w:szCs w:val="24"/>
        </w:rPr>
      </w:pPr>
      <w:r>
        <w:rPr>
          <w:rFonts w:hint="eastAsia" w:ascii="宋体" w:hAnsi="宋体"/>
          <w:color w:val="auto"/>
          <w:sz w:val="24"/>
          <w:szCs w:val="24"/>
        </w:rPr>
        <w:t>按村或村民小组设置的社区性集体经济组织，执行《村集体经济组织会计制度》。代行村集体经济组织职能的村民委员会执行本制度。应依照《村集体经济组织会计制度》编制《资产负债表》《收益及收益分配表》。</w:t>
      </w:r>
    </w:p>
    <w:p>
      <w:pPr>
        <w:ind w:firstLine="472"/>
        <w:rPr>
          <w:rFonts w:hint="eastAsia" w:ascii="宋体" w:hAnsi="宋体"/>
          <w:color w:val="auto"/>
          <w:sz w:val="24"/>
          <w:szCs w:val="24"/>
        </w:rPr>
      </w:pPr>
      <w:r>
        <w:rPr>
          <w:rFonts w:hint="eastAsia" w:ascii="宋体" w:hAnsi="宋体"/>
          <w:color w:val="auto"/>
          <w:sz w:val="24"/>
          <w:szCs w:val="24"/>
        </w:rPr>
        <w:t>执行《工会会计制度》的各级工会组织，应依照《工会会计制度》编制《资产负债表》《收入支出表》《往来款项明细表》《经费收缴情况表》</w:t>
      </w:r>
    </w:p>
    <w:p>
      <w:pPr>
        <w:ind w:firstLine="472"/>
        <w:rPr>
          <w:color w:val="auto"/>
          <w:szCs w:val="24"/>
        </w:rPr>
      </w:pPr>
      <w:r>
        <w:rPr>
          <w:rFonts w:hint="eastAsia" w:ascii="宋体" w:hAnsi="宋体"/>
          <w:color w:val="auto"/>
          <w:sz w:val="24"/>
          <w:szCs w:val="24"/>
        </w:rPr>
        <w:t>上述会计制度财务报表报送期间原则上按季度和年度报送。</w:t>
      </w:r>
    </w:p>
    <w:p>
      <w:pPr>
        <w:pStyle w:val="3"/>
        <w:ind w:firstLine="552"/>
        <w:rPr>
          <w:color w:val="auto"/>
        </w:rPr>
      </w:pPr>
      <w:r>
        <w:rPr>
          <w:rFonts w:hint="eastAsia"/>
          <w:color w:val="auto"/>
        </w:rPr>
        <w:t>四、设定依据</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1.《中华人民共和国税收征收管理法》第二十五条第（一）款</w:t>
      </w:r>
    </w:p>
    <w:p>
      <w:pPr>
        <w:pStyle w:val="13"/>
        <w:widowControl/>
        <w:spacing w:beforeAutospacing="0" w:afterAutospacing="0" w:line="540" w:lineRule="atLeast"/>
        <w:rPr>
          <w:rFonts w:ascii="宋体" w:hAnsi="宋体" w:eastAsia="宋体"/>
          <w:color w:val="auto"/>
          <w:kern w:val="2"/>
        </w:rPr>
      </w:pPr>
      <w:r>
        <w:rPr>
          <w:rFonts w:hint="eastAsia" w:ascii="微软雅黑" w:hAnsi="微软雅黑" w:eastAsia="微软雅黑" w:cs="微软雅黑"/>
          <w:color w:val="auto"/>
        </w:rPr>
        <w:t>　</w:t>
      </w:r>
      <w:r>
        <w:rPr>
          <w:rFonts w:hint="eastAsia" w:ascii="宋体" w:hAnsi="宋体" w:eastAsia="宋体"/>
          <w:color w:val="auto"/>
          <w:kern w:val="2"/>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77"/>
        <w:numPr>
          <w:ilvl w:val="0"/>
          <w:numId w:val="4"/>
        </w:numPr>
        <w:spacing w:line="578" w:lineRule="exact"/>
        <w:ind w:firstLine="472" w:firstLineChars="200"/>
        <w:rPr>
          <w:rFonts w:ascii="宋体" w:hAnsi="宋体"/>
          <w:color w:val="auto"/>
          <w:sz w:val="24"/>
          <w:szCs w:val="24"/>
        </w:rPr>
      </w:pPr>
      <w:r>
        <w:rPr>
          <w:rFonts w:hint="eastAsia" w:ascii="宋体" w:hAnsi="宋体"/>
          <w:color w:val="auto"/>
          <w:sz w:val="24"/>
          <w:szCs w:val="24"/>
        </w:rPr>
        <w:t>《中华人民共和国税收征收管理法实施细则》（中华人民共和国国务院令第362号）第三十四条第（一）款</w:t>
      </w:r>
    </w:p>
    <w:p>
      <w:pPr>
        <w:widowControl/>
        <w:spacing w:line="540" w:lineRule="atLeast"/>
        <w:ind w:firstLine="472"/>
        <w:jc w:val="left"/>
        <w:rPr>
          <w:color w:val="auto"/>
          <w:szCs w:val="24"/>
        </w:rPr>
      </w:pPr>
      <w:r>
        <w:rPr>
          <w:color w:val="auto"/>
          <w:szCs w:val="24"/>
        </w:rPr>
        <w:t>“</w:t>
      </w:r>
      <w:r>
        <w:rPr>
          <w:rFonts w:hint="eastAsia"/>
          <w:color w:val="auto"/>
          <w:szCs w:val="24"/>
        </w:rPr>
        <w:t>纳税人办理纳税申报时，应当如实填写纳税申报表，并根据不同的情况相应报送下列有关证件、资料：</w:t>
      </w:r>
    </w:p>
    <w:p>
      <w:pPr>
        <w:widowControl/>
        <w:spacing w:line="540" w:lineRule="atLeast"/>
        <w:ind w:firstLine="472"/>
        <w:jc w:val="left"/>
        <w:rPr>
          <w:color w:val="auto"/>
          <w:szCs w:val="24"/>
        </w:rPr>
      </w:pPr>
      <w:r>
        <w:rPr>
          <w:rFonts w:hint="eastAsia"/>
          <w:color w:val="auto"/>
          <w:szCs w:val="24"/>
        </w:rPr>
        <w:t>（一）财务会计报表及其说明材料；</w:t>
      </w:r>
      <w:r>
        <w:rPr>
          <w:color w:val="auto"/>
          <w:szCs w:val="24"/>
        </w:rPr>
        <w:t>”</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3.《国家税务总局关于印发〈纳税人财务会计报表报送管理办法〉的通知》（国税发〔2005〕20号）全文（附件2失效）</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4.《财政部关于修改〈企业会计准则--基本准则〉的决定》（中华人民共和国财政部令第76号）附列《企业会计准则第30号——财务报表列报》、《企业会计准则第31号——现金流量表》</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5.《民间非营利组织会计制度》（财会〔2004〕7号）全文</w:t>
      </w:r>
    </w:p>
    <w:p>
      <w:pPr>
        <w:pStyle w:val="3"/>
        <w:ind w:firstLine="552"/>
        <w:rPr>
          <w:rFonts w:hint="eastAsia"/>
          <w:color w:val="auto"/>
        </w:rPr>
      </w:pPr>
      <w:r>
        <w:rPr>
          <w:rFonts w:hint="eastAsia"/>
          <w:color w:val="auto"/>
        </w:rPr>
        <w:t>五、办理材料</w:t>
      </w:r>
    </w:p>
    <w:p>
      <w:pPr>
        <w:ind w:firstLine="472"/>
        <w:rPr>
          <w:rFonts w:hint="eastAsia"/>
          <w:color w:val="auto"/>
        </w:rPr>
      </w:pPr>
      <w:r>
        <w:rPr>
          <w:rFonts w:hint="eastAsia"/>
          <w:color w:val="auto"/>
        </w:rPr>
        <w:t>财务报表报送与信息采集（民间非营利组织会计制度）报送资料清单</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附列资料名称</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报送类型</w:t>
            </w:r>
          </w:p>
        </w:tc>
        <w:tc>
          <w:tcPr>
            <w:tcW w:w="1842"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pStyle w:val="13"/>
              <w:widowControl/>
              <w:adjustRightInd w:val="0"/>
              <w:snapToGrid w:val="0"/>
              <w:spacing w:before="100" w:after="100"/>
              <w:ind w:firstLine="0" w:firstLineChars="0"/>
              <w:jc w:val="center"/>
              <w:rPr>
                <w:rStyle w:val="18"/>
                <w:rFonts w:ascii="宋体" w:hAnsi="宋体" w:eastAsia="宋体" w:cs="微软雅黑"/>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cs="Arial"/>
                <w:sz w:val="18"/>
              </w:rPr>
              <w:t>《资产负债表（适用执行民间非营利组织会计制度的组织）》</w:t>
            </w:r>
          </w:p>
        </w:tc>
        <w:tc>
          <w:tcPr>
            <w:tcW w:w="850" w:type="dxa"/>
            <w:shd w:val="clear" w:color="auto" w:fill="auto"/>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rPr>
                <w:rFonts w:ascii="宋体" w:hAnsi="宋体" w:eastAsia="宋体" w:cs="微软雅黑"/>
                <w:color w:val="auto"/>
                <w:sz w:val="18"/>
                <w:szCs w:val="18"/>
              </w:rPr>
            </w:pPr>
            <w:r>
              <w:rPr>
                <w:rFonts w:hint="eastAsia" w:ascii="宋体" w:hAnsi="宋体" w:eastAsia="宋体" w:cs="Arial"/>
                <w:kern w:val="2"/>
                <w:sz w:val="18"/>
                <w:szCs w:val="22"/>
              </w:rPr>
              <w:t>企业所得税预缴及年度汇算清缴申报时报送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sz w:val="18"/>
                <w:szCs w:val="18"/>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Style w:val="18"/>
                <w:rFonts w:ascii="宋体" w:hAnsi="宋体" w:eastAsia="宋体" w:cs="微软雅黑"/>
                <w:b w:val="0"/>
                <w:color w:val="auto"/>
                <w:sz w:val="18"/>
                <w:szCs w:val="18"/>
              </w:rPr>
            </w:pPr>
            <w:r>
              <w:rPr>
                <w:rFonts w:hint="eastAsia" w:cs="宋体"/>
                <w:color w:val="auto"/>
                <w:kern w:val="0"/>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2</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cs="Arial"/>
                <w:sz w:val="18"/>
              </w:rPr>
              <w:t>《业务活动表（适用执行民间非营利组织会计制度的组织）》</w:t>
            </w:r>
          </w:p>
        </w:tc>
        <w:tc>
          <w:tcPr>
            <w:tcW w:w="850" w:type="dxa"/>
            <w:shd w:val="clear" w:color="auto" w:fill="auto"/>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rPr>
                <w:rFonts w:ascii="宋体" w:hAnsi="宋体" w:eastAsia="宋体" w:cs="微软雅黑"/>
                <w:color w:val="auto"/>
                <w:sz w:val="18"/>
                <w:szCs w:val="18"/>
              </w:rPr>
            </w:pPr>
            <w:r>
              <w:rPr>
                <w:rFonts w:hint="eastAsia" w:ascii="宋体" w:hAnsi="宋体" w:eastAsia="宋体" w:cs="Arial"/>
                <w:kern w:val="2"/>
                <w:sz w:val="18"/>
                <w:szCs w:val="22"/>
              </w:rPr>
              <w:t>企业所得税预缴及年度汇算清缴申报时报送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s="宋体"/>
                <w:color w:val="auto"/>
                <w:sz w:val="18"/>
                <w:szCs w:val="18"/>
              </w:rPr>
            </w:pPr>
            <w:r>
              <w:rPr>
                <w:rFonts w:ascii="宋体" w:hAnsi="宋体" w:eastAsia="宋体" w:cs="宋体"/>
                <w:sz w:val="18"/>
                <w:szCs w:val="18"/>
              </w:rPr>
              <w:t>3</w:t>
            </w:r>
          </w:p>
        </w:tc>
        <w:tc>
          <w:tcPr>
            <w:tcW w:w="2028" w:type="dxa"/>
            <w:shd w:val="clear" w:color="auto" w:fill="auto"/>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ascii="宋体" w:hAnsi="宋体" w:eastAsia="宋体" w:cs="Arial"/>
                <w:kern w:val="2"/>
                <w:sz w:val="18"/>
                <w:szCs w:val="22"/>
              </w:rPr>
              <w:t>《现金流量表_年报（适用执行民间非营利组织会计制度的组织）》</w:t>
            </w:r>
          </w:p>
        </w:tc>
        <w:tc>
          <w:tcPr>
            <w:tcW w:w="850" w:type="dxa"/>
            <w:shd w:val="clear" w:color="auto" w:fill="auto"/>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Arial"/>
                <w:kern w:val="2"/>
                <w:sz w:val="18"/>
                <w:szCs w:val="22"/>
              </w:rPr>
              <w:t>企业所得税年度汇算清缴申报时报送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bl>
    <w:p>
      <w:pPr>
        <w:ind w:firstLine="472"/>
        <w:rPr>
          <w:rFonts w:hint="eastAsia"/>
          <w:color w:val="auto"/>
        </w:rPr>
      </w:pPr>
      <w:r>
        <w:rPr>
          <w:rFonts w:hint="eastAsia"/>
          <w:color w:val="auto"/>
        </w:rPr>
        <w:t>财务报表报送与信息采集（农民专业合作社财务会计制度）报送资料清单</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附列资料名称</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报送类型</w:t>
            </w:r>
          </w:p>
        </w:tc>
        <w:tc>
          <w:tcPr>
            <w:tcW w:w="1842"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pStyle w:val="13"/>
              <w:widowControl/>
              <w:adjustRightInd w:val="0"/>
              <w:snapToGrid w:val="0"/>
              <w:spacing w:before="100" w:after="100"/>
              <w:ind w:firstLine="0" w:firstLineChars="0"/>
              <w:jc w:val="center"/>
              <w:rPr>
                <w:rStyle w:val="18"/>
                <w:rFonts w:ascii="宋体" w:hAnsi="宋体" w:eastAsia="宋体" w:cs="微软雅黑"/>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s="Arial"/>
                <w:sz w:val="18"/>
              </w:rPr>
              <w:t>《资产负债表（适用执行农民专业合作社财务会计制度的单位）》</w:t>
            </w:r>
          </w:p>
        </w:tc>
        <w:tc>
          <w:tcPr>
            <w:tcW w:w="850" w:type="dxa"/>
            <w:shd w:val="clear" w:color="auto" w:fill="auto"/>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rPr>
                <w:rFonts w:ascii="宋体" w:hAnsi="宋体" w:eastAsia="宋体" w:cs="微软雅黑"/>
                <w:color w:val="auto"/>
                <w:sz w:val="18"/>
                <w:szCs w:val="18"/>
              </w:rPr>
            </w:pPr>
            <w:r>
              <w:rPr>
                <w:rFonts w:hint="eastAsia" w:ascii="宋体" w:hAnsi="宋体" w:eastAsia="宋体" w:cs="Arial"/>
                <w:kern w:val="2"/>
                <w:sz w:val="18"/>
                <w:szCs w:val="22"/>
              </w:rPr>
              <w:t>企业所得税预缴及年度汇算清缴申报时报送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s="Arial"/>
                <w:color w:val="auto"/>
                <w:kern w:val="2"/>
                <w:sz w:val="18"/>
                <w:szCs w:val="22"/>
              </w:rPr>
            </w:pPr>
            <w:r>
              <w:rPr>
                <w:rFonts w:ascii="宋体" w:hAnsi="宋体" w:eastAsia="宋体" w:cs="Arial"/>
                <w:kern w:val="2"/>
                <w:sz w:val="18"/>
                <w:szCs w:val="22"/>
              </w:rPr>
              <w:t>2</w:t>
            </w:r>
          </w:p>
        </w:tc>
        <w:tc>
          <w:tcPr>
            <w:tcW w:w="2028" w:type="dxa"/>
            <w:shd w:val="clear" w:color="auto" w:fill="auto"/>
            <w:vAlign w:val="center"/>
          </w:tcPr>
          <w:p>
            <w:pPr>
              <w:widowControl/>
              <w:spacing w:line="280" w:lineRule="exact"/>
              <w:ind w:firstLine="0" w:firstLineChars="0"/>
              <w:jc w:val="left"/>
              <w:rPr>
                <w:rFonts w:cs="Arial"/>
                <w:color w:val="auto"/>
                <w:sz w:val="18"/>
              </w:rPr>
            </w:pPr>
            <w:r>
              <w:rPr>
                <w:rFonts w:hint="eastAsia" w:cs="Arial"/>
                <w:sz w:val="18"/>
              </w:rPr>
              <w:t>《盈余及盈余分配表（适用执行农民专业合作社财务会计制度的单位）》</w:t>
            </w:r>
          </w:p>
        </w:tc>
        <w:tc>
          <w:tcPr>
            <w:tcW w:w="850" w:type="dxa"/>
            <w:shd w:val="clear" w:color="auto" w:fill="auto"/>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rPr>
                <w:rFonts w:ascii="宋体" w:hAnsi="宋体" w:eastAsia="宋体" w:cs="微软雅黑"/>
                <w:color w:val="auto"/>
                <w:sz w:val="18"/>
                <w:szCs w:val="18"/>
              </w:rPr>
            </w:pPr>
            <w:r>
              <w:rPr>
                <w:rFonts w:hint="eastAsia" w:ascii="宋体" w:hAnsi="宋体" w:eastAsia="宋体" w:cs="Arial"/>
                <w:kern w:val="2"/>
                <w:sz w:val="18"/>
                <w:szCs w:val="22"/>
              </w:rPr>
              <w:t>企业所得税预缴及年度汇算清缴申报时报送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s="Arial"/>
                <w:color w:val="auto"/>
                <w:kern w:val="2"/>
                <w:sz w:val="18"/>
                <w:szCs w:val="22"/>
              </w:rPr>
            </w:pPr>
            <w:r>
              <w:rPr>
                <w:rFonts w:ascii="宋体" w:hAnsi="宋体" w:eastAsia="宋体" w:cs="Arial"/>
                <w:kern w:val="2"/>
                <w:sz w:val="18"/>
                <w:szCs w:val="22"/>
              </w:rPr>
              <w:t>3</w:t>
            </w:r>
          </w:p>
        </w:tc>
        <w:tc>
          <w:tcPr>
            <w:tcW w:w="2028" w:type="dxa"/>
            <w:shd w:val="clear" w:color="auto" w:fill="auto"/>
            <w:vAlign w:val="center"/>
          </w:tcPr>
          <w:p>
            <w:pPr>
              <w:pStyle w:val="13"/>
              <w:widowControl/>
              <w:spacing w:beforeAutospacing="0" w:afterAutospacing="0" w:line="280" w:lineRule="exact"/>
              <w:ind w:firstLine="0" w:firstLineChars="0"/>
              <w:rPr>
                <w:rFonts w:ascii="宋体" w:hAnsi="宋体" w:eastAsia="宋体" w:cs="Arial"/>
                <w:color w:val="auto"/>
                <w:kern w:val="2"/>
                <w:sz w:val="18"/>
                <w:szCs w:val="22"/>
              </w:rPr>
            </w:pPr>
            <w:r>
              <w:rPr>
                <w:rFonts w:hint="eastAsia" w:ascii="宋体" w:hAnsi="宋体" w:eastAsia="宋体" w:cs="Arial"/>
                <w:kern w:val="2"/>
                <w:sz w:val="18"/>
                <w:szCs w:val="22"/>
              </w:rPr>
              <w:t>《成员权益变动表（适用执行农民专业合作社财务会计制度的单位）》</w:t>
            </w:r>
          </w:p>
        </w:tc>
        <w:tc>
          <w:tcPr>
            <w:tcW w:w="850" w:type="dxa"/>
            <w:shd w:val="clear" w:color="auto" w:fill="auto"/>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Arial"/>
                <w:kern w:val="2"/>
                <w:sz w:val="18"/>
                <w:szCs w:val="22"/>
              </w:rPr>
              <w:t>企业所得税年度汇算清缴申报时报送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bl>
    <w:p>
      <w:pPr>
        <w:ind w:firstLine="472"/>
        <w:rPr>
          <w:rFonts w:hint="eastAsia"/>
          <w:color w:val="auto"/>
        </w:rPr>
      </w:pPr>
      <w:r>
        <w:rPr>
          <w:rFonts w:hint="eastAsia"/>
          <w:color w:val="auto"/>
        </w:rPr>
        <w:t>财务报表报送与信息采集（村集体经济组织会计制度）报送资料清单</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附列资料名称</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报送类型</w:t>
            </w:r>
          </w:p>
        </w:tc>
        <w:tc>
          <w:tcPr>
            <w:tcW w:w="1842"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pStyle w:val="13"/>
              <w:widowControl/>
              <w:adjustRightInd w:val="0"/>
              <w:snapToGrid w:val="0"/>
              <w:spacing w:before="100" w:after="100"/>
              <w:ind w:firstLine="0" w:firstLineChars="0"/>
              <w:jc w:val="center"/>
              <w:rPr>
                <w:rStyle w:val="18"/>
                <w:rFonts w:ascii="宋体" w:hAnsi="宋体" w:eastAsia="宋体" w:cs="微软雅黑"/>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s="Arial"/>
                <w:sz w:val="18"/>
              </w:rPr>
              <w:t>《资产负债表（适用执行村集体经济组织会计制度的单位）</w:t>
            </w:r>
          </w:p>
        </w:tc>
        <w:tc>
          <w:tcPr>
            <w:tcW w:w="850" w:type="dxa"/>
            <w:shd w:val="clear" w:color="auto" w:fill="auto"/>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rPr>
                <w:rFonts w:ascii="宋体" w:hAnsi="宋体" w:eastAsia="宋体" w:cs="微软雅黑"/>
                <w:color w:val="auto"/>
                <w:sz w:val="18"/>
                <w:szCs w:val="18"/>
              </w:rPr>
            </w:pPr>
            <w:r>
              <w:rPr>
                <w:rFonts w:hint="eastAsia" w:ascii="宋体" w:hAnsi="宋体" w:eastAsia="宋体" w:cs="Arial"/>
                <w:kern w:val="2"/>
                <w:sz w:val="18"/>
                <w:szCs w:val="22"/>
              </w:rPr>
              <w:t>企业所得税预缴及年度汇算清缴申报时报送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2</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Arial"/>
                <w:sz w:val="18"/>
              </w:rPr>
              <w:t>《收益及收益分配表（适用执行村集体经济组织会计制度的单位）》</w:t>
            </w:r>
          </w:p>
        </w:tc>
        <w:tc>
          <w:tcPr>
            <w:tcW w:w="850" w:type="dxa"/>
            <w:shd w:val="clear" w:color="auto" w:fill="auto"/>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rPr>
                <w:rFonts w:ascii="宋体" w:hAnsi="宋体" w:eastAsia="宋体" w:cs="微软雅黑"/>
                <w:color w:val="auto"/>
                <w:sz w:val="18"/>
                <w:szCs w:val="18"/>
              </w:rPr>
            </w:pPr>
            <w:r>
              <w:rPr>
                <w:rFonts w:hint="eastAsia" w:ascii="宋体" w:hAnsi="宋体" w:eastAsia="宋体" w:cs="Arial"/>
                <w:kern w:val="2"/>
                <w:sz w:val="18"/>
                <w:szCs w:val="22"/>
              </w:rPr>
              <w:t>企业所得税预缴及年度汇算清缴申报时报送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bl>
    <w:p>
      <w:pPr>
        <w:ind w:firstLine="472"/>
        <w:rPr>
          <w:rFonts w:hint="eastAsia"/>
          <w:color w:val="auto"/>
        </w:rPr>
      </w:pPr>
      <w:r>
        <w:rPr>
          <w:rFonts w:hint="eastAsia"/>
          <w:color w:val="auto"/>
        </w:rPr>
        <w:t>财务报表报送与信息采集（工会会计制度）报送资料清单</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附列资料名称</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报送类型</w:t>
            </w:r>
          </w:p>
        </w:tc>
        <w:tc>
          <w:tcPr>
            <w:tcW w:w="1842"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spacing w:beforeAutospacing="0" w:afterAutospacing="0" w:line="280" w:lineRule="exact"/>
              <w:jc w:val="center"/>
              <w:rPr>
                <w:rFonts w:ascii="宋体" w:hAnsi="宋体" w:eastAsia="宋体"/>
                <w:b/>
                <w:color w:val="auto"/>
                <w:sz w:val="18"/>
                <w:szCs w:val="18"/>
              </w:rPr>
            </w:pPr>
            <w:r>
              <w:rPr>
                <w:rFonts w:hint="eastAsia" w:ascii="宋体" w:hAnsi="宋体" w:eastAsia="宋体"/>
                <w:b/>
                <w:color w:val="auto"/>
                <w:sz w:val="18"/>
                <w:szCs w:val="18"/>
              </w:rPr>
              <w:t>资料处理方式</w:t>
            </w:r>
          </w:p>
        </w:tc>
        <w:tc>
          <w:tcPr>
            <w:tcW w:w="850" w:type="dxa"/>
            <w:vAlign w:val="center"/>
          </w:tcPr>
          <w:p>
            <w:pPr>
              <w:pStyle w:val="13"/>
              <w:widowControl/>
              <w:spacing w:beforeAutospacing="0" w:afterAutospacing="0" w:line="280" w:lineRule="exact"/>
              <w:jc w:val="center"/>
              <w:rPr>
                <w:rStyle w:val="18"/>
                <w:rFonts w:ascii="宋体" w:hAnsi="宋体" w:eastAsia="宋体" w:cs="微软雅黑"/>
                <w:color w:val="auto"/>
                <w:sz w:val="18"/>
                <w:szCs w:val="18"/>
              </w:rPr>
            </w:pPr>
            <w:r>
              <w:rPr>
                <w:rStyle w:val="18"/>
                <w:rFonts w:hint="eastAsia" w:ascii="宋体" w:hAnsi="宋体" w:eastAsia="宋体" w:cs="微软雅黑"/>
                <w:color w:val="auto"/>
                <w:sz w:val="18"/>
                <w:szCs w:val="18"/>
              </w:rPr>
              <w:t>是否表单</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s="Arial"/>
                <w:sz w:val="18"/>
              </w:rPr>
              <w:t>《资产负债表（适用执行工会会计制度的企业）》</w:t>
            </w:r>
          </w:p>
        </w:tc>
        <w:tc>
          <w:tcPr>
            <w:tcW w:w="850" w:type="dxa"/>
            <w:shd w:val="clear" w:color="auto" w:fill="auto"/>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Arial"/>
                <w:kern w:val="2"/>
                <w:sz w:val="18"/>
                <w:szCs w:val="22"/>
              </w:rPr>
              <w:t>企业所得税预缴及年度汇算清缴申报时报送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2</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Arial"/>
                <w:sz w:val="18"/>
              </w:rPr>
              <w:t>《收入支出表（适用执行工会会计制度的企业）》</w:t>
            </w:r>
          </w:p>
        </w:tc>
        <w:tc>
          <w:tcPr>
            <w:tcW w:w="850" w:type="dxa"/>
            <w:shd w:val="clear" w:color="auto" w:fill="auto"/>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Arial"/>
                <w:kern w:val="2"/>
                <w:sz w:val="18"/>
                <w:szCs w:val="22"/>
              </w:rPr>
              <w:t>企业所得税预缴及年度汇算清缴申报时报送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hint="eastAsia" w:ascii="宋体" w:hAnsi="宋体" w:eastAsia="宋体" w:cs="微软雅黑"/>
                <w:color w:val="auto"/>
                <w:sz w:val="18"/>
                <w:szCs w:val="18"/>
                <w:lang w:val="en-US" w:eastAsia="zh-CN"/>
              </w:rPr>
            </w:pPr>
            <w:r>
              <w:rPr>
                <w:rFonts w:hint="eastAsia" w:ascii="宋体" w:hAnsi="宋体" w:eastAsia="宋体" w:cs="微软雅黑"/>
                <w:color w:val="auto"/>
                <w:sz w:val="18"/>
                <w:szCs w:val="18"/>
                <w:lang w:val="en-US" w:eastAsia="zh-CN"/>
              </w:rPr>
              <w:t>3</w:t>
            </w:r>
          </w:p>
        </w:tc>
        <w:tc>
          <w:tcPr>
            <w:tcW w:w="2028" w:type="dxa"/>
            <w:shd w:val="clear" w:color="auto" w:fill="auto"/>
            <w:vAlign w:val="center"/>
          </w:tcPr>
          <w:p>
            <w:pPr>
              <w:widowControl/>
              <w:spacing w:line="280" w:lineRule="exact"/>
              <w:ind w:firstLine="0" w:firstLineChars="0"/>
              <w:jc w:val="left"/>
              <w:rPr>
                <w:rFonts w:hint="eastAsia" w:cs="Arial"/>
                <w:color w:val="auto"/>
                <w:sz w:val="18"/>
              </w:rPr>
            </w:pPr>
            <w:r>
              <w:rPr>
                <w:rFonts w:hint="eastAsia" w:cs="Arial"/>
                <w:sz w:val="18"/>
              </w:rPr>
              <w:t>《往来款项明细表（适用执行工会会计制度的企业）》</w:t>
            </w:r>
          </w:p>
        </w:tc>
        <w:tc>
          <w:tcPr>
            <w:tcW w:w="850" w:type="dxa"/>
            <w:shd w:val="clear" w:color="auto" w:fill="auto"/>
            <w:vAlign w:val="center"/>
          </w:tcPr>
          <w:p>
            <w:pPr>
              <w:pStyle w:val="13"/>
              <w:widowControl/>
              <w:spacing w:beforeAutospacing="0" w:afterAutospacing="0" w:line="280" w:lineRule="exact"/>
              <w:ind w:firstLine="352" w:firstLineChars="0"/>
              <w:rPr>
                <w:rStyle w:val="18"/>
                <w:rFonts w:hint="eastAsia"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Arial"/>
                <w:kern w:val="2"/>
                <w:sz w:val="18"/>
                <w:szCs w:val="22"/>
              </w:rPr>
              <w:t>企业所得税年度汇算清缴申报时报送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352" w:firstLineChars="0"/>
              <w:rPr>
                <w:rFonts w:hint="eastAsia" w:ascii="宋体" w:hAnsi="宋体" w:eastAsia="宋体" w:cs="微软雅黑"/>
                <w:color w:val="auto"/>
                <w:sz w:val="18"/>
                <w:szCs w:val="18"/>
                <w:lang w:val="en-US" w:eastAsia="zh-CN"/>
              </w:rPr>
            </w:pPr>
            <w:r>
              <w:rPr>
                <w:rFonts w:hint="eastAsia" w:ascii="宋体" w:hAnsi="宋体" w:eastAsia="宋体" w:cs="微软雅黑"/>
                <w:color w:val="auto"/>
                <w:sz w:val="18"/>
                <w:szCs w:val="18"/>
                <w:lang w:val="en-US" w:eastAsia="zh-CN"/>
              </w:rPr>
              <w:t>4</w:t>
            </w:r>
          </w:p>
        </w:tc>
        <w:tc>
          <w:tcPr>
            <w:tcW w:w="2028" w:type="dxa"/>
            <w:shd w:val="clear" w:color="auto" w:fill="auto"/>
            <w:vAlign w:val="center"/>
          </w:tcPr>
          <w:p>
            <w:pPr>
              <w:widowControl/>
              <w:spacing w:line="280" w:lineRule="exact"/>
              <w:ind w:firstLine="0" w:firstLineChars="0"/>
              <w:jc w:val="left"/>
              <w:rPr>
                <w:rFonts w:hint="eastAsia" w:cs="Arial"/>
                <w:color w:val="auto"/>
                <w:sz w:val="18"/>
              </w:rPr>
            </w:pPr>
            <w:r>
              <w:rPr>
                <w:rFonts w:hint="eastAsia" w:cs="Arial"/>
                <w:sz w:val="18"/>
              </w:rPr>
              <w:t>《经费收缴情况表（适用执行工会会计制度的企业）》</w:t>
            </w:r>
          </w:p>
        </w:tc>
        <w:tc>
          <w:tcPr>
            <w:tcW w:w="850" w:type="dxa"/>
            <w:shd w:val="clear" w:color="auto" w:fill="auto"/>
            <w:vAlign w:val="center"/>
          </w:tcPr>
          <w:p>
            <w:pPr>
              <w:pStyle w:val="13"/>
              <w:widowControl/>
              <w:spacing w:beforeAutospacing="0" w:afterAutospacing="0" w:line="280" w:lineRule="exact"/>
              <w:ind w:firstLine="352" w:firstLineChars="0"/>
              <w:rPr>
                <w:rStyle w:val="18"/>
                <w:rFonts w:hint="eastAsia"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sz w:val="18"/>
                <w:szCs w:val="18"/>
              </w:rPr>
              <w:t>条件报送</w:t>
            </w:r>
          </w:p>
        </w:tc>
        <w:tc>
          <w:tcPr>
            <w:tcW w:w="1842" w:type="dxa"/>
            <w:shd w:val="clear" w:color="auto" w:fill="auto"/>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Arial"/>
                <w:kern w:val="2"/>
                <w:sz w:val="18"/>
                <w:szCs w:val="22"/>
              </w:rPr>
              <w:t>企业所得税年度汇算清缴申报时报送</w:t>
            </w:r>
          </w:p>
        </w:tc>
        <w:tc>
          <w:tcPr>
            <w:tcW w:w="1318" w:type="dxa"/>
            <w:shd w:val="clear" w:color="auto" w:fill="auto"/>
            <w:vAlign w:val="center"/>
          </w:tcPr>
          <w:p>
            <w:pPr>
              <w:widowControl/>
              <w:spacing w:line="280" w:lineRule="exact"/>
              <w:ind w:firstLine="0" w:firstLineChars="0"/>
              <w:jc w:val="center"/>
              <w:rPr>
                <w:rFonts w:ascii="宋体" w:hAnsi="宋体" w:eastAsia="宋体" w:cs="微软雅黑"/>
                <w:color w:val="auto"/>
                <w:kern w:val="2"/>
                <w:sz w:val="18"/>
                <w:szCs w:val="18"/>
                <w:lang w:val="en-US" w:eastAsia="zh-CN" w:bidi="ar-SA"/>
              </w:rPr>
            </w:pPr>
            <w:r>
              <w:rPr>
                <w:rFonts w:hint="eastAsia" w:cs="宋体"/>
                <w:color w:val="auto"/>
                <w:kern w:val="0"/>
                <w:sz w:val="18"/>
                <w:szCs w:val="18"/>
              </w:rPr>
              <w:t>税务机关留存</w:t>
            </w:r>
          </w:p>
        </w:tc>
        <w:tc>
          <w:tcPr>
            <w:tcW w:w="850" w:type="dxa"/>
            <w:vAlign w:val="center"/>
          </w:tcPr>
          <w:p>
            <w:pPr>
              <w:widowControl/>
              <w:spacing w:line="280" w:lineRule="exact"/>
              <w:ind w:firstLine="0" w:firstLineChars="0"/>
              <w:jc w:val="center"/>
              <w:rPr>
                <w:rFonts w:ascii="宋体" w:hAnsi="宋体" w:eastAsia="宋体" w:cs="微软雅黑"/>
                <w:b w:val="0"/>
                <w:color w:val="auto"/>
                <w:kern w:val="2"/>
                <w:sz w:val="18"/>
                <w:szCs w:val="18"/>
                <w:lang w:val="en-US" w:eastAsia="zh-CN" w:bidi="ar-SA"/>
              </w:rPr>
            </w:pPr>
            <w:r>
              <w:rPr>
                <w:rFonts w:hint="eastAsia" w:cs="宋体"/>
                <w:color w:val="auto"/>
                <w:kern w:val="0"/>
                <w:sz w:val="18"/>
                <w:szCs w:val="18"/>
              </w:rPr>
              <w:t>是</w:t>
            </w:r>
          </w:p>
        </w:tc>
      </w:tr>
    </w:tbl>
    <w:p>
      <w:pPr>
        <w:ind w:firstLine="472"/>
        <w:rPr>
          <w:rFonts w:hint="eastAsia"/>
          <w:color w:val="auto"/>
        </w:rPr>
      </w:pPr>
    </w:p>
    <w:p>
      <w:pPr>
        <w:pStyle w:val="3"/>
        <w:ind w:firstLine="552"/>
        <w:rPr>
          <w:rFonts w:hint="eastAsia"/>
          <w:color w:val="auto"/>
          <w:lang w:val="en-US" w:eastAsia="zh-CN"/>
        </w:rPr>
      </w:pPr>
      <w:r>
        <w:rPr>
          <w:rFonts w:hint="eastAsia"/>
          <w:color w:val="auto"/>
          <w:lang w:val="en-US" w:eastAsia="zh-CN"/>
        </w:rPr>
        <w:t>六、办理流程</w:t>
      </w:r>
    </w:p>
    <w:p>
      <w:pPr>
        <w:spacing w:line="240" w:lineRule="auto"/>
        <w:ind w:left="552" w:hanging="552" w:hangingChars="200"/>
        <w:rPr>
          <w:rFonts w:eastAsia="楷体"/>
          <w:color w:val="auto"/>
          <w:sz w:val="28"/>
        </w:rPr>
      </w:pPr>
      <w:r>
        <w:rPr>
          <w:rFonts w:eastAsia="楷体"/>
          <w:color w:val="auto"/>
          <w:sz w:val="28"/>
        </w:rPr>
        <w:object>
          <v:shape id="_x0000_i1120" o:spt="75" type="#_x0000_t75" style="height:117.5pt;width:440.15pt;" o:ole="t" filled="f" o:preferrelative="t" stroked="f" coordsize="21600,21600">
            <v:path/>
            <v:fill on="f" focussize="0,0"/>
            <v:stroke on="f" joinstyle="miter"/>
            <v:imagedata r:id="rId7" o:title=""/>
            <o:lock v:ext="edit" aspectratio="t"/>
            <w10:wrap type="none"/>
            <w10:anchorlock/>
          </v:shape>
          <o:OLEObject Type="Embed" ProgID="Visio.Drawing.11" ShapeID="_x0000_i1120" DrawAspect="Content" ObjectID="_1468075725" r:id="rId6">
            <o:LockedField>false</o:LockedField>
          </o:OLEObject>
        </w:object>
      </w:r>
    </w:p>
    <w:p>
      <w:pPr>
        <w:pStyle w:val="3"/>
        <w:ind w:firstLine="552"/>
        <w:rPr>
          <w:rFonts w:hint="eastAsia"/>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lang w:val="en-US" w:eastAsia="zh-CN"/>
        </w:rPr>
        <w:t>1.</w:t>
      </w:r>
      <w:r>
        <w:rPr>
          <w:rFonts w:hint="eastAsia"/>
          <w:color w:val="auto"/>
        </w:rPr>
        <w:t>《资产负债表（适用执行民间非营利组织会计制度的组织）》</w:t>
      </w:r>
    </w:p>
    <w:p>
      <w:pPr>
        <w:ind w:firstLine="472"/>
        <w:rPr>
          <w:rFonts w:hint="eastAsia"/>
          <w:color w:val="auto"/>
        </w:rPr>
      </w:pPr>
      <w:r>
        <w:rPr>
          <w:rFonts w:hint="eastAsia"/>
          <w:color w:val="auto"/>
          <w:lang w:val="en-US" w:eastAsia="zh-CN"/>
        </w:rPr>
        <w:t>2.</w:t>
      </w:r>
      <w:r>
        <w:rPr>
          <w:rFonts w:hint="eastAsia"/>
          <w:color w:val="auto"/>
        </w:rPr>
        <w:t>《业务活动表（适用执行民间非营利组织会计制度的组织）》</w:t>
      </w:r>
    </w:p>
    <w:p>
      <w:pPr>
        <w:ind w:firstLine="472"/>
        <w:rPr>
          <w:rFonts w:hint="eastAsia"/>
          <w:color w:val="auto"/>
        </w:rPr>
      </w:pPr>
      <w:r>
        <w:rPr>
          <w:rFonts w:hint="eastAsia"/>
          <w:color w:val="auto"/>
          <w:lang w:val="en-US" w:eastAsia="zh-CN"/>
        </w:rPr>
        <w:t>3.</w:t>
      </w:r>
      <w:r>
        <w:rPr>
          <w:rFonts w:hint="eastAsia"/>
          <w:color w:val="auto"/>
        </w:rPr>
        <w:t>《现金流量表_年报（适用执行民间非营利组织会计制度的组织）》</w:t>
      </w:r>
    </w:p>
    <w:p>
      <w:pPr>
        <w:ind w:firstLine="472"/>
        <w:rPr>
          <w:rFonts w:hint="eastAsia"/>
          <w:color w:val="auto"/>
        </w:rPr>
      </w:pPr>
      <w:r>
        <w:rPr>
          <w:rFonts w:hint="eastAsia"/>
          <w:color w:val="auto"/>
          <w:lang w:val="en-US" w:eastAsia="zh-CN"/>
        </w:rPr>
        <w:t>4.</w:t>
      </w:r>
      <w:r>
        <w:rPr>
          <w:rFonts w:hint="eastAsia"/>
          <w:color w:val="auto"/>
        </w:rPr>
        <w:t>《资产负债表（适用执行农民专业合作社财务会计制度的单位）》</w:t>
      </w:r>
    </w:p>
    <w:p>
      <w:pPr>
        <w:ind w:firstLine="472"/>
        <w:rPr>
          <w:rFonts w:hint="eastAsia"/>
          <w:color w:val="auto"/>
        </w:rPr>
      </w:pPr>
      <w:r>
        <w:rPr>
          <w:rFonts w:hint="eastAsia"/>
          <w:color w:val="auto"/>
          <w:lang w:val="en-US" w:eastAsia="zh-CN"/>
        </w:rPr>
        <w:t>5.</w:t>
      </w:r>
      <w:r>
        <w:rPr>
          <w:rFonts w:hint="eastAsia"/>
          <w:color w:val="auto"/>
        </w:rPr>
        <w:t>《盈余及盈余分配表（适用执行农民专业合作社财务会计制度的单位）》</w:t>
      </w:r>
    </w:p>
    <w:p>
      <w:pPr>
        <w:ind w:firstLine="472"/>
        <w:rPr>
          <w:rFonts w:hint="eastAsia"/>
          <w:color w:val="auto"/>
        </w:rPr>
      </w:pPr>
      <w:r>
        <w:rPr>
          <w:rFonts w:hint="eastAsia"/>
          <w:color w:val="auto"/>
          <w:lang w:val="en-US" w:eastAsia="zh-CN"/>
        </w:rPr>
        <w:t>6.</w:t>
      </w:r>
      <w:r>
        <w:rPr>
          <w:rFonts w:hint="eastAsia"/>
          <w:color w:val="auto"/>
        </w:rPr>
        <w:t>《成员权益变动表（适用执行农民专业合作社财务会计制度的单位）》</w:t>
      </w:r>
    </w:p>
    <w:p>
      <w:pPr>
        <w:ind w:firstLine="472"/>
        <w:rPr>
          <w:rFonts w:hint="eastAsia"/>
          <w:color w:val="auto"/>
        </w:rPr>
      </w:pPr>
      <w:r>
        <w:rPr>
          <w:rFonts w:hint="eastAsia"/>
          <w:color w:val="auto"/>
          <w:lang w:val="en-US" w:eastAsia="zh-CN"/>
        </w:rPr>
        <w:t>7.</w:t>
      </w:r>
      <w:r>
        <w:rPr>
          <w:rFonts w:hint="eastAsia"/>
          <w:color w:val="auto"/>
        </w:rPr>
        <w:t>《资产负债表（适用执行村集体经济组织会计制度的单位）</w:t>
      </w:r>
    </w:p>
    <w:p>
      <w:pPr>
        <w:ind w:firstLine="472"/>
        <w:rPr>
          <w:rFonts w:hint="eastAsia"/>
          <w:color w:val="auto"/>
        </w:rPr>
      </w:pPr>
      <w:r>
        <w:rPr>
          <w:rFonts w:hint="eastAsia"/>
          <w:color w:val="auto"/>
          <w:lang w:val="en-US" w:eastAsia="zh-CN"/>
        </w:rPr>
        <w:t>8.</w:t>
      </w:r>
      <w:r>
        <w:rPr>
          <w:rFonts w:hint="eastAsia"/>
          <w:color w:val="auto"/>
        </w:rPr>
        <w:t>《收益及收益分配表（适用执行村集体经济组织会计制度的单位）》</w:t>
      </w:r>
    </w:p>
    <w:p>
      <w:pPr>
        <w:ind w:firstLine="472"/>
        <w:rPr>
          <w:rFonts w:hint="eastAsia"/>
          <w:color w:val="auto"/>
        </w:rPr>
      </w:pPr>
      <w:r>
        <w:rPr>
          <w:rFonts w:hint="eastAsia"/>
          <w:color w:val="auto"/>
          <w:lang w:val="en-US" w:eastAsia="zh-CN"/>
        </w:rPr>
        <w:t>9.</w:t>
      </w:r>
      <w:r>
        <w:rPr>
          <w:rFonts w:hint="eastAsia"/>
          <w:color w:val="auto"/>
        </w:rPr>
        <w:t>《资产负债表（适用执行工会会计制度的企业）》</w:t>
      </w:r>
    </w:p>
    <w:p>
      <w:pPr>
        <w:ind w:firstLine="472"/>
        <w:rPr>
          <w:rFonts w:hint="eastAsia"/>
          <w:color w:val="auto"/>
        </w:rPr>
      </w:pPr>
      <w:r>
        <w:rPr>
          <w:rFonts w:hint="eastAsia"/>
          <w:color w:val="auto"/>
          <w:lang w:val="en-US" w:eastAsia="zh-CN"/>
        </w:rPr>
        <w:t>10.</w:t>
      </w:r>
      <w:r>
        <w:rPr>
          <w:rFonts w:hint="eastAsia"/>
          <w:color w:val="auto"/>
        </w:rPr>
        <w:t>《收入支出表（适用执行工会会计制度的企业）》</w:t>
      </w:r>
    </w:p>
    <w:p>
      <w:pPr>
        <w:ind w:firstLine="472"/>
        <w:rPr>
          <w:rFonts w:hint="eastAsia"/>
          <w:color w:val="auto"/>
        </w:rPr>
      </w:pPr>
      <w:r>
        <w:rPr>
          <w:rFonts w:hint="eastAsia"/>
          <w:color w:val="auto"/>
          <w:lang w:val="en-US" w:eastAsia="zh-CN"/>
        </w:rPr>
        <w:t>11.</w:t>
      </w:r>
      <w:r>
        <w:rPr>
          <w:rFonts w:hint="eastAsia"/>
          <w:color w:val="auto"/>
        </w:rPr>
        <w:t>《往来款项明细表（适用执行工会会计制度的企业）》</w:t>
      </w:r>
    </w:p>
    <w:p>
      <w:pPr>
        <w:ind w:firstLine="472"/>
        <w:rPr>
          <w:rFonts w:hint="eastAsia"/>
          <w:color w:val="auto"/>
        </w:rPr>
      </w:pPr>
      <w:r>
        <w:rPr>
          <w:rFonts w:hint="eastAsia"/>
          <w:color w:val="auto"/>
          <w:lang w:val="en-US" w:eastAsia="zh-CN"/>
        </w:rPr>
        <w:t>12.</w:t>
      </w:r>
      <w:r>
        <w:rPr>
          <w:rFonts w:hint="eastAsia"/>
          <w:color w:val="auto"/>
        </w:rPr>
        <w:t>《经费收缴情况表（适用执行工会会计制度的企业）》</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1.实行定期定额征收增值税、定额征收所得税的纳税人以及实行法定源泉扣缴企业所得税的非居民企业可以不报送财务报表。</w:t>
      </w:r>
    </w:p>
    <w:p>
      <w:pPr>
        <w:ind w:firstLine="472"/>
        <w:rPr>
          <w:rFonts w:hint="eastAsia"/>
          <w:color w:val="auto"/>
        </w:rPr>
      </w:pPr>
      <w:r>
        <w:rPr>
          <w:rFonts w:hint="eastAsia"/>
          <w:color w:val="auto"/>
        </w:rPr>
        <w:t>2.纳税人报送财务报表时，可以报送纸质资料，也可以报送电子信息。</w:t>
      </w:r>
    </w:p>
    <w:p>
      <w:pPr>
        <w:ind w:firstLine="472"/>
        <w:rPr>
          <w:color w:val="auto"/>
        </w:rPr>
      </w:pPr>
      <w:r>
        <w:rPr>
          <w:rFonts w:hint="eastAsia"/>
          <w:color w:val="auto"/>
        </w:rPr>
        <w:t>3.企业所得税纳税人年度汇算清缴时，在年度企业所得税申报期限内报送年度财务会计报表。</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rPr>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rPr>
          <w:color w:val="auto"/>
        </w:rPr>
      </w:pPr>
      <w:r>
        <w:rPr>
          <w:rFonts w:hint="eastAsia"/>
          <w:color w:val="auto"/>
          <w:lang w:val="en-US" w:eastAsia="zh-CN"/>
        </w:rPr>
        <w:t>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64D009"/>
    <w:multiLevelType w:val="singleLevel"/>
    <w:tmpl w:val="9464D009"/>
    <w:lvl w:ilvl="0" w:tentative="0">
      <w:start w:val="2"/>
      <w:numFmt w:val="decimal"/>
      <w:lvlText w:val="%1."/>
      <w:lvlJc w:val="left"/>
      <w:pPr>
        <w:tabs>
          <w:tab w:val="left" w:pos="312"/>
        </w:tabs>
      </w:p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CDA341C"/>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A397F3C"/>
    <w:rsid w:val="4AFF4944"/>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D74134"/>
    <w:rsid w:val="60BB1526"/>
    <w:rsid w:val="60CC3ECE"/>
    <w:rsid w:val="625E5C17"/>
    <w:rsid w:val="62B70711"/>
    <w:rsid w:val="637642DB"/>
    <w:rsid w:val="64030575"/>
    <w:rsid w:val="64805E15"/>
    <w:rsid w:val="65EC4BB9"/>
    <w:rsid w:val="663441E6"/>
    <w:rsid w:val="66695C8C"/>
    <w:rsid w:val="67AB76AD"/>
    <w:rsid w:val="680A0C49"/>
    <w:rsid w:val="695D302A"/>
    <w:rsid w:val="6A635B94"/>
    <w:rsid w:val="6AD13263"/>
    <w:rsid w:val="6BE43543"/>
    <w:rsid w:val="6D0B62B6"/>
    <w:rsid w:val="6D1A3B55"/>
    <w:rsid w:val="6DAA4EC2"/>
    <w:rsid w:val="6DEC482F"/>
    <w:rsid w:val="6E254F50"/>
    <w:rsid w:val="6F025CB3"/>
    <w:rsid w:val="6F373310"/>
    <w:rsid w:val="70E3452D"/>
    <w:rsid w:val="711A24A9"/>
    <w:rsid w:val="724C02BE"/>
    <w:rsid w:val="72826A79"/>
    <w:rsid w:val="75674E1E"/>
    <w:rsid w:val="75F923A2"/>
    <w:rsid w:val="76305414"/>
    <w:rsid w:val="76326672"/>
    <w:rsid w:val="76B7766F"/>
    <w:rsid w:val="76E532E0"/>
    <w:rsid w:val="77B525D6"/>
    <w:rsid w:val="78F309B0"/>
    <w:rsid w:val="79263D87"/>
    <w:rsid w:val="7B4C788A"/>
    <w:rsid w:val="7B7B1562"/>
    <w:rsid w:val="7BDA17C2"/>
    <w:rsid w:val="7BFC5873"/>
    <w:rsid w:val="7C393271"/>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uiPriority w:val="0"/>
    <w:tblPr>
      <w:tblCellMar>
        <w:top w:w="0" w:type="dxa"/>
        <w:left w:w="108" w:type="dxa"/>
        <w:bottom w:w="0" w:type="dxa"/>
        <w:right w:w="108" w:type="dxa"/>
      </w:tblCellMar>
    </w:tblPr>
  </w:style>
  <w:style w:type="paragraph" w:styleId="6">
    <w:name w:val="Document Map"/>
    <w:basedOn w:val="1"/>
    <w:link w:val="53"/>
    <w:qFormat/>
    <w:uiPriority w:val="0"/>
    <w:rPr>
      <w:sz w:val="18"/>
      <w:szCs w:val="18"/>
    </w:rPr>
  </w:style>
  <w:style w:type="paragraph" w:styleId="7">
    <w:name w:val="annotation text"/>
    <w:basedOn w:val="1"/>
    <w:link w:val="79"/>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qFormat/>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qFormat/>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2019-11-01T01:13:38Z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