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5049"/>
      <w:r>
        <w:rPr>
          <w:rFonts w:hint="eastAsia" w:ascii="黑体" w:hAnsi="黑体"/>
          <w:color w:val="auto"/>
        </w:rPr>
        <w:t>4.4.2特别纳税调整相互协商程序申请</w:t>
      </w:r>
      <w:bookmarkEnd w:id="0"/>
    </w:p>
    <w:p>
      <w:pPr>
        <w:pStyle w:val="3"/>
        <w:ind w:firstLine="552"/>
        <w:rPr>
          <w:color w:val="auto"/>
        </w:rPr>
      </w:pPr>
      <w:r>
        <w:rPr>
          <w:color w:val="auto"/>
        </w:rPr>
        <w:t>一、事项名称</w:t>
      </w:r>
    </w:p>
    <w:p>
      <w:pPr>
        <w:ind w:firstLine="472"/>
        <w:rPr>
          <w:color w:val="auto"/>
        </w:rPr>
      </w:pPr>
      <w:r>
        <w:rPr>
          <w:rFonts w:hint="eastAsia"/>
          <w:color w:val="auto"/>
        </w:rPr>
        <w:t>特别纳税调整相互协商程序申请</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办结方式：限时办结</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网上办理：否</w:t>
      </w:r>
    </w:p>
    <w:p>
      <w:pPr>
        <w:pStyle w:val="47"/>
        <w:numPr>
          <w:ilvl w:val="0"/>
          <w:numId w:val="3"/>
        </w:numPr>
        <w:ind w:left="0" w:firstLine="472"/>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w:t>
      </w:r>
      <w:r>
        <w:rPr>
          <w:rFonts w:hint="eastAsia"/>
          <w:color w:val="auto"/>
          <w:lang w:val="en-US"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contextualSpacing/>
        <w:rPr>
          <w:color w:val="auto"/>
        </w:rPr>
      </w:pPr>
      <w:r>
        <w:rPr>
          <w:rFonts w:hint="eastAsia"/>
          <w:color w:val="auto"/>
        </w:rPr>
        <w:t>根据我国对外签署的税收协定的有关规定，国家税务总局可以依据企业申请或者税收协定缔约对方税务主管当局请求启动相互协商程序，与税收协定缔约对方税务主管当局开展协商谈判,避免或者消除由特别纳税调整事项引起的国际重复征税。</w:t>
      </w:r>
    </w:p>
    <w:p>
      <w:pPr>
        <w:ind w:firstLine="472"/>
        <w:contextualSpacing/>
        <w:rPr>
          <w:color w:val="auto"/>
        </w:rPr>
      </w:pPr>
      <w:r>
        <w:rPr>
          <w:rFonts w:hint="eastAsia"/>
          <w:color w:val="auto"/>
        </w:rPr>
        <w:t>相互协商内容包括:</w:t>
      </w:r>
    </w:p>
    <w:p>
      <w:pPr>
        <w:ind w:firstLine="472"/>
        <w:contextualSpacing/>
        <w:rPr>
          <w:color w:val="auto"/>
        </w:rPr>
      </w:pPr>
      <w:r>
        <w:rPr>
          <w:rFonts w:hint="eastAsia"/>
          <w:color w:val="auto"/>
        </w:rPr>
        <w:t>1</w:t>
      </w:r>
      <w:r>
        <w:rPr>
          <w:color w:val="auto"/>
        </w:rPr>
        <w:t>.</w:t>
      </w:r>
      <w:r>
        <w:rPr>
          <w:rFonts w:hint="eastAsia"/>
          <w:color w:val="auto"/>
        </w:rPr>
        <w:t>双边或者多边预约定价安排的谈签；</w:t>
      </w:r>
    </w:p>
    <w:p>
      <w:pPr>
        <w:ind w:firstLine="472"/>
        <w:rPr>
          <w:color w:val="auto"/>
        </w:rPr>
      </w:pPr>
      <w:r>
        <w:rPr>
          <w:rFonts w:hint="eastAsia"/>
          <w:color w:val="auto"/>
        </w:rPr>
        <w:t>2</w:t>
      </w:r>
      <w:r>
        <w:rPr>
          <w:color w:val="auto"/>
        </w:rPr>
        <w:t>.</w:t>
      </w:r>
      <w:r>
        <w:rPr>
          <w:rFonts w:hint="eastAsia"/>
          <w:color w:val="auto"/>
        </w:rPr>
        <w:t>税收协定缔约一方实施特别纳税调查调整引起另一方相应调整的协商谈判。</w:t>
      </w:r>
    </w:p>
    <w:p>
      <w:pPr>
        <w:pStyle w:val="3"/>
        <w:ind w:firstLine="552"/>
        <w:rPr>
          <w:color w:val="auto"/>
        </w:rPr>
      </w:pPr>
      <w:r>
        <w:rPr>
          <w:rFonts w:hint="eastAsia"/>
          <w:color w:val="auto"/>
        </w:rPr>
        <w:t>四、设定依据</w:t>
      </w:r>
    </w:p>
    <w:p>
      <w:pPr>
        <w:ind w:firstLine="472"/>
        <w:contextualSpacing/>
        <w:rPr>
          <w:color w:val="auto"/>
        </w:rPr>
      </w:pPr>
      <w:r>
        <w:rPr>
          <w:rFonts w:hint="eastAsia"/>
          <w:color w:val="auto"/>
        </w:rPr>
        <w:t>1.中国政府与其他国家政府签订的避免双重征税协定，内地与香港、澳门签订的避免双重征税安排全文</w:t>
      </w:r>
    </w:p>
    <w:p>
      <w:pPr>
        <w:ind w:firstLine="472"/>
        <w:contextualSpacing/>
        <w:rPr>
          <w:color w:val="auto"/>
          <w:kern w:val="24"/>
        </w:rPr>
      </w:pPr>
      <w:r>
        <w:rPr>
          <w:rFonts w:hint="eastAsia"/>
          <w:color w:val="auto"/>
        </w:rPr>
        <w:t>2.《国家税务总局关于发布〈特别纳税调查调整及相互协商程序管理办法〉的公告》（国家税务总局公告2017年第6号）全文</w:t>
      </w:r>
    </w:p>
    <w:p>
      <w:pPr>
        <w:pStyle w:val="3"/>
        <w:ind w:firstLine="552"/>
        <w:rPr>
          <w:color w:val="auto"/>
        </w:rPr>
      </w:pPr>
      <w:r>
        <w:rPr>
          <w:rFonts w:hint="eastAsia"/>
          <w:color w:val="auto"/>
        </w:rPr>
        <w:t>五、办理材料</w:t>
      </w:r>
    </w:p>
    <w:tbl>
      <w:tblPr>
        <w:tblStyle w:val="15"/>
        <w:tblW w:w="8909"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391"/>
        <w:gridCol w:w="12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91"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281"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rPr>
                <w:rFonts w:cs="宋体"/>
                <w:color w:val="auto"/>
                <w:sz w:val="18"/>
                <w:szCs w:val="18"/>
              </w:rPr>
            </w:pPr>
            <w:r>
              <w:rPr>
                <w:rFonts w:hint="eastAsia" w:ascii="宋体" w:hAnsi="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《启动特别纳税调整相互协商程序申请表》</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p>
        </w:tc>
        <w:tc>
          <w:tcPr>
            <w:tcW w:w="139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281"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rPr>
                <w:rFonts w:cs="宋体"/>
                <w:color w:val="auto"/>
                <w:sz w:val="18"/>
                <w:szCs w:val="18"/>
              </w:rPr>
            </w:pPr>
            <w:r>
              <w:rPr>
                <w:rFonts w:hint="eastAsia" w:ascii="宋体" w:hAnsi="宋体" w:cs="微软雅黑"/>
                <w:color w:val="auto"/>
                <w:sz w:val="18"/>
                <w:szCs w:val="18"/>
              </w:rPr>
              <w:t>2</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特别纳税调整事项的有关说明</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p>
        </w:tc>
        <w:tc>
          <w:tcPr>
            <w:tcW w:w="139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281"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2" w:hRule="atLeast"/>
        </w:trPr>
        <w:tc>
          <w:tcPr>
            <w:tcW w:w="851" w:type="dxa"/>
            <w:shd w:val="clear" w:color="auto" w:fill="auto"/>
            <w:vAlign w:val="center"/>
          </w:tcPr>
          <w:p>
            <w:pPr>
              <w:pStyle w:val="13"/>
              <w:widowControl/>
              <w:spacing w:before="100" w:after="100" w:line="280" w:lineRule="exact"/>
              <w:ind w:firstLine="352"/>
              <w:rPr>
                <w:rFonts w:cs="宋体"/>
                <w:color w:val="auto"/>
                <w:sz w:val="18"/>
                <w:szCs w:val="18"/>
              </w:rPr>
            </w:pPr>
            <w:r>
              <w:rPr>
                <w:rFonts w:hint="eastAsia" w:ascii="宋体" w:hAnsi="宋体" w:cs="微软雅黑"/>
                <w:color w:val="auto"/>
                <w:sz w:val="18"/>
                <w:szCs w:val="18"/>
              </w:rPr>
              <w:t>3</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纳税人暂停、终止特别纳税调整相互协商程序的书面说明</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纳税人申请暂停或终止特别纳税调整相互协商程序时提交</w:t>
            </w:r>
          </w:p>
        </w:tc>
        <w:tc>
          <w:tcPr>
            <w:tcW w:w="139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281"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spacing w:line="240" w:lineRule="auto"/>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contextualSpacing/>
        <w:textAlignment w:val="auto"/>
        <w:rPr>
          <w:rFonts w:eastAsia="楷体"/>
          <w:color w:val="auto"/>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contextualSpacing/>
        <w:textAlignment w:val="auto"/>
        <w:rPr>
          <w:rFonts w:eastAsia="楷体"/>
          <w:color w:val="auto"/>
        </w:rPr>
      </w:pPr>
      <w:r>
        <w:rPr>
          <w:rFonts w:eastAsia="楷体"/>
          <w:color w:val="auto"/>
        </w:rPr>
        <w:drawing>
          <wp:inline distT="0" distB="0" distL="114300" distR="114300">
            <wp:extent cx="5260975" cy="1500505"/>
            <wp:effectExtent l="0" t="0" r="15875" b="4445"/>
            <wp:docPr id="29" name="图片 29"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图片7"/>
                    <pic:cNvPicPr>
                      <a:picLocks noChangeAspect="1"/>
                    </pic:cNvPicPr>
                  </pic:nvPicPr>
                  <pic:blipFill>
                    <a:blip r:embed="rId10" cstate="print"/>
                    <a:stretch>
                      <a:fillRect/>
                    </a:stretch>
                  </pic:blipFill>
                  <pic:spPr>
                    <a:xfrm>
                      <a:off x="0" y="0"/>
                      <a:ext cx="5260975" cy="15005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firstLine="472" w:firstLineChars="200"/>
        <w:contextualSpacing/>
        <w:textAlignment w:val="auto"/>
        <w:rPr>
          <w:rFonts w:eastAsia="楷体"/>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1" w:firstLineChars="0"/>
        <w:rPr>
          <w:color w:val="auto"/>
        </w:rPr>
      </w:pPr>
      <w:r>
        <w:rPr>
          <w:rFonts w:hint="eastAsia"/>
          <w:color w:val="auto"/>
        </w:rPr>
        <w:t>1.《启动特别纳税调整相互协商程序申请表》</w:t>
      </w:r>
    </w:p>
    <w:p>
      <w:pPr>
        <w:pStyle w:val="3"/>
        <w:ind w:firstLine="552"/>
        <w:rPr>
          <w:color w:val="auto"/>
        </w:rPr>
      </w:pPr>
      <w:r>
        <w:rPr>
          <w:rFonts w:hint="eastAsia"/>
          <w:color w:val="auto"/>
        </w:rPr>
        <w:t>九、注意事项</w:t>
      </w:r>
    </w:p>
    <w:p>
      <w:pPr>
        <w:ind w:firstLine="472"/>
        <w:rPr>
          <w:color w:val="auto"/>
        </w:rPr>
      </w:pPr>
      <w:r>
        <w:rPr>
          <w:rFonts w:hint="eastAsia"/>
          <w:color w:val="auto"/>
        </w:rPr>
        <w:t>1.企业申请启动相互协商程序的，应当在税收协定规定期限内，向国家税务总局书面提交资料。企业当面报送上述资料的，以报送日期为申请日期；邮寄报送的，以国家税务总局收到上述资料的日期为申请日期。</w:t>
      </w:r>
    </w:p>
    <w:p>
      <w:pPr>
        <w:ind w:firstLine="472"/>
        <w:jc w:val="left"/>
        <w:rPr>
          <w:color w:val="auto"/>
        </w:rPr>
      </w:pPr>
      <w:r>
        <w:rPr>
          <w:rFonts w:hint="eastAsia"/>
          <w:color w:val="auto"/>
        </w:rPr>
        <w:t>国家税务总局收到企业提交的上述资料后，认为符合税收协定有关规定的，可以启动相互协商程序；认为资料不全的，可以要求企业补充提供资料。</w:t>
      </w:r>
    </w:p>
    <w:p>
      <w:pPr>
        <w:ind w:firstLine="472"/>
        <w:jc w:val="left"/>
        <w:rPr>
          <w:color w:val="auto"/>
        </w:rPr>
      </w:pPr>
      <w:r>
        <w:rPr>
          <w:rFonts w:hint="eastAsia"/>
          <w:color w:val="auto"/>
          <w:lang w:val="en-US" w:eastAsia="zh-CN"/>
        </w:rPr>
        <w:t>2</w:t>
      </w:r>
      <w:r>
        <w:rPr>
          <w:rFonts w:hint="eastAsia"/>
          <w:color w:val="auto"/>
        </w:rPr>
        <w:t>.企业按照规定向国家税务总局提起相互协商申请的，提交的资料应当同时采用中文和英文文本，企业向税收协定缔约双方税务主管当局提交资料内容应当保持一致。</w:t>
      </w:r>
    </w:p>
    <w:p>
      <w:pPr>
        <w:ind w:firstLine="472"/>
        <w:jc w:val="left"/>
        <w:rPr>
          <w:rFonts w:hint="eastAsia"/>
          <w:color w:val="auto"/>
        </w:rPr>
      </w:pPr>
      <w:r>
        <w:rPr>
          <w:rFonts w:hint="eastAsia"/>
          <w:color w:val="auto"/>
          <w:lang w:val="en-US" w:eastAsia="zh-CN"/>
        </w:rPr>
        <w:t>3</w:t>
      </w:r>
      <w:r>
        <w:rPr>
          <w:rFonts w:hint="eastAsia"/>
          <w:color w:val="auto"/>
        </w:rPr>
        <w:t>.在相互协商过程中，税务机关可以要求企业进一步补充提供资料，企业应当在规定的时限内提交。</w:t>
      </w:r>
    </w:p>
    <w:p>
      <w:pPr>
        <w:ind w:firstLine="472"/>
        <w:rPr>
          <w:color w:val="auto"/>
        </w:rPr>
      </w:pPr>
      <w:r>
        <w:rPr>
          <w:rFonts w:hint="eastAsia"/>
          <w:color w:val="auto"/>
          <w:lang w:val="en-US" w:eastAsia="zh-CN"/>
        </w:rPr>
        <w:t>4.</w:t>
      </w:r>
      <w:r>
        <w:rPr>
          <w:rFonts w:hint="eastAsia"/>
          <w:color w:val="auto"/>
        </w:rPr>
        <w:t>纳税人对报送材料的真实性和合法性承担责任。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.纳税人在资料完整且符合法定受理条件的前提下，最多只需要到税务机关跑一次。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jc w:val="left"/>
        <w:rPr>
          <w:rFonts w:hint="eastAsia"/>
          <w:color w:val="auto"/>
          <w:lang w:val="en-US" w:eastAsia="zh-CN"/>
        </w:rPr>
      </w:pPr>
      <w:r>
        <w:rPr>
          <w:rFonts w:hint="eastAsia"/>
          <w:color w:val="auto"/>
          <w:lang w:val="en-US" w:eastAsia="zh-CN"/>
        </w:rPr>
        <w:t>国家税务总局工作时间</w:t>
      </w:r>
    </w:p>
    <w:p>
      <w:pPr>
        <w:ind w:firstLine="472"/>
        <w:jc w:val="left"/>
        <w:rPr>
          <w:rFonts w:hint="eastAsia"/>
          <w:color w:val="auto"/>
          <w:lang w:val="en-US" w:eastAsia="zh-CN"/>
        </w:rPr>
      </w:pPr>
      <w:r>
        <w:rPr>
          <w:rFonts w:hint="eastAsia"/>
          <w:color w:val="auto"/>
          <w:lang w:val="en-US" w:eastAsia="zh-CN"/>
        </w:rPr>
        <w:t>网址：http://www.chinatax.gov.cn/</w:t>
      </w:r>
    </w:p>
    <w:p>
      <w:pPr>
        <w:pStyle w:val="3"/>
        <w:ind w:firstLine="552"/>
        <w:rPr>
          <w:color w:val="auto"/>
        </w:rPr>
      </w:pPr>
      <w:r>
        <w:rPr>
          <w:rFonts w:hint="eastAsia"/>
          <w:color w:val="auto"/>
        </w:rPr>
        <w:t>十一、办理地点</w:t>
      </w:r>
    </w:p>
    <w:p>
      <w:pPr>
        <w:ind w:firstLine="472"/>
        <w:rPr>
          <w:rFonts w:cs="Times New Roman"/>
          <w:color w:val="auto"/>
          <w:kern w:val="24"/>
        </w:rPr>
      </w:pPr>
      <w:r>
        <w:rPr>
          <w:rFonts w:cs="Times New Roman"/>
          <w:color w:val="auto"/>
          <w:kern w:val="24"/>
        </w:rPr>
        <w:t>国家税务总局</w:t>
      </w:r>
    </w:p>
    <w:p>
      <w:pPr>
        <w:ind w:firstLine="472"/>
        <w:rPr>
          <w:rFonts w:cs="Times New Roman"/>
          <w:color w:val="auto"/>
          <w:kern w:val="24"/>
        </w:rPr>
      </w:pPr>
      <w:r>
        <w:rPr>
          <w:rFonts w:hint="eastAsia" w:cs="Times New Roman"/>
          <w:color w:val="auto"/>
          <w:kern w:val="24"/>
        </w:rPr>
        <w:t>北京市海淀区羊坊店西路5号</w:t>
      </w:r>
    </w:p>
    <w:p>
      <w:pPr>
        <w:ind w:firstLine="472"/>
        <w:rPr>
          <w:rFonts w:hint="default" w:eastAsia="宋体" w:cs="Times New Roman"/>
          <w:color w:val="auto"/>
          <w:kern w:val="24"/>
          <w:lang w:val="en-US" w:eastAsia="zh-CN"/>
        </w:rPr>
      </w:pPr>
      <w:r>
        <w:rPr>
          <w:rFonts w:hint="eastAsia" w:cs="Times New Roman"/>
          <w:color w:val="auto"/>
          <w:kern w:val="24"/>
          <w:lang w:val="en-US" w:eastAsia="zh-CN"/>
        </w:rPr>
        <w:t>网址：</w:t>
      </w:r>
      <w:r>
        <w:rPr>
          <w:rFonts w:hint="default" w:eastAsia="宋体" w:cs="Times New Roman"/>
          <w:color w:val="auto"/>
          <w:kern w:val="24"/>
          <w:lang w:val="en-US" w:eastAsia="zh-CN"/>
        </w:rPr>
        <w:t>http://www.chinatax.gov.cn/</w:t>
      </w:r>
    </w:p>
    <w:p>
      <w:pPr>
        <w:pStyle w:val="3"/>
        <w:ind w:firstLine="552"/>
        <w:rPr>
          <w:color w:val="auto"/>
        </w:rPr>
      </w:pPr>
      <w:r>
        <w:rPr>
          <w:rFonts w:hint="eastAsia"/>
          <w:color w:val="auto"/>
        </w:rPr>
        <w:t>十二、办理机构</w:t>
      </w:r>
    </w:p>
    <w:p>
      <w:pPr>
        <w:ind w:firstLine="471" w:firstLineChars="0"/>
        <w:rPr>
          <w:rFonts w:hint="eastAsia"/>
          <w:color w:val="auto"/>
        </w:rPr>
      </w:pPr>
      <w:r>
        <w:rPr>
          <w:rFonts w:hint="eastAsia"/>
          <w:color w:val="auto"/>
        </w:rPr>
        <w:t>国家税务总局</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rFonts w:hint="eastAsia"/>
          <w:color w:val="auto"/>
          <w:lang w:val="en-US" w:eastAsia="zh-CN"/>
        </w:rPr>
      </w:pPr>
      <w:r>
        <w:rPr>
          <w:rFonts w:hint="eastAsia"/>
          <w:color w:val="auto"/>
        </w:rPr>
        <w:t>拨打</w:t>
      </w:r>
      <w:r>
        <w:rPr>
          <w:color w:val="auto"/>
        </w:rPr>
        <w:t>12366</w:t>
      </w:r>
      <w:r>
        <w:rPr>
          <w:rFonts w:hint="eastAsia"/>
          <w:color w:val="auto"/>
        </w:rPr>
        <w:t>热线</w:t>
      </w:r>
      <w:r>
        <w:rPr>
          <w:rFonts w:hint="eastAsia"/>
          <w:color w:val="auto"/>
          <w:lang w:val="en-US" w:eastAsia="zh-CN"/>
        </w:rPr>
        <w:t>或国家税务总局对外公开的联系电话</w:t>
      </w:r>
    </w:p>
    <w:p>
      <w:pPr>
        <w:rPr>
          <w:rFonts w:hint="eastAsia"/>
          <w:color w:val="auto"/>
          <w:lang w:val="en-US" w:eastAsia="zh-CN"/>
        </w:rPr>
      </w:pPr>
      <w:r>
        <w:rPr>
          <w:rFonts w:hint="eastAsia"/>
          <w:color w:val="auto"/>
          <w:lang w:val="en-US" w:eastAsia="zh-CN"/>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32A1453"/>
    <w:multiLevelType w:val="multilevel"/>
    <w:tmpl w:val="632A145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7BC215B"/>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2019-10-31T05:20:29Z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