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1" w:name="_GoBack"/>
      <w:bookmarkEnd w:id="1"/>
      <w:bookmarkStart w:id="0" w:name="_Toc28161"/>
      <w:r>
        <w:rPr>
          <w:rFonts w:hint="eastAsia" w:ascii="黑体" w:hAnsi="黑体"/>
          <w:color w:val="auto"/>
        </w:rPr>
        <w:t>1.3.22.10源泉扣缴合同信息采集及变更</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源泉扣缴合同信息采集及变更</w:t>
      </w:r>
    </w:p>
    <w:p>
      <w:pPr>
        <w:pStyle w:val="3"/>
        <w:ind w:firstLine="552"/>
        <w:rPr>
          <w:color w:val="auto"/>
        </w:rPr>
      </w:pPr>
      <w:r>
        <w:rPr>
          <w:color w:val="auto"/>
        </w:rPr>
        <w:t>二、事项类别</w:t>
      </w:r>
    </w:p>
    <w:p>
      <w:pPr>
        <w:pStyle w:val="47"/>
        <w:numPr>
          <w:ilvl w:val="0"/>
          <w:numId w:val="3"/>
        </w:numPr>
        <w:ind w:firstLineChars="0"/>
        <w:rPr>
          <w:rFonts w:hint="eastAsia"/>
          <w:color w:val="auto"/>
        </w:rPr>
      </w:pPr>
      <w:r>
        <w:rPr>
          <w:rFonts w:hint="eastAsia"/>
          <w:color w:val="auto"/>
        </w:rPr>
        <w:t>发起方式：人工发起（扣缴义务人）</w:t>
      </w:r>
    </w:p>
    <w:p>
      <w:pPr>
        <w:pStyle w:val="47"/>
        <w:numPr>
          <w:ilvl w:val="0"/>
          <w:numId w:val="3"/>
        </w:numPr>
        <w:ind w:firstLineChars="0"/>
        <w:rPr>
          <w:rFonts w:hint="eastAsia"/>
          <w:color w:val="auto"/>
        </w:rPr>
      </w:pPr>
      <w:r>
        <w:rPr>
          <w:rFonts w:hint="eastAsia"/>
          <w:color w:val="auto"/>
        </w:rPr>
        <w:t>办结方式：即办</w:t>
      </w:r>
    </w:p>
    <w:p>
      <w:pPr>
        <w:pStyle w:val="47"/>
        <w:numPr>
          <w:ilvl w:val="0"/>
          <w:numId w:val="3"/>
        </w:numPr>
        <w:ind w:firstLineChars="0"/>
        <w:rPr>
          <w:rFonts w:hint="eastAsia"/>
          <w:color w:val="auto"/>
        </w:rPr>
      </w:pPr>
      <w:r>
        <w:rPr>
          <w:rFonts w:hint="eastAsia"/>
          <w:color w:val="auto"/>
        </w:rPr>
        <w:t>全省通办：否</w:t>
      </w:r>
    </w:p>
    <w:p>
      <w:pPr>
        <w:pStyle w:val="47"/>
        <w:numPr>
          <w:ilvl w:val="0"/>
          <w:numId w:val="3"/>
        </w:numPr>
        <w:ind w:firstLineChars="0"/>
        <w:rPr>
          <w:rFonts w:hint="eastAsia"/>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当扣缴义务人提前将合同提交给税务机关，或提交《中华人民共和国扣缴企业所得税报告表》时，对合同信息进行采集或者信息变更。</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1.《中华人民共和国企业所得税法》（</w:t>
      </w:r>
      <w:r>
        <w:rPr>
          <w:color w:val="auto"/>
        </w:rPr>
        <w:t>中华人民共和国主席令第63号）</w:t>
      </w:r>
      <w:r>
        <w:rPr>
          <w:rFonts w:hint="eastAsia"/>
          <w:color w:val="auto"/>
        </w:rPr>
        <w:t>第三十九条</w:t>
      </w:r>
    </w:p>
    <w:p>
      <w:pPr>
        <w:pStyle w:val="13"/>
        <w:keepNext w:val="0"/>
        <w:keepLines w:val="0"/>
        <w:widowControl/>
        <w:suppressLineNumbers w:val="0"/>
        <w:spacing w:before="0" w:beforeAutospacing="0" w:after="0" w:afterAutospacing="0" w:line="540" w:lineRule="atLeast"/>
        <w:ind w:firstLine="472" w:firstLineChars="200"/>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依照本法第三十七条、第三十八条规定应当扣缴的所得税，扣缴义务人未依法扣缴或者无法履行扣缴义务的，由纳税人在所得发生地缴纳。纳税人未依法缴纳的，税务机关可以从该纳税人在中国境内其他收入项目的支付人应付的款项中，追缴该纳税人的应纳税款。”</w:t>
      </w:r>
    </w:p>
    <w:p>
      <w:pPr>
        <w:numPr>
          <w:ilvl w:val="0"/>
          <w:numId w:val="4"/>
        </w:numPr>
        <w:ind w:left="0" w:leftChars="0" w:firstLine="472" w:firstLineChars="200"/>
        <w:rPr>
          <w:rFonts w:hint="eastAsia" w:ascii="宋体" w:hAnsi="宋体" w:eastAsia="宋体" w:cs="Times New Roman"/>
          <w:color w:val="auto"/>
          <w:kern w:val="2"/>
          <w:sz w:val="24"/>
          <w:szCs w:val="22"/>
          <w:lang w:val="en-US" w:eastAsia="zh-CN" w:bidi="ar-SA"/>
        </w:rPr>
      </w:pPr>
      <w:r>
        <w:rPr>
          <w:rFonts w:hint="eastAsia"/>
          <w:color w:val="auto"/>
        </w:rPr>
        <w:t>《中华人民共和国企业所得税法实施条例》（中华人民共和国国务院令第</w:t>
      </w:r>
      <w:r>
        <w:rPr>
          <w:color w:val="auto"/>
        </w:rPr>
        <w:t>512号）</w:t>
      </w:r>
      <w:r>
        <w:rPr>
          <w:rFonts w:hint="eastAsia"/>
          <w:color w:val="auto"/>
        </w:rPr>
        <w:t>第一百零七条</w:t>
      </w:r>
    </w:p>
    <w:p>
      <w:pPr>
        <w:numPr>
          <w:ilvl w:val="0"/>
          <w:numId w:val="0"/>
        </w:numPr>
        <w:ind w:firstLine="472" w:firstLineChars="200"/>
        <w:rPr>
          <w:rFonts w:hint="eastAsia" w:ascii="宋体" w:hAnsi="宋体" w:eastAsia="宋体" w:cs="Times New Roman"/>
          <w:color w:val="auto"/>
          <w:kern w:val="2"/>
          <w:sz w:val="24"/>
          <w:szCs w:val="22"/>
          <w:lang w:val="en-US" w:eastAsia="zh-CN" w:bidi="ar-SA"/>
        </w:rPr>
      </w:pPr>
      <w:r>
        <w:rPr>
          <w:rFonts w:hint="eastAsia"/>
          <w:color w:val="auto"/>
          <w:lang w:eastAsia="zh-CN"/>
        </w:rPr>
        <w:t>“</w:t>
      </w:r>
      <w:r>
        <w:rPr>
          <w:rFonts w:hint="eastAsia" w:ascii="宋体" w:hAnsi="宋体" w:eastAsia="宋体" w:cs="Times New Roman"/>
          <w:color w:val="auto"/>
          <w:kern w:val="2"/>
          <w:sz w:val="24"/>
          <w:szCs w:val="22"/>
          <w:lang w:val="en-US" w:eastAsia="zh-CN" w:bidi="ar-SA"/>
        </w:rPr>
        <w:t>企业所得税法第三十九条所称所得发生地，是指依照本条例第七条规定的原则确定的所得发生地。在中国境内存在多处所得发生地的，由纳税人选择其中之一申报缴纳企业所得税。</w:t>
      </w:r>
      <w:r>
        <w:rPr>
          <w:rFonts w:hint="eastAsia" w:cs="Times New Roman"/>
          <w:color w:val="auto"/>
          <w:kern w:val="2"/>
          <w:sz w:val="24"/>
          <w:szCs w:val="22"/>
          <w:lang w:val="en-US" w:eastAsia="zh-CN" w:bidi="ar-SA"/>
        </w:rPr>
        <w:t>”</w:t>
      </w:r>
    </w:p>
    <w:p>
      <w:pPr>
        <w:numPr>
          <w:ilvl w:val="0"/>
          <w:numId w:val="4"/>
        </w:numPr>
        <w:ind w:left="0" w:leftChars="0" w:firstLine="472" w:firstLineChars="200"/>
        <w:rPr>
          <w:rFonts w:hint="eastAsia"/>
          <w:color w:val="auto"/>
        </w:rPr>
      </w:pPr>
      <w:r>
        <w:rPr>
          <w:rFonts w:hint="eastAsia"/>
          <w:color w:val="auto"/>
        </w:rPr>
        <w:t>《国家税务总局关于非居民企业所得税源泉扣缴有关问题的公告》（国家税务总局公告2017年第37号）第九条</w:t>
      </w:r>
    </w:p>
    <w:p>
      <w:pPr>
        <w:numPr>
          <w:ilvl w:val="0"/>
          <w:numId w:val="0"/>
        </w:numPr>
        <w:ind w:firstLine="472" w:firstLineChars="200"/>
        <w:rPr>
          <w:rFonts w:hint="eastAsia" w:eastAsia="宋体"/>
          <w:color w:val="auto"/>
          <w:lang w:eastAsia="zh-CN"/>
        </w:rPr>
      </w:pPr>
      <w:r>
        <w:rPr>
          <w:rFonts w:hint="eastAsia"/>
          <w:color w:val="auto"/>
          <w:lang w:eastAsia="zh-CN"/>
        </w:rPr>
        <w:t>“</w:t>
      </w:r>
      <w:r>
        <w:rPr>
          <w:rFonts w:hint="eastAsia"/>
          <w:color w:val="auto"/>
        </w:rPr>
        <w:t>按照企业所得税法第三十七条规定应当扣缴的所得税，扣缴义务人未依法扣缴或者无法履行扣缴义务的，取得所得的非居民企业应当按照企业所得税法第三十九条规定，向所得发生地主管税务机关申报缴纳未扣缴税款，并填报《中华人民共和国扣缴企业所得税报告表》。</w:t>
      </w:r>
      <w:r>
        <w:rPr>
          <w:rFonts w:hint="eastAsia"/>
          <w:color w:val="auto"/>
          <w:lang w:eastAsia="zh-CN"/>
        </w:rPr>
        <w:t>”</w:t>
      </w:r>
    </w:p>
    <w:p>
      <w:pPr>
        <w:pStyle w:val="3"/>
        <w:ind w:left="0" w:leftChars="0" w:firstLine="552" w:firstLineChars="200"/>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firstLineChars="0"/>
              <w:rPr>
                <w:rFonts w:cs="宋体"/>
                <w:color w:val="auto"/>
                <w:kern w:val="0"/>
                <w:sz w:val="18"/>
                <w:szCs w:val="18"/>
              </w:rPr>
            </w:pPr>
            <w:r>
              <w:rPr>
                <w:rFonts w:ascii="宋体" w:hAnsi="宋体" w:cs="微软雅黑"/>
                <w:color w:val="auto"/>
                <w:sz w:val="18"/>
                <w:szCs w:val="18"/>
              </w:rPr>
              <w:t>1</w:t>
            </w:r>
          </w:p>
        </w:tc>
        <w:tc>
          <w:tcPr>
            <w:tcW w:w="2551" w:type="dxa"/>
            <w:shd w:val="clear" w:color="auto" w:fill="auto"/>
            <w:vAlign w:val="center"/>
          </w:tcPr>
          <w:p>
            <w:pPr>
              <w:pStyle w:val="13"/>
              <w:widowControl/>
              <w:spacing w:before="100" w:after="100" w:line="280" w:lineRule="exact"/>
              <w:ind w:firstLine="0" w:firstLineChars="0"/>
              <w:rPr>
                <w:rFonts w:cs="宋体"/>
                <w:color w:val="auto"/>
                <w:kern w:val="0"/>
                <w:sz w:val="18"/>
                <w:szCs w:val="18"/>
              </w:rPr>
            </w:pPr>
            <w:r>
              <w:rPr>
                <w:rFonts w:hint="eastAsia" w:ascii="宋体" w:hAnsi="宋体"/>
                <w:color w:val="auto"/>
                <w:sz w:val="18"/>
                <w:szCs w:val="18"/>
              </w:rPr>
              <w:t>《中华人民共和国扣缴企业所得税报告表（2019年版）(F500)》</w:t>
            </w:r>
          </w:p>
        </w:tc>
        <w:tc>
          <w:tcPr>
            <w:tcW w:w="709" w:type="dxa"/>
            <w:shd w:val="clear" w:color="auto" w:fill="auto"/>
            <w:vAlign w:val="center"/>
          </w:tcPr>
          <w:p>
            <w:pPr>
              <w:pStyle w:val="13"/>
              <w:widowControl/>
              <w:spacing w:before="100" w:after="100" w:line="280" w:lineRule="exact"/>
              <w:ind w:firstLine="176" w:firstLineChars="100"/>
              <w:rPr>
                <w:rFonts w:cs="宋体"/>
                <w:color w:val="auto"/>
                <w:kern w:val="0"/>
                <w:sz w:val="18"/>
                <w:szCs w:val="18"/>
              </w:rPr>
            </w:pPr>
            <w:r>
              <w:rPr>
                <w:rFonts w:hint="eastAsia" w:ascii="宋体" w:hAnsi="宋体" w:cs="微软雅黑"/>
                <w:color w:val="auto"/>
                <w:sz w:val="18"/>
                <w:szCs w:val="18"/>
              </w:rPr>
              <w:t>2</w:t>
            </w:r>
          </w:p>
        </w:tc>
        <w:tc>
          <w:tcPr>
            <w:tcW w:w="992"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firstLineChars="0"/>
              <w:rPr>
                <w:rFonts w:cs="宋体"/>
                <w:color w:val="auto"/>
                <w:kern w:val="0"/>
                <w:sz w:val="18"/>
                <w:szCs w:val="18"/>
              </w:rPr>
            </w:pPr>
            <w:r>
              <w:rPr>
                <w:rFonts w:hint="eastAsia" w:ascii="宋体" w:hAnsi="宋体" w:cs="微软雅黑"/>
                <w:color w:val="auto"/>
                <w:sz w:val="18"/>
                <w:szCs w:val="18"/>
              </w:rPr>
              <w:t>2</w:t>
            </w:r>
          </w:p>
        </w:tc>
        <w:tc>
          <w:tcPr>
            <w:tcW w:w="2551" w:type="dxa"/>
            <w:shd w:val="clear" w:color="auto" w:fill="auto"/>
            <w:vAlign w:val="center"/>
          </w:tcPr>
          <w:p>
            <w:pPr>
              <w:pStyle w:val="13"/>
              <w:widowControl/>
              <w:spacing w:before="100" w:after="100" w:line="280" w:lineRule="exact"/>
              <w:ind w:firstLine="0" w:firstLineChars="0"/>
              <w:rPr>
                <w:rFonts w:cs="宋体"/>
                <w:color w:val="auto"/>
                <w:kern w:val="0"/>
                <w:sz w:val="18"/>
                <w:szCs w:val="18"/>
              </w:rPr>
            </w:pPr>
            <w:r>
              <w:rPr>
                <w:rFonts w:hint="eastAsia" w:ascii="宋体" w:hAnsi="宋体"/>
                <w:color w:val="auto"/>
                <w:sz w:val="18"/>
                <w:szCs w:val="18"/>
              </w:rPr>
              <w:t>合同（协议）或相关交易凭证复印件</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r>
        <w:rPr>
          <w:color w:val="auto"/>
        </w:rPr>
        <w:drawing>
          <wp:inline distT="0" distB="0" distL="114300" distR="114300">
            <wp:extent cx="4761865" cy="1276985"/>
            <wp:effectExtent l="0" t="0" r="635" b="1841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761865" cy="1276985"/>
                    </a:xfrm>
                    <a:prstGeom prst="rect">
                      <a:avLst/>
                    </a:prstGeom>
                    <a:noFill/>
                    <a:ln>
                      <a:noFill/>
                    </a:ln>
                  </pic:spPr>
                </pic:pic>
              </a:graphicData>
            </a:graphic>
          </wp:inline>
        </w:drawing>
      </w:r>
    </w:p>
    <w:p>
      <w:pPr>
        <w:pStyle w:val="3"/>
        <w:ind w:left="0" w:leftChars="0" w:firstLine="552" w:firstLineChars="200"/>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w:t>
      </w:r>
      <w:r>
        <w:rPr>
          <w:rFonts w:hint="eastAsia"/>
          <w:color w:val="auto"/>
          <w:lang w:val="en-US" w:eastAsia="zh-CN"/>
        </w:rPr>
        <w:t>A06865</w:t>
      </w:r>
      <w:r>
        <w:rPr>
          <w:rFonts w:hint="eastAsia"/>
          <w:color w:val="auto"/>
        </w:rPr>
        <w:t>《中华人民共和国扣缴企业所得税报告表（2019年版）(F500)》</w:t>
      </w:r>
    </w:p>
    <w:p>
      <w:pPr>
        <w:pStyle w:val="3"/>
        <w:ind w:firstLine="552"/>
        <w:rPr>
          <w:color w:val="auto"/>
        </w:rPr>
      </w:pPr>
      <w:r>
        <w:rPr>
          <w:rFonts w:hint="eastAsia"/>
          <w:color w:val="auto"/>
        </w:rPr>
        <w:t>九、注意事项</w:t>
      </w:r>
    </w:p>
    <w:p>
      <w:pPr>
        <w:rPr>
          <w:rFonts w:hint="eastAsia"/>
          <w:color w:val="auto"/>
        </w:rPr>
      </w:pPr>
      <w:r>
        <w:rPr>
          <w:rFonts w:hint="eastAsia"/>
          <w:color w:val="auto"/>
          <w:lang w:val="en-US" w:eastAsia="zh-CN"/>
        </w:rPr>
        <w:t>1.</w:t>
      </w:r>
      <w:r>
        <w:rPr>
          <w:rFonts w:hint="eastAsia"/>
          <w:color w:val="auto"/>
        </w:rPr>
        <w:t>纳税人对报送资料的真实性和合法性承担责任。</w:t>
      </w:r>
    </w:p>
    <w:p>
      <w:pPr>
        <w:ind w:firstLine="472"/>
        <w:rPr>
          <w:rFonts w:hint="eastAsia"/>
          <w:color w:val="auto"/>
          <w:lang w:val="en-US" w:eastAsia="zh-CN"/>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ind w:firstLine="472"/>
        <w:rPr>
          <w:rFonts w:hint="default"/>
          <w:color w:val="auto"/>
          <w:lang w:val="en-US" w:eastAsia="zh-CN"/>
        </w:rPr>
      </w:pPr>
      <w:r>
        <w:rPr>
          <w:rFonts w:hint="eastAsia"/>
          <w:color w:val="auto"/>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5D18C449"/>
    <w:multiLevelType w:val="singleLevel"/>
    <w:tmpl w:val="5D18C449"/>
    <w:lvl w:ilvl="0" w:tentative="0">
      <w:start w:val="2"/>
      <w:numFmt w:val="decimal"/>
      <w:lvlText w:val="%1."/>
      <w:lvlJc w:val="left"/>
      <w:pPr>
        <w:tabs>
          <w:tab w:val="left" w:pos="312"/>
        </w:tabs>
      </w:p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EF66123"/>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2019-10-31T04:49:41Z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