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8321"/>
      <w:r>
        <w:rPr>
          <w:rFonts w:hint="eastAsia" w:ascii="黑体" w:hAnsi="黑体" w:cs="黑体"/>
          <w:color w:val="auto"/>
        </w:rPr>
        <w:t>1.3.16</w:t>
      </w:r>
      <w:r>
        <w:rPr>
          <w:rFonts w:hint="eastAsia"/>
          <w:color w:val="auto"/>
        </w:rPr>
        <w:t>附加税（费）申报</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lang w:val="en-US" w:eastAsia="zh-CN"/>
        </w:rPr>
        <w:t>附加</w:t>
      </w:r>
      <w:r>
        <w:rPr>
          <w:rFonts w:hint="eastAsia"/>
          <w:color w:val="auto"/>
        </w:rPr>
        <w:t>税</w:t>
      </w:r>
      <w:r>
        <w:rPr>
          <w:rFonts w:hint="eastAsia"/>
          <w:color w:val="auto"/>
          <w:lang w:eastAsia="zh-CN"/>
        </w:rPr>
        <w:t>（</w:t>
      </w:r>
      <w:r>
        <w:rPr>
          <w:rFonts w:hint="eastAsia"/>
          <w:color w:val="auto"/>
          <w:lang w:val="en-US" w:eastAsia="zh-CN"/>
        </w:rPr>
        <w:t>费</w:t>
      </w:r>
      <w:r>
        <w:rPr>
          <w:rFonts w:hint="eastAsia"/>
          <w:color w:val="auto"/>
          <w:lang w:eastAsia="zh-CN"/>
        </w:rPr>
        <w:t>）</w:t>
      </w:r>
      <w:r>
        <w:rPr>
          <w:rFonts w:hint="eastAsia"/>
          <w:color w:val="auto"/>
        </w:rPr>
        <w:t>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发起方式：人工发起（纳税人/缴</w:t>
      </w:r>
      <w:r>
        <w:rPr>
          <w:color w:val="auto"/>
        </w:rPr>
        <w:t>费人</w:t>
      </w:r>
      <w:r>
        <w:rPr>
          <w:rFonts w:hint="eastAsia"/>
          <w:color w:val="auto"/>
        </w:rPr>
        <w:t>）</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eastAsia="zh-CN"/>
        </w:rPr>
        <w:t>办理条件</w:t>
      </w:r>
    </w:p>
    <w:p>
      <w:pPr>
        <w:ind w:firstLine="472"/>
        <w:contextualSpacing/>
        <w:rPr>
          <w:color w:val="auto"/>
        </w:rPr>
      </w:pPr>
      <w:r>
        <w:rPr>
          <w:rFonts w:hint="eastAsia"/>
          <w:color w:val="auto"/>
        </w:rPr>
        <w:t>凡缴纳增值税、消费税的单位和个人，都是城市维护建设税、教育费附加和地方教育附加的缴纳义务人。教育费附加和地方教育附加以纳税人实际缴纳的增值税、消费税税额为计费依据，费率分别为3%、2%，与增值税、消费税同时缴纳。</w:t>
      </w:r>
    </w:p>
    <w:p>
      <w:pPr>
        <w:ind w:firstLine="472"/>
        <w:contextualSpacing/>
        <w:rPr>
          <w:color w:val="auto"/>
        </w:rPr>
      </w:pPr>
      <w:r>
        <w:rPr>
          <w:rFonts w:hint="eastAsia"/>
          <w:color w:val="auto"/>
        </w:rPr>
        <w:t>1.自2016年2月1日起，将免征教育费附加、地方教育附加、水利建设基金的范围，由按月纳税的月销售额不超过3万元（按季度纳税的季度销售额不超过9万元）的缴纳义务人，扩大到按月纳税的月销售额不超过10万元（按季度纳税的季度销售额不超过30万元）的缴纳义务人。</w:t>
      </w:r>
    </w:p>
    <w:p>
      <w:pPr>
        <w:ind w:firstLine="472"/>
        <w:contextualSpacing/>
        <w:rPr>
          <w:color w:val="auto"/>
        </w:rPr>
      </w:pPr>
      <w:r>
        <w:rPr>
          <w:rFonts w:hint="eastAsia"/>
          <w:color w:val="auto"/>
        </w:rPr>
        <w:t>2.自2019年1月1日至2021年12月31日，对月销售额10万元以下（含本数）的增值税小规模纳税人，免征增值税。自2019年1月1日起至2021年12月31日，对河南省增值税小规模纳税人按50%的税额幅度减征资源税(不含水资源税)、城市维护建设税、房产税、城镇土地使用税、印花税(不含证券交易印花税)、耕地占用税和教育费附加、地方教育附加。</w:t>
      </w:r>
    </w:p>
    <w:p>
      <w:pPr>
        <w:ind w:firstLine="472"/>
        <w:contextualSpacing/>
        <w:rPr>
          <w:color w:val="auto"/>
        </w:rPr>
      </w:pPr>
      <w:r>
        <w:rPr>
          <w:rFonts w:hint="eastAsia"/>
          <w:color w:val="auto"/>
        </w:rPr>
        <w:t>增值税小规模纳税人已依法享受资源税、城市维护建设税、房产税、城镇土地使用税、印花税、耕地占用税、教育费附加、地方教育附加其他优惠政策的，可叠加享受上述优惠政策。</w:t>
      </w:r>
    </w:p>
    <w:p>
      <w:pPr>
        <w:ind w:firstLine="472"/>
        <w:contextualSpacing/>
        <w:rPr>
          <w:color w:val="auto"/>
        </w:rPr>
      </w:pPr>
      <w:r>
        <w:rPr>
          <w:rFonts w:hint="eastAsia"/>
          <w:color w:val="auto"/>
        </w:rPr>
        <w:t>3.自2019年1月1日起，纳入产教融合型企业建设培育范围的试点企业，兴办职业教育的投资符合相关规定的，可按投资额的30%比例，抵免该企业当年应缴教育费附加和地方教育附加。试点企业属于集团企业的，其下属成员单位（包括全资子公司、控股子公司）对职业教育有实际投入的，可按相关规定抵免教育费附加和地方教育附加。</w:t>
      </w:r>
    </w:p>
    <w:p>
      <w:pPr>
        <w:ind w:firstLine="472"/>
        <w:contextualSpacing/>
        <w:rPr>
          <w:color w:val="auto"/>
        </w:rPr>
      </w:pPr>
      <w:r>
        <w:rPr>
          <w:rFonts w:hint="eastAsia"/>
          <w:color w:val="auto"/>
        </w:rPr>
        <w:t>4.纳税人跨地区提供建筑服务、销售和出租不动产的，应在建筑服务发生地、不动产所在地预缴增值税时，以预缴增值税税额为计费依据，就地缴纳教育费附加和地方教育附加。</w:t>
      </w:r>
    </w:p>
    <w:p>
      <w:pPr>
        <w:ind w:firstLine="472"/>
        <w:contextualSpacing/>
        <w:rPr>
          <w:color w:val="auto"/>
        </w:rPr>
      </w:pPr>
      <w:r>
        <w:rPr>
          <w:rFonts w:hint="eastAsia"/>
          <w:color w:val="auto"/>
        </w:rPr>
        <w:t>5.随增值税、消费税、营业税附征的城市维护建设税、教育费附加和地方教育附加可免于零申报。</w:t>
      </w:r>
    </w:p>
    <w:p>
      <w:pPr>
        <w:pStyle w:val="3"/>
        <w:ind w:firstLine="552"/>
        <w:rPr>
          <w:color w:val="auto"/>
        </w:rPr>
      </w:pPr>
      <w:r>
        <w:rPr>
          <w:rFonts w:hint="eastAsia"/>
          <w:color w:val="auto"/>
        </w:rPr>
        <w:t>四、设定依据</w:t>
      </w:r>
    </w:p>
    <w:p>
      <w:pPr>
        <w:ind w:firstLine="472"/>
        <w:rPr>
          <w:rFonts w:hint="eastAsia"/>
          <w:color w:val="auto"/>
          <w:lang w:eastAsia="zh-CN"/>
        </w:rPr>
      </w:pPr>
      <w:r>
        <w:rPr>
          <w:rFonts w:hint="eastAsia"/>
          <w:color w:val="auto"/>
        </w:rPr>
        <w:t>1.</w:t>
      </w:r>
      <w:r>
        <w:rPr>
          <w:rFonts w:hint="eastAsia"/>
          <w:color w:val="auto"/>
          <w:lang w:eastAsia="zh-CN"/>
        </w:rPr>
        <w:t>《中华人民共和国税收征收管理法》第二十五条第一款</w:t>
      </w:r>
    </w:p>
    <w:p>
      <w:pPr>
        <w:ind w:firstLine="472"/>
        <w:rPr>
          <w:rFonts w:hint="eastAsia"/>
          <w:color w:val="auto"/>
          <w:lang w:val="en-US" w:eastAsia="zh-CN"/>
        </w:rPr>
      </w:pPr>
      <w:r>
        <w:rPr>
          <w:rFonts w:hint="eastAsia"/>
          <w:color w:val="auto"/>
          <w:lang w:eastAsia="zh-CN"/>
        </w:rPr>
        <w:t>“</w:t>
      </w: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r>
        <w:rPr>
          <w:rFonts w:hint="eastAsia"/>
          <w:color w:val="auto"/>
          <w:lang w:eastAsia="zh-CN"/>
        </w:rPr>
        <w:t>”</w:t>
      </w:r>
    </w:p>
    <w:p>
      <w:pPr>
        <w:ind w:firstLine="472"/>
        <w:rPr>
          <w:rFonts w:hint="eastAsia"/>
          <w:color w:val="auto"/>
          <w:lang w:val="en-US" w:eastAsia="zh-CN"/>
        </w:rPr>
      </w:pPr>
      <w:r>
        <w:rPr>
          <w:rFonts w:hint="eastAsia"/>
          <w:color w:val="auto"/>
          <w:lang w:val="en-US" w:eastAsia="zh-CN"/>
        </w:rPr>
        <w:t>2.《中华人民共和国城市维护建设税暂行条例》第二条</w:t>
      </w:r>
    </w:p>
    <w:p>
      <w:pPr>
        <w:ind w:firstLine="472"/>
        <w:rPr>
          <w:rFonts w:hint="default"/>
          <w:color w:val="auto"/>
          <w:lang w:val="en-US" w:eastAsia="zh-CN"/>
        </w:rPr>
      </w:pPr>
      <w:r>
        <w:rPr>
          <w:rFonts w:hint="eastAsia"/>
          <w:color w:val="auto"/>
          <w:lang w:val="en-US" w:eastAsia="zh-CN"/>
        </w:rPr>
        <w:t>“凡缴纳产品税、增值税、营业税的单位和个人，都是城市维护建设税的纳税义务人（以下简称纳税人），都应当依照本条例的规定缴纳城市维护建设税。”</w:t>
      </w:r>
    </w:p>
    <w:p>
      <w:pPr>
        <w:ind w:firstLine="472"/>
        <w:rPr>
          <w:rFonts w:hint="eastAsia"/>
          <w:color w:val="auto"/>
          <w:lang w:eastAsia="zh-CN"/>
        </w:rPr>
      </w:pPr>
      <w:r>
        <w:rPr>
          <w:rFonts w:hint="eastAsia"/>
          <w:color w:val="auto"/>
          <w:lang w:val="en-US" w:eastAsia="zh-CN"/>
        </w:rPr>
        <w:t>3.</w:t>
      </w:r>
      <w:r>
        <w:rPr>
          <w:rFonts w:hint="eastAsia"/>
          <w:color w:val="auto"/>
          <w:lang w:eastAsia="zh-CN"/>
        </w:rPr>
        <w:t>《国务院关于征收教育费附加的暂行规定》（国发〔1986〕50号）第二条</w:t>
      </w:r>
    </w:p>
    <w:p>
      <w:pPr>
        <w:ind w:firstLine="472"/>
        <w:rPr>
          <w:rFonts w:hint="eastAsia"/>
          <w:color w:val="auto"/>
        </w:rPr>
      </w:pPr>
      <w:r>
        <w:rPr>
          <w:rFonts w:hint="eastAsia"/>
          <w:color w:val="auto"/>
          <w:lang w:eastAsia="zh-CN"/>
        </w:rPr>
        <w:t>“</w:t>
      </w:r>
      <w:r>
        <w:rPr>
          <w:rFonts w:hint="eastAsia"/>
          <w:color w:val="auto"/>
        </w:rPr>
        <w:t>凡缴纳产品税、增值税、营业税的单位和个人，除按照《国务院关于筹措农村学校办学经费的通知》（国发[1984]174号文）的规定，缴纳农村教育事业费附加的单位外，都应当依照本规定缴纳教育费附加。</w:t>
      </w:r>
      <w:r>
        <w:rPr>
          <w:rFonts w:hint="eastAsia"/>
          <w:color w:val="auto"/>
          <w:lang w:eastAsia="zh-CN"/>
        </w:rPr>
        <w:t>”</w:t>
      </w:r>
    </w:p>
    <w:p>
      <w:pPr>
        <w:ind w:firstLine="472"/>
        <w:rPr>
          <w:rFonts w:hint="eastAsia"/>
          <w:color w:val="auto"/>
          <w:lang w:eastAsia="zh-CN"/>
        </w:rPr>
      </w:pPr>
      <w:r>
        <w:rPr>
          <w:rFonts w:hint="eastAsia"/>
          <w:color w:val="auto"/>
          <w:lang w:val="en-US" w:eastAsia="zh-CN"/>
        </w:rPr>
        <w:t>4.</w:t>
      </w:r>
      <w:r>
        <w:rPr>
          <w:rFonts w:hint="eastAsia"/>
          <w:color w:val="auto"/>
          <w:lang w:eastAsia="zh-CN"/>
        </w:rPr>
        <w:t>《财政部关于统一地方教育附加政策有关问题的通知》（财综〔2010〕98号）第一条</w:t>
      </w:r>
    </w:p>
    <w:p>
      <w:pPr>
        <w:ind w:firstLine="472"/>
        <w:rPr>
          <w:rFonts w:hint="eastAsia"/>
          <w:color w:val="auto"/>
        </w:rPr>
      </w:pPr>
      <w:r>
        <w:rPr>
          <w:rFonts w:hint="eastAsia"/>
          <w:color w:val="auto"/>
          <w:lang w:eastAsia="zh-CN"/>
        </w:rPr>
        <w:t>“</w:t>
      </w:r>
      <w:r>
        <w:rPr>
          <w:rFonts w:hint="eastAsia"/>
          <w:color w:val="auto"/>
        </w:rPr>
        <w:t>统一开征地方教育附加。尚未开征地方教育附加的省份，省级财政部门应按照《教育法》的规定，根据本地区实际情况尽快研究制定开征地方教育附加的方案，报省级人民政府同意后，由省级人民政府于2010年12月31日前报财政部审批。</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《城市维护建设税教育费附加地方教育附加申报表》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numPr>
          <w:ilvl w:val="0"/>
          <w:numId w:val="4"/>
        </w:numPr>
        <w:ind w:firstLine="552"/>
        <w:rPr>
          <w:color w:val="auto"/>
        </w:rPr>
      </w:pPr>
      <w:r>
        <w:rPr>
          <w:color w:val="auto"/>
        </w:rPr>
        <w:t>办理流程</w:t>
      </w:r>
    </w:p>
    <w:p>
      <w:pPr>
        <w:widowControl w:val="0"/>
        <w:numPr>
          <w:ilvl w:val="0"/>
          <w:numId w:val="0"/>
        </w:numPr>
        <w:spacing w:line="578" w:lineRule="exact"/>
        <w:jc w:val="both"/>
        <w:rPr>
          <w:color w:val="auto"/>
        </w:rPr>
      </w:pPr>
    </w:p>
    <w:p>
      <w:pPr>
        <w:pStyle w:val="3"/>
        <w:ind w:firstLine="552"/>
        <w:rPr>
          <w:color w:val="auto"/>
        </w:rPr>
      </w:pPr>
      <w:r>
        <w:rPr>
          <w:color w:val="auto"/>
        </w:rPr>
        <w:pict>
          <v:shape id="_x0000_s1061" o:spid="_x0000_s1061" o:spt="75" type="#_x0000_t75" style="position:absolute;left:0pt;margin-left:-4.25pt;margin-top:11.4pt;height:102.75pt;width:451.5pt;mso-wrap-distance-left:9pt;mso-wrap-distance-right:9pt;z-index:-251545600;mso-width-relative:page;mso-height-relative:page;" o:ole="t" filled="f" o:preferrelative="t" stroked="f" coordsize="21600,21600" wrapcoords="21592 -2 0 0 0 21600 21592 21602 8 21602 21600 21600 21600 0 8 -2 21592 -2">
            <v:path/>
            <v:fill on="f" focussize="0,0"/>
            <v:stroke on="f" joinstyle="miter"/>
            <v:imagedata r:id="rId11" o:title=""/>
            <o:lock v:ext="edit" aspectratio="f"/>
            <w10:wrap type="tight"/>
          </v:shape>
          <o:OLEObject Type="Embed" ProgID="Visio.Drawing.11" ShapeID="_x0000_s1061" DrawAspect="Content" ObjectID="_1468075725" r:id="rId10">
            <o:LockedField>false</o:LockedField>
          </o:OLEObject>
        </w:pict>
      </w: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1" w:firstLineChars="0"/>
        <w:rPr>
          <w:rFonts w:hint="eastAsia"/>
          <w:color w:val="auto"/>
        </w:rPr>
      </w:pPr>
      <w:r>
        <w:rPr>
          <w:rFonts w:hint="eastAsia"/>
          <w:color w:val="auto"/>
        </w:rPr>
        <w:t>1.</w:t>
      </w:r>
      <w:r>
        <w:rPr>
          <w:rFonts w:hint="eastAsia"/>
          <w:color w:val="auto"/>
          <w:lang w:val="en-US" w:eastAsia="zh-CN"/>
        </w:rPr>
        <w:t> A06554《城建税、教育费附加、地方教育附加税（费）申报表》(A06554《城建税、教育费附加、地方教育附加税（费）申报表》（填写样例）)</w:t>
      </w:r>
    </w:p>
    <w:p>
      <w:pPr>
        <w:pStyle w:val="3"/>
        <w:ind w:firstLine="552"/>
        <w:rPr>
          <w:color w:val="auto"/>
        </w:rPr>
      </w:pPr>
      <w:r>
        <w:rPr>
          <w:rFonts w:hint="eastAsia"/>
          <w:color w:val="auto"/>
        </w:rPr>
        <w:t>九、注意事项</w:t>
      </w:r>
    </w:p>
    <w:p>
      <w:pPr>
        <w:ind w:firstLine="472"/>
        <w:contextualSpacing/>
        <w:rPr>
          <w:color w:val="auto"/>
        </w:rPr>
      </w:pPr>
      <w:r>
        <w:rPr>
          <w:rFonts w:hint="eastAsia"/>
          <w:color w:val="auto"/>
        </w:rPr>
        <w:t>1.税务</w:t>
      </w:r>
      <w:r>
        <w:rPr>
          <w:color w:val="auto"/>
        </w:rPr>
        <w:t>机关</w:t>
      </w:r>
      <w:r>
        <w:rPr>
          <w:rFonts w:hint="eastAsia"/>
          <w:color w:val="auto"/>
        </w:rPr>
        <w:t>根据应补税（费）额判断是否需要缴款开票；对于应补税（费）额大于零的，办理“缴款开票”业务。</w:t>
      </w:r>
    </w:p>
    <w:p>
      <w:pPr>
        <w:ind w:firstLine="472"/>
        <w:contextualSpacing/>
        <w:rPr>
          <w:color w:val="auto"/>
        </w:rPr>
      </w:pPr>
      <w:r>
        <w:rPr>
          <w:rFonts w:hint="eastAsia"/>
          <w:color w:val="auto"/>
        </w:rPr>
        <w:t>2.纳税人/缴</w:t>
      </w:r>
      <w:r>
        <w:rPr>
          <w:color w:val="auto"/>
        </w:rPr>
        <w:t>费人</w:t>
      </w:r>
      <w:r>
        <w:rPr>
          <w:rFonts w:hint="eastAsia"/>
          <w:color w:val="auto"/>
        </w:rPr>
        <w:t>既有应退税（费）款又有欠缴税（费）款的，可以办理“抵缴欠税”业务。</w:t>
      </w:r>
    </w:p>
    <w:p>
      <w:pPr>
        <w:ind w:firstLine="472"/>
        <w:rPr>
          <w:color w:val="auto"/>
        </w:rPr>
      </w:pPr>
      <w:r>
        <w:rPr>
          <w:rFonts w:hint="eastAsia"/>
          <w:color w:val="auto"/>
          <w:lang w:val="en-US" w:eastAsia="zh-CN"/>
        </w:rPr>
        <w:t>3</w:t>
      </w:r>
      <w:r>
        <w:rPr>
          <w:rFonts w:hint="eastAsia"/>
          <w:color w:val="auto"/>
        </w:rPr>
        <w:t>.纳税人/缴</w:t>
      </w:r>
      <w:r>
        <w:rPr>
          <w:color w:val="auto"/>
        </w:rPr>
        <w:t>费人</w:t>
      </w:r>
      <w:r>
        <w:rPr>
          <w:rFonts w:hint="eastAsia"/>
          <w:color w:val="auto"/>
        </w:rPr>
        <w:t>对报送资料的真实性和合法性承担责任。</w:t>
      </w:r>
    </w:p>
    <w:p>
      <w:pPr>
        <w:ind w:firstLine="472"/>
        <w:jc w:val="left"/>
        <w:rPr>
          <w:rFonts w:hint="eastAsia"/>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5.</w:t>
      </w:r>
      <w:r>
        <w:rPr>
          <w:rFonts w:hint="eastAsia"/>
          <w:color w:val="auto"/>
        </w:rPr>
        <w:t>纳税人/缴</w:t>
      </w:r>
      <w:r>
        <w:rPr>
          <w:color w:val="auto"/>
        </w:rPr>
        <w:t>费人</w:t>
      </w:r>
      <w:r>
        <w:rPr>
          <w:rFonts w:hint="eastAsia"/>
          <w:color w:val="auto"/>
        </w:rPr>
        <w:t>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lang w:eastAsia="zh-CN"/>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ind w:firstLine="471" w:firstLineChars="0"/>
        <w:rPr>
          <w:rFonts w:hint="eastAsia"/>
          <w:color w:val="auto"/>
        </w:rPr>
      </w:pP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E820FA"/>
    <w:multiLevelType w:val="singleLevel"/>
    <w:tmpl w:val="9AE820FA"/>
    <w:lvl w:ilvl="0" w:tentative="0">
      <w:start w:val="6"/>
      <w:numFmt w:val="chineseCounting"/>
      <w:suff w:val="nothing"/>
      <w:lvlText w:val="%1、"/>
      <w:lvlJc w:val="left"/>
      <w:rPr>
        <w:rFonts w:hint="eastAsia"/>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53468A4"/>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2019-10-31T06:26:46Z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