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color w:val="auto"/>
        </w:rPr>
      </w:pPr>
      <w:bookmarkStart w:id="1" w:name="_GoBack"/>
      <w:bookmarkEnd w:id="1"/>
      <w:bookmarkStart w:id="0" w:name="_Toc12389"/>
      <w:r>
        <w:rPr>
          <w:rFonts w:hint="eastAsia" w:ascii="黑体" w:hAnsi="黑体"/>
          <w:color w:val="auto"/>
        </w:rPr>
        <w:t>2.1.14</w:t>
      </w:r>
      <w:r>
        <w:rPr>
          <w:rFonts w:hint="eastAsia"/>
          <w:color w:val="auto"/>
        </w:rPr>
        <w:t>增值税、消费税汇总纳税报告</w:t>
      </w:r>
      <w:bookmarkEnd w:id="0"/>
    </w:p>
    <w:p>
      <w:pPr>
        <w:pStyle w:val="3"/>
        <w:ind w:firstLine="552"/>
        <w:rPr>
          <w:color w:val="auto"/>
        </w:rPr>
      </w:pPr>
      <w:r>
        <w:rPr>
          <w:color w:val="auto"/>
        </w:rPr>
        <w:t>一、事项名称</w:t>
      </w:r>
    </w:p>
    <w:p>
      <w:pPr>
        <w:ind w:firstLine="472"/>
        <w:rPr>
          <w:rFonts w:hint="eastAsia"/>
          <w:color w:val="auto"/>
          <w:lang w:val="en-US" w:eastAsia="zh-CN"/>
        </w:rPr>
      </w:pPr>
      <w:r>
        <w:rPr>
          <w:rFonts w:hint="eastAsia"/>
          <w:color w:val="auto"/>
          <w:lang w:val="en-US" w:eastAsia="zh-CN"/>
        </w:rPr>
        <w:t>增值税、消费税汇总纳税报告</w:t>
      </w:r>
    </w:p>
    <w:p>
      <w:pPr>
        <w:pStyle w:val="3"/>
        <w:ind w:firstLine="552"/>
        <w:rPr>
          <w:color w:val="auto"/>
        </w:rPr>
      </w:pPr>
      <w:r>
        <w:rPr>
          <w:color w:val="auto"/>
        </w:rPr>
        <w:t>二、事项类别</w:t>
      </w:r>
    </w:p>
    <w:p>
      <w:pPr>
        <w:pStyle w:val="47"/>
        <w:numPr>
          <w:ilvl w:val="0"/>
          <w:numId w:val="3"/>
        </w:numPr>
        <w:ind w:firstLineChars="0"/>
        <w:rPr>
          <w:rFonts w:hint="eastAsia"/>
          <w:color w:val="auto"/>
        </w:rPr>
      </w:pPr>
      <w:r>
        <w:rPr>
          <w:rFonts w:hint="eastAsia"/>
          <w:color w:val="auto"/>
        </w:rPr>
        <w:t>发起方式：人工发起（纳税人）</w:t>
      </w:r>
    </w:p>
    <w:p>
      <w:pPr>
        <w:pStyle w:val="47"/>
        <w:numPr>
          <w:ilvl w:val="0"/>
          <w:numId w:val="3"/>
        </w:numPr>
        <w:ind w:firstLineChars="0"/>
        <w:rPr>
          <w:rFonts w:hint="eastAsia"/>
          <w:color w:val="auto"/>
        </w:rPr>
      </w:pPr>
      <w:r>
        <w:rPr>
          <w:rFonts w:hint="eastAsia"/>
          <w:color w:val="auto"/>
        </w:rPr>
        <w:t>办结方式：限时办结</w:t>
      </w:r>
    </w:p>
    <w:p>
      <w:pPr>
        <w:pStyle w:val="47"/>
        <w:numPr>
          <w:ilvl w:val="0"/>
          <w:numId w:val="3"/>
        </w:numPr>
        <w:ind w:firstLineChars="0"/>
        <w:rPr>
          <w:rFonts w:hint="eastAsia"/>
          <w:color w:val="auto"/>
        </w:rPr>
      </w:pPr>
      <w:r>
        <w:rPr>
          <w:rFonts w:hint="eastAsia"/>
          <w:color w:val="auto"/>
        </w:rPr>
        <w:t>全省通办：否</w:t>
      </w:r>
    </w:p>
    <w:p>
      <w:pPr>
        <w:pStyle w:val="47"/>
        <w:numPr>
          <w:ilvl w:val="0"/>
          <w:numId w:val="3"/>
        </w:numPr>
        <w:ind w:firstLineChars="0"/>
        <w:rPr>
          <w:rFonts w:hint="eastAsia"/>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适用层级：省、市、县(市、区)级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eastAsia="黑体" w:asciiTheme="majorHAnsi" w:hAnsiTheme="majorHAnsi" w:cstheme="majorBidi"/>
          <w:bCs/>
          <w:color w:val="auto"/>
          <w:kern w:val="2"/>
          <w:sz w:val="28"/>
          <w:szCs w:val="32"/>
          <w:lang w:val="en-US" w:eastAsia="zh-CN" w:bidi="ar-SA"/>
        </w:rPr>
        <w:t>办理条件</w:t>
      </w:r>
    </w:p>
    <w:p>
      <w:pPr>
        <w:ind w:firstLine="472"/>
        <w:rPr>
          <w:rFonts w:hint="eastAsia"/>
          <w:color w:val="auto"/>
          <w:lang w:val="en-US" w:eastAsia="zh-CN"/>
        </w:rPr>
      </w:pPr>
      <w:r>
        <w:rPr>
          <w:rFonts w:hint="eastAsia"/>
          <w:color w:val="auto"/>
          <w:lang w:val="en-US" w:eastAsia="zh-CN"/>
        </w:rPr>
        <w:t>固定业户应当向其机构所在地的主管税务机关申报纳税。总机构和分支机构不在同一县（市）的，应当分别向各自所在地的主管税务机关申报纳税；经国务院财政、税务主管部门或者其授权的财政、税务机关批准，可以由总机构汇总向总机构所在地的主管税务机关申报纳税。</w:t>
      </w:r>
    </w:p>
    <w:p>
      <w:pPr>
        <w:pStyle w:val="3"/>
        <w:ind w:firstLine="552"/>
        <w:rPr>
          <w:color w:val="auto"/>
        </w:rPr>
      </w:pPr>
      <w:r>
        <w:rPr>
          <w:rFonts w:hint="eastAsia"/>
          <w:color w:val="auto"/>
        </w:rPr>
        <w:t>四、设定依据</w:t>
      </w:r>
    </w:p>
    <w:p>
      <w:pPr>
        <w:ind w:firstLine="472"/>
        <w:rPr>
          <w:rFonts w:hint="eastAsia"/>
          <w:color w:val="auto"/>
          <w:lang w:val="en-US" w:eastAsia="zh-CN"/>
        </w:rPr>
      </w:pPr>
      <w:r>
        <w:rPr>
          <w:rFonts w:hint="eastAsia"/>
          <w:color w:val="auto"/>
          <w:lang w:val="en-US" w:eastAsia="zh-CN"/>
        </w:rPr>
        <w:t>1.《中华人民共和国增值税暂行条例》（中华人民共和国国务院令538号）第二十二条第一款</w:t>
      </w:r>
    </w:p>
    <w:p>
      <w:pPr>
        <w:ind w:firstLine="472"/>
        <w:rPr>
          <w:rFonts w:hint="default"/>
          <w:color w:val="auto"/>
          <w:lang w:val="en-US" w:eastAsia="zh-CN"/>
        </w:rPr>
      </w:pPr>
      <w:r>
        <w:rPr>
          <w:rFonts w:hint="default"/>
          <w:color w:val="auto"/>
          <w:lang w:val="en-US" w:eastAsia="zh-CN"/>
        </w:rPr>
        <w:t>“</w:t>
      </w:r>
      <w:r>
        <w:rPr>
          <w:rFonts w:hint="eastAsia"/>
          <w:color w:val="auto"/>
          <w:lang w:val="en-US" w:eastAsia="zh-CN"/>
        </w:rPr>
        <w:t>（一）固定业户应当向其机构所在地的主管税务机关申报纳税。总机构和分支机构不在同一县（市）的，应当分别向各自所在地的主管税务机关申报纳税；经国务院财政、税务主管部门或者其授权的财政、税务机关批准，可以由总机构汇总向总机构所在地的主管税务机关申报纳税。</w:t>
      </w:r>
      <w:r>
        <w:rPr>
          <w:rFonts w:hint="default"/>
          <w:color w:val="auto"/>
          <w:lang w:val="en-US" w:eastAsia="zh-CN"/>
        </w:rPr>
        <w:t>”</w:t>
      </w:r>
    </w:p>
    <w:p>
      <w:pPr>
        <w:ind w:firstLine="472"/>
        <w:rPr>
          <w:rFonts w:hint="eastAsia"/>
          <w:color w:val="auto"/>
          <w:lang w:val="en-US" w:eastAsia="zh-CN"/>
        </w:rPr>
      </w:pPr>
      <w:r>
        <w:rPr>
          <w:rFonts w:hint="eastAsia"/>
          <w:color w:val="auto"/>
          <w:lang w:val="en-US" w:eastAsia="zh-CN"/>
        </w:rPr>
        <w:t>2.《电力产品增值税征收管理办法》（国家税务总局令第10号）第四条</w:t>
      </w:r>
    </w:p>
    <w:p>
      <w:pPr>
        <w:ind w:firstLine="472"/>
        <w:rPr>
          <w:rFonts w:hint="eastAsia"/>
          <w:color w:val="auto"/>
          <w:lang w:val="en-US" w:eastAsia="zh-CN"/>
        </w:rPr>
      </w:pPr>
      <w:r>
        <w:rPr>
          <w:rFonts w:hint="default"/>
          <w:color w:val="auto"/>
          <w:lang w:val="en-US" w:eastAsia="zh-CN"/>
        </w:rPr>
        <w:t>“</w:t>
      </w:r>
      <w:r>
        <w:rPr>
          <w:rFonts w:hint="eastAsia"/>
          <w:color w:val="auto"/>
          <w:lang w:val="en-US" w:eastAsia="zh-CN"/>
        </w:rPr>
        <w:t>电力产品增值税的征收，区分不同情况，分别采取以下征税办法：</w:t>
      </w:r>
    </w:p>
    <w:p>
      <w:pPr>
        <w:ind w:firstLine="472"/>
        <w:rPr>
          <w:rFonts w:hint="eastAsia"/>
          <w:color w:val="auto"/>
          <w:lang w:val="en-US" w:eastAsia="zh-CN"/>
        </w:rPr>
      </w:pPr>
      <w:r>
        <w:rPr>
          <w:rFonts w:hint="eastAsia"/>
          <w:color w:val="auto"/>
          <w:lang w:val="en-US" w:eastAsia="zh-CN"/>
        </w:rPr>
        <w:t>（一）发电企业（电厂、电站、机组，下同）生产销售的电力产品，按照以下规定计算缴纳增值税：</w:t>
      </w:r>
    </w:p>
    <w:p>
      <w:pPr>
        <w:ind w:firstLine="472"/>
        <w:rPr>
          <w:rFonts w:hint="eastAsia"/>
          <w:color w:val="auto"/>
          <w:lang w:val="en-US" w:eastAsia="zh-CN"/>
        </w:rPr>
      </w:pPr>
      <w:r>
        <w:rPr>
          <w:rFonts w:hint="eastAsia"/>
          <w:color w:val="auto"/>
          <w:lang w:val="en-US" w:eastAsia="zh-CN"/>
        </w:rPr>
        <w:t>1.独立核算的发电企业生产销售电力产品，按照现行增值税有关规定向其机构所在地主管税务机关申报纳税；具有一般纳税人资格或具备一般纳税人核算条件的非独立核算的发电企业生产销售电力产品，按照增值税一般纳税人的计算方法计算增值税，并向其机构所在地主管税务机关申报纳税。</w:t>
      </w:r>
    </w:p>
    <w:p>
      <w:pPr>
        <w:ind w:firstLine="472"/>
        <w:rPr>
          <w:rFonts w:hint="eastAsia"/>
          <w:color w:val="auto"/>
          <w:lang w:val="en-US" w:eastAsia="zh-CN"/>
        </w:rPr>
      </w:pPr>
      <w:r>
        <w:rPr>
          <w:rFonts w:hint="eastAsia"/>
          <w:color w:val="auto"/>
          <w:lang w:val="en-US" w:eastAsia="zh-CN"/>
        </w:rPr>
        <w:t>2.不具有一般纳税人资格且不具有一般纳税人核算条件的非独立核算的发电企业生产销售的电力产品，由发电企业按上网电量，依核定的定额税率计算发电环节的预缴增值税，且不得抵扣进项税额，向发电企业所在地主管税务机关申报纳税。计算公式为：</w:t>
      </w:r>
    </w:p>
    <w:p>
      <w:pPr>
        <w:ind w:firstLine="472"/>
        <w:rPr>
          <w:rFonts w:hint="eastAsia"/>
          <w:color w:val="auto"/>
          <w:lang w:val="en-US" w:eastAsia="zh-CN"/>
        </w:rPr>
      </w:pPr>
      <w:r>
        <w:rPr>
          <w:rFonts w:hint="eastAsia"/>
          <w:color w:val="auto"/>
          <w:lang w:val="en-US" w:eastAsia="zh-CN"/>
        </w:rPr>
        <w:t>预征税额=上网电量×核定的定额税率</w:t>
      </w:r>
    </w:p>
    <w:p>
      <w:pPr>
        <w:ind w:firstLine="472"/>
        <w:rPr>
          <w:rFonts w:hint="eastAsia"/>
          <w:color w:val="auto"/>
          <w:lang w:val="en-US" w:eastAsia="zh-CN"/>
        </w:rPr>
      </w:pPr>
      <w:r>
        <w:rPr>
          <w:rFonts w:hint="eastAsia"/>
          <w:color w:val="auto"/>
          <w:lang w:val="en-US" w:eastAsia="zh-CN"/>
        </w:rPr>
        <w:t>（二）供电企业销售电力产品，实行在供电环节预征、由独立核算的供电企业统一结算的办法缴纳增值税，具体办法如下：</w:t>
      </w:r>
    </w:p>
    <w:p>
      <w:pPr>
        <w:ind w:firstLine="472"/>
        <w:rPr>
          <w:rFonts w:hint="eastAsia"/>
          <w:color w:val="auto"/>
          <w:lang w:val="en-US" w:eastAsia="zh-CN"/>
        </w:rPr>
      </w:pPr>
      <w:r>
        <w:rPr>
          <w:rFonts w:hint="eastAsia"/>
          <w:color w:val="auto"/>
          <w:lang w:val="en-US" w:eastAsia="zh-CN"/>
        </w:rPr>
        <w:t>1.独立核算的供电企业所属的区县级供电企业，凡能够核算销售额的，依核定的预征率计算供电环节的增值税，不得抵扣进项税额，向其所在地主管税务机关申报纳税；不能核算销售额的，由上一级供电企业预缴供电环节的增值税。计算公式为：</w:t>
      </w:r>
    </w:p>
    <w:p>
      <w:pPr>
        <w:ind w:firstLine="472"/>
        <w:rPr>
          <w:rFonts w:hint="eastAsia"/>
          <w:color w:val="auto"/>
          <w:lang w:val="en-US" w:eastAsia="zh-CN"/>
        </w:rPr>
      </w:pPr>
      <w:r>
        <w:rPr>
          <w:rFonts w:hint="eastAsia"/>
          <w:color w:val="auto"/>
          <w:lang w:val="en-US" w:eastAsia="zh-CN"/>
        </w:rPr>
        <w:t>预征税额=销售额×核定的预征率</w:t>
      </w:r>
    </w:p>
    <w:p>
      <w:pPr>
        <w:ind w:firstLine="472"/>
        <w:rPr>
          <w:rFonts w:hint="eastAsia"/>
          <w:color w:val="auto"/>
          <w:lang w:val="en-US" w:eastAsia="zh-CN"/>
        </w:rPr>
      </w:pPr>
      <w:r>
        <w:rPr>
          <w:rFonts w:hint="eastAsia"/>
          <w:color w:val="auto"/>
          <w:lang w:val="en-US" w:eastAsia="zh-CN"/>
        </w:rPr>
        <w:t>2.供电企业随同电力产品销售取得的各种价外费用一律在预征环节依照电力产品适用的增值税税率征收增值税，不得抵扣进项税额。</w:t>
      </w:r>
    </w:p>
    <w:p>
      <w:pPr>
        <w:ind w:firstLine="472"/>
        <w:rPr>
          <w:rFonts w:hint="eastAsia"/>
          <w:color w:val="auto"/>
          <w:lang w:val="en-US" w:eastAsia="zh-CN"/>
        </w:rPr>
      </w:pPr>
      <w:r>
        <w:rPr>
          <w:rFonts w:hint="eastAsia"/>
          <w:color w:val="auto"/>
          <w:lang w:val="en-US" w:eastAsia="zh-CN"/>
        </w:rPr>
        <w:t>（三）实行预缴方式缴纳增值税的发、供电企业按照隶属关系由独立核算的发、供电企业结算缴纳增值税，具体办法为：</w:t>
      </w:r>
    </w:p>
    <w:p>
      <w:pPr>
        <w:ind w:firstLine="472"/>
        <w:rPr>
          <w:rFonts w:hint="eastAsia"/>
          <w:color w:val="auto"/>
          <w:lang w:val="en-US" w:eastAsia="zh-CN"/>
        </w:rPr>
      </w:pPr>
      <w:r>
        <w:rPr>
          <w:rFonts w:hint="eastAsia"/>
          <w:color w:val="auto"/>
          <w:lang w:val="en-US" w:eastAsia="zh-CN"/>
        </w:rPr>
        <w:t>独立核算的发、供电企业月末依据其全部销售额和进项税额，计算当期增值税应纳税额，并根据发电环节或供电环节预缴的增值税税额，计算应补（退）税额，向其所在地主管税务机关申报纳税。计算公式为：</w:t>
      </w:r>
    </w:p>
    <w:p>
      <w:pPr>
        <w:ind w:firstLine="472"/>
        <w:rPr>
          <w:rFonts w:hint="eastAsia"/>
          <w:color w:val="auto"/>
          <w:lang w:val="en-US" w:eastAsia="zh-CN"/>
        </w:rPr>
      </w:pPr>
      <w:r>
        <w:rPr>
          <w:rFonts w:hint="eastAsia"/>
          <w:color w:val="auto"/>
          <w:lang w:val="en-US" w:eastAsia="zh-CN"/>
        </w:rPr>
        <w:t>应纳税额=销项税额-进项税额</w:t>
      </w:r>
    </w:p>
    <w:p>
      <w:pPr>
        <w:ind w:firstLine="472"/>
        <w:rPr>
          <w:rFonts w:hint="eastAsia"/>
          <w:color w:val="auto"/>
          <w:lang w:val="en-US" w:eastAsia="zh-CN"/>
        </w:rPr>
      </w:pPr>
      <w:r>
        <w:rPr>
          <w:rFonts w:hint="eastAsia"/>
          <w:color w:val="auto"/>
          <w:lang w:val="en-US" w:eastAsia="zh-CN"/>
        </w:rPr>
        <w:t>应补（退）税额=应纳税额-发（供）电环节预缴增值税额</w:t>
      </w:r>
    </w:p>
    <w:p>
      <w:pPr>
        <w:ind w:firstLine="472"/>
        <w:rPr>
          <w:rFonts w:hint="eastAsia"/>
          <w:color w:val="auto"/>
          <w:lang w:val="en-US" w:eastAsia="zh-CN"/>
        </w:rPr>
      </w:pPr>
      <w:r>
        <w:rPr>
          <w:rFonts w:hint="eastAsia"/>
          <w:color w:val="auto"/>
          <w:lang w:val="en-US" w:eastAsia="zh-CN"/>
        </w:rPr>
        <w:t>独立核算的发、供电企业当期销项税额小于进项税额不足抵扣，或应纳税额小于发、供电环节预缴增值税税额形成多交增值税时，其不足抵扣部分和多交增值税额可结转下期抵扣或抵减下期应纳税额。</w:t>
      </w:r>
    </w:p>
    <w:p>
      <w:pPr>
        <w:ind w:firstLine="472"/>
        <w:rPr>
          <w:rFonts w:hint="eastAsia"/>
          <w:color w:val="auto"/>
          <w:lang w:val="en-US" w:eastAsia="zh-CN"/>
        </w:rPr>
      </w:pPr>
      <w:r>
        <w:rPr>
          <w:rFonts w:hint="eastAsia"/>
          <w:color w:val="auto"/>
          <w:lang w:val="en-US" w:eastAsia="zh-CN"/>
        </w:rPr>
        <w:t>（四）发、供电企业的增值税预征率（含定额税率，下同），应根据发、供电企业上期财务核算和纳税情况、考虑当年变动因素测算核定，具体权限如下：</w:t>
      </w:r>
    </w:p>
    <w:p>
      <w:pPr>
        <w:ind w:firstLine="472"/>
        <w:rPr>
          <w:rFonts w:hint="eastAsia"/>
          <w:color w:val="auto"/>
          <w:lang w:val="en-US" w:eastAsia="zh-CN"/>
        </w:rPr>
      </w:pPr>
      <w:r>
        <w:rPr>
          <w:rFonts w:hint="eastAsia"/>
          <w:color w:val="auto"/>
          <w:lang w:val="en-US" w:eastAsia="zh-CN"/>
        </w:rPr>
        <w:t>1.跨省、自治区、直辖市的发、供电企业增值税预征率由预缴增值税的发、供电企业所在地和结算增值税的发、供电企业所在地省、自治区、直辖市、计划单列市税务局共同测算，报国家税务总局核定；</w:t>
      </w:r>
    </w:p>
    <w:p>
      <w:pPr>
        <w:ind w:firstLine="472"/>
        <w:rPr>
          <w:rFonts w:hint="eastAsia"/>
          <w:color w:val="auto"/>
          <w:lang w:val="en-US" w:eastAsia="zh-CN"/>
        </w:rPr>
      </w:pPr>
      <w:r>
        <w:rPr>
          <w:rFonts w:hint="eastAsia"/>
          <w:color w:val="auto"/>
          <w:lang w:val="en-US" w:eastAsia="zh-CN"/>
        </w:rPr>
        <w:t>2.省、自治区、直辖市范围内的发、供电企业增值税预征率由省、自治区、直辖市、计划单列市税务局核定。</w:t>
      </w:r>
    </w:p>
    <w:p>
      <w:pPr>
        <w:ind w:firstLine="472"/>
        <w:rPr>
          <w:rFonts w:hint="eastAsia"/>
          <w:color w:val="auto"/>
          <w:lang w:val="en-US" w:eastAsia="zh-CN"/>
        </w:rPr>
      </w:pPr>
      <w:r>
        <w:rPr>
          <w:rFonts w:hint="eastAsia"/>
          <w:color w:val="auto"/>
          <w:lang w:val="en-US" w:eastAsia="zh-CN"/>
        </w:rPr>
        <w:t>发、供电企业预征率的执行期限由核定预征率的税务机关根据企业生产经营的变化情况确定。</w:t>
      </w:r>
    </w:p>
    <w:p>
      <w:pPr>
        <w:ind w:firstLine="472"/>
        <w:rPr>
          <w:rFonts w:hint="eastAsia"/>
          <w:color w:val="auto"/>
          <w:lang w:val="en-US" w:eastAsia="zh-CN"/>
        </w:rPr>
      </w:pPr>
      <w:r>
        <w:rPr>
          <w:rFonts w:hint="eastAsia"/>
          <w:color w:val="auto"/>
          <w:lang w:val="en-US" w:eastAsia="zh-CN"/>
        </w:rPr>
        <w:t>（五）不同投资、核算体制的机组，由于隶属于各自不同的独立核算企业，应按上述规定分别缴纳增值税。</w:t>
      </w:r>
    </w:p>
    <w:p>
      <w:pPr>
        <w:ind w:firstLine="472"/>
        <w:rPr>
          <w:rFonts w:hint="eastAsia"/>
          <w:color w:val="auto"/>
          <w:lang w:val="en-US" w:eastAsia="zh-CN"/>
        </w:rPr>
      </w:pPr>
      <w:r>
        <w:rPr>
          <w:rFonts w:hint="eastAsia"/>
          <w:color w:val="auto"/>
          <w:lang w:val="en-US" w:eastAsia="zh-CN"/>
        </w:rPr>
        <w:t>（六）对其他企事业单位销售的电力产品，按现行增值税有关规定缴纳增值税。</w:t>
      </w:r>
    </w:p>
    <w:p>
      <w:pPr>
        <w:ind w:firstLine="472"/>
        <w:rPr>
          <w:rFonts w:hint="default"/>
          <w:color w:val="auto"/>
          <w:lang w:val="en-US" w:eastAsia="zh-CN"/>
        </w:rPr>
      </w:pPr>
      <w:r>
        <w:rPr>
          <w:rFonts w:hint="eastAsia"/>
          <w:color w:val="auto"/>
          <w:lang w:val="en-US" w:eastAsia="zh-CN"/>
        </w:rPr>
        <w:t>（七）实行预缴方式缴纳增值税的发、供电企业，销售电力产品取得的未并入上级独立核算发、供电企业统一核算的销售收入，应单独核算并按增值税的有关规定就地申报缴纳增值税。</w:t>
      </w:r>
      <w:r>
        <w:rPr>
          <w:rFonts w:hint="default"/>
          <w:color w:val="auto"/>
          <w:lang w:val="en-US" w:eastAsia="zh-CN"/>
        </w:rPr>
        <w:t>”</w:t>
      </w:r>
    </w:p>
    <w:p>
      <w:pPr>
        <w:ind w:firstLine="472"/>
        <w:rPr>
          <w:rFonts w:hint="eastAsia"/>
          <w:color w:val="auto"/>
          <w:lang w:val="en-US" w:eastAsia="zh-CN"/>
        </w:rPr>
      </w:pPr>
      <w:r>
        <w:rPr>
          <w:rFonts w:hint="eastAsia"/>
          <w:color w:val="auto"/>
          <w:lang w:val="en-US" w:eastAsia="zh-CN"/>
        </w:rPr>
        <w:t>3.《中华人民共和国消费税暂行条例实施细则》（财政部国家税务总局令第51号）第二十四条</w:t>
      </w:r>
    </w:p>
    <w:p>
      <w:pPr>
        <w:ind w:firstLine="472"/>
        <w:rPr>
          <w:rFonts w:hint="eastAsia"/>
          <w:color w:val="auto"/>
          <w:lang w:val="en-US" w:eastAsia="zh-CN"/>
        </w:rPr>
      </w:pPr>
      <w:r>
        <w:rPr>
          <w:rFonts w:hint="default"/>
          <w:color w:val="auto"/>
          <w:lang w:val="en-US" w:eastAsia="zh-CN"/>
        </w:rPr>
        <w:t>“</w:t>
      </w:r>
      <w:r>
        <w:rPr>
          <w:rFonts w:hint="eastAsia"/>
          <w:color w:val="auto"/>
          <w:lang w:val="en-US" w:eastAsia="zh-CN"/>
        </w:rPr>
        <w:t>纳税人到外县（市）销售或者委托外县（市）代销自产应税消费品的，于应税消费品销售后，向机构所在地或者居住地主管税务机关申报纳税。</w:t>
      </w:r>
    </w:p>
    <w:p>
      <w:pPr>
        <w:ind w:firstLine="472"/>
        <w:rPr>
          <w:rFonts w:hint="eastAsia"/>
          <w:color w:val="auto"/>
          <w:lang w:val="en-US" w:eastAsia="zh-CN"/>
        </w:rPr>
      </w:pPr>
      <w:r>
        <w:rPr>
          <w:rFonts w:hint="eastAsia"/>
          <w:color w:val="auto"/>
          <w:lang w:val="en-US" w:eastAsia="zh-CN"/>
        </w:rPr>
        <w:t>纳税人的总机构与分支机构不在同一县（市）的，应当分别向各自机构所在地的主管税务机关申报纳税；经财政部、国家税务总局或者其授权的财政、税务机关批准，可以由总机构汇总向总机构所在地的主管税务机关申报纳税。</w:t>
      </w:r>
    </w:p>
    <w:p>
      <w:pPr>
        <w:ind w:firstLine="472"/>
        <w:rPr>
          <w:rFonts w:hint="eastAsia"/>
          <w:color w:val="auto"/>
          <w:lang w:val="en-US" w:eastAsia="zh-CN"/>
        </w:rPr>
      </w:pPr>
      <w:r>
        <w:rPr>
          <w:rFonts w:hint="eastAsia"/>
          <w:color w:val="auto"/>
          <w:lang w:val="en-US" w:eastAsia="zh-CN"/>
        </w:rPr>
        <w:t>委托个人加工的应税消费品，由委托方向其机构所在地或者居住地主管税务机关申报纳税。</w:t>
      </w:r>
    </w:p>
    <w:p>
      <w:pPr>
        <w:ind w:firstLine="472"/>
        <w:rPr>
          <w:rFonts w:hint="default"/>
          <w:color w:val="auto"/>
          <w:lang w:val="en-US" w:eastAsia="zh-CN"/>
        </w:rPr>
      </w:pPr>
      <w:r>
        <w:rPr>
          <w:rFonts w:hint="eastAsia"/>
          <w:color w:val="auto"/>
          <w:lang w:val="en-US" w:eastAsia="zh-CN"/>
        </w:rPr>
        <w:t>进口的应税消费品，由进口人或者其代理人向报关地海关申报纳税。</w:t>
      </w:r>
      <w:r>
        <w:rPr>
          <w:rFonts w:hint="default"/>
          <w:color w:val="auto"/>
          <w:lang w:val="en-US" w:eastAsia="zh-CN"/>
        </w:rPr>
        <w:t>”</w:t>
      </w:r>
    </w:p>
    <w:p>
      <w:pPr>
        <w:ind w:firstLine="472"/>
        <w:rPr>
          <w:rFonts w:hint="eastAsia"/>
          <w:color w:val="auto"/>
          <w:lang w:val="en-US" w:eastAsia="zh-CN"/>
        </w:rPr>
      </w:pPr>
      <w:r>
        <w:rPr>
          <w:rFonts w:hint="eastAsia"/>
          <w:color w:val="auto"/>
          <w:lang w:val="en-US" w:eastAsia="zh-CN"/>
        </w:rPr>
        <w:t>4.《财政部国家税务总局关于连锁经营企业增值税纳税地点问题的通知》（财税字〔1997〕97号）第一条</w:t>
      </w:r>
    </w:p>
    <w:p>
      <w:pPr>
        <w:ind w:firstLine="472"/>
        <w:rPr>
          <w:rFonts w:hint="eastAsia"/>
          <w:color w:val="auto"/>
          <w:lang w:val="en-US" w:eastAsia="zh-CN"/>
        </w:rPr>
      </w:pPr>
      <w:r>
        <w:rPr>
          <w:rFonts w:hint="default"/>
          <w:color w:val="auto"/>
          <w:lang w:val="en-US" w:eastAsia="zh-CN"/>
        </w:rPr>
        <w:t>“</w:t>
      </w:r>
      <w:r>
        <w:rPr>
          <w:rFonts w:hint="eastAsia"/>
          <w:color w:val="auto"/>
          <w:lang w:val="en-US" w:eastAsia="zh-CN"/>
        </w:rPr>
        <w:t>一、对跨地区经营的直营连锁企业，即连锁店的门店均由总部全资或控股开设，在总部领导下统一经营的连锁企业，凡按照国内贸易部《连锁店经营管理规范意见》（内贸政体法字〔1997〕第24号）的要求，采取微机联网，实行统一采购配送商品，统一核算，统一规范化管理和经营，并符合以下条件的，可对总店和分店实行由总店向其所在地主管税务机关统一申报缴纳增值税：</w:t>
      </w:r>
    </w:p>
    <w:p>
      <w:pPr>
        <w:ind w:firstLine="472"/>
        <w:rPr>
          <w:rFonts w:hint="eastAsia"/>
          <w:color w:val="auto"/>
          <w:lang w:val="en-US" w:eastAsia="zh-CN"/>
        </w:rPr>
      </w:pPr>
      <w:r>
        <w:rPr>
          <w:rFonts w:hint="eastAsia"/>
          <w:color w:val="auto"/>
          <w:lang w:val="en-US" w:eastAsia="zh-CN"/>
        </w:rPr>
        <w:t>1.在直辖市范围内连锁经营的企业，报经直辖市国家税务局会同市财政局审批同意；</w:t>
      </w:r>
    </w:p>
    <w:p>
      <w:pPr>
        <w:ind w:firstLine="472"/>
        <w:rPr>
          <w:rFonts w:hint="eastAsia"/>
          <w:color w:val="auto"/>
          <w:lang w:val="en-US" w:eastAsia="zh-CN"/>
        </w:rPr>
      </w:pPr>
      <w:r>
        <w:rPr>
          <w:rFonts w:hint="eastAsia"/>
          <w:color w:val="auto"/>
          <w:lang w:val="en-US" w:eastAsia="zh-CN"/>
        </w:rPr>
        <w:t>2.在计划单列市范围内连锁经营的企业，报经计划单列市国家税务局会同市财政局审批同意；</w:t>
      </w:r>
    </w:p>
    <w:p>
      <w:pPr>
        <w:ind w:firstLine="472"/>
        <w:rPr>
          <w:rFonts w:hint="eastAsia"/>
          <w:color w:val="auto"/>
          <w:lang w:val="en-US" w:eastAsia="zh-CN"/>
        </w:rPr>
      </w:pPr>
      <w:r>
        <w:rPr>
          <w:rFonts w:hint="eastAsia"/>
          <w:color w:val="auto"/>
          <w:lang w:val="en-US" w:eastAsia="zh-CN"/>
        </w:rPr>
        <w:t>3.在省（自治区）范围内连锁经营的企业，报经省（自治区）国家税务局会同省财政厅审批同意；</w:t>
      </w:r>
    </w:p>
    <w:p>
      <w:pPr>
        <w:ind w:firstLine="472"/>
        <w:rPr>
          <w:rFonts w:hint="default"/>
          <w:color w:val="auto"/>
          <w:lang w:val="en-US" w:eastAsia="zh-CN"/>
        </w:rPr>
      </w:pPr>
      <w:r>
        <w:rPr>
          <w:rFonts w:hint="eastAsia"/>
          <w:color w:val="auto"/>
          <w:lang w:val="en-US" w:eastAsia="zh-CN"/>
        </w:rPr>
        <w:t>4.在同一县（市）范围内连锁经营的企业，报经县（市）国家税务局会同县（市）财政局审批同意。</w:t>
      </w:r>
      <w:r>
        <w:rPr>
          <w:rFonts w:hint="default"/>
          <w:color w:val="auto"/>
          <w:lang w:val="en-US" w:eastAsia="zh-CN"/>
        </w:rPr>
        <w:t>”</w:t>
      </w:r>
    </w:p>
    <w:p>
      <w:pPr>
        <w:ind w:firstLine="472"/>
        <w:rPr>
          <w:rFonts w:hint="eastAsia"/>
          <w:color w:val="auto"/>
          <w:lang w:val="en-US" w:eastAsia="zh-CN"/>
        </w:rPr>
      </w:pPr>
      <w:r>
        <w:rPr>
          <w:rFonts w:hint="eastAsia"/>
          <w:color w:val="auto"/>
          <w:lang w:val="en-US" w:eastAsia="zh-CN"/>
        </w:rPr>
        <w:t>5.《财政部国家税务总局关于固定业户总分支机构增值税汇总纳税有关政策的通知》（财税〔2012〕9号）全文</w:t>
      </w:r>
    </w:p>
    <w:p>
      <w:pPr>
        <w:ind w:firstLine="472"/>
        <w:rPr>
          <w:rFonts w:hint="eastAsia"/>
          <w:color w:val="auto"/>
        </w:rPr>
      </w:pPr>
      <w:r>
        <w:rPr>
          <w:rFonts w:hint="eastAsia"/>
          <w:color w:val="auto"/>
        </w:rPr>
        <w:t>6.《财政部国家税务总局关于消费税纳税人总分支机构汇总缴纳消费税有关政策的通知》（财税〔2012〕42号）全文</w:t>
      </w:r>
    </w:p>
    <w:p>
      <w:pPr>
        <w:ind w:firstLine="472"/>
        <w:rPr>
          <w:rFonts w:hint="eastAsia"/>
          <w:color w:val="auto"/>
        </w:rPr>
      </w:pPr>
      <w:r>
        <w:rPr>
          <w:rFonts w:hint="eastAsia"/>
          <w:color w:val="auto"/>
        </w:rPr>
        <w:t>7.《国家税务总局关于发布〈邮政企业增值税征收管理暂行办法〉的公告》（国家税务总局公告2014年第5号）第一条，第二条，第三条，第八条，第十五条</w:t>
      </w:r>
    </w:p>
    <w:p>
      <w:pPr>
        <w:ind w:firstLine="472"/>
        <w:rPr>
          <w:rFonts w:hint="eastAsia"/>
          <w:color w:val="auto"/>
          <w:lang w:val="en-US" w:eastAsia="zh-CN"/>
        </w:rPr>
      </w:pPr>
      <w:r>
        <w:rPr>
          <w:rFonts w:hint="default"/>
          <w:color w:val="auto"/>
          <w:lang w:val="en-US" w:eastAsia="zh-CN"/>
        </w:rPr>
        <w:t>“</w:t>
      </w:r>
      <w:r>
        <w:rPr>
          <w:rFonts w:hint="eastAsia"/>
          <w:color w:val="auto"/>
          <w:lang w:val="en-US" w:eastAsia="zh-CN"/>
        </w:rPr>
        <w:t>第一条 为规范营业税改征增值税后邮政企业增值税征收管理，根据《中华人民共和国增值税暂行条例》（以下称增值税条例）、《营业税改征增值税试点实施办法》（以下称试点实施办法）及现行增值税有关规定，制定本办法。</w:t>
      </w:r>
      <w:r>
        <w:rPr>
          <w:rFonts w:hint="eastAsia"/>
          <w:color w:val="auto"/>
          <w:lang w:val="en-US" w:eastAsia="zh-CN"/>
        </w:rPr>
        <w:br w:type="textWrapping"/>
      </w:r>
      <w:r>
        <w:rPr>
          <w:rFonts w:hint="eastAsia"/>
          <w:color w:val="auto"/>
          <w:lang w:val="en-US" w:eastAsia="zh-CN"/>
        </w:rPr>
        <w:t>邮政企业，是指中国邮政集团公司所属提供邮政服务的企业。</w:t>
      </w:r>
    </w:p>
    <w:p>
      <w:pPr>
        <w:ind w:firstLine="472"/>
        <w:rPr>
          <w:rFonts w:hint="eastAsia"/>
          <w:color w:val="auto"/>
          <w:lang w:val="en-US" w:eastAsia="zh-CN"/>
        </w:rPr>
      </w:pPr>
      <w:r>
        <w:rPr>
          <w:rFonts w:hint="eastAsia"/>
          <w:color w:val="auto"/>
          <w:lang w:val="en-US" w:eastAsia="zh-CN"/>
        </w:rPr>
        <w:t>第二条 经省、自治区、直辖市或者计划单列市财政厅（局）和税务局批准，可以汇总申报缴纳增值税的邮政企业，适用本办法。</w:t>
      </w:r>
    </w:p>
    <w:p>
      <w:pPr>
        <w:ind w:firstLine="472"/>
        <w:rPr>
          <w:rFonts w:hint="eastAsia"/>
          <w:color w:val="auto"/>
          <w:lang w:val="en-US" w:eastAsia="zh-CN"/>
        </w:rPr>
      </w:pPr>
      <w:r>
        <w:rPr>
          <w:rFonts w:hint="eastAsia"/>
          <w:color w:val="auto"/>
          <w:lang w:val="en-US" w:eastAsia="zh-CN"/>
        </w:rPr>
        <w:t>第三条 各省、自治区、直辖市和计划单列市邮政企业（以下称总机构）应当汇总计算总机构及其所属邮政企业（以下称分支机构）提供邮政服务的增值税应纳税额，抵减分支机构提供邮政服务已缴纳（包括预缴和查补，下同）的增值税额后，向主管税务机关申报纳税。</w:t>
      </w:r>
    </w:p>
    <w:p>
      <w:pPr>
        <w:ind w:firstLine="472"/>
        <w:rPr>
          <w:rFonts w:hint="eastAsia"/>
          <w:color w:val="auto"/>
          <w:lang w:val="en-US" w:eastAsia="zh-CN"/>
        </w:rPr>
      </w:pPr>
      <w:r>
        <w:rPr>
          <w:rFonts w:hint="eastAsia"/>
          <w:color w:val="auto"/>
          <w:lang w:val="en-US" w:eastAsia="zh-CN"/>
        </w:rPr>
        <w:t>总机构发生除邮政服务以外的增值税应税行为，按照增值税条例、试点实施办法及相关规定就地申报纳税。</w:t>
      </w:r>
    </w:p>
    <w:p>
      <w:pPr>
        <w:ind w:firstLine="472"/>
        <w:rPr>
          <w:rFonts w:hint="eastAsia"/>
          <w:color w:val="auto"/>
          <w:lang w:val="en-US" w:eastAsia="zh-CN"/>
        </w:rPr>
      </w:pPr>
      <w:r>
        <w:rPr>
          <w:rFonts w:hint="eastAsia"/>
          <w:color w:val="auto"/>
          <w:lang w:val="en-US" w:eastAsia="zh-CN"/>
        </w:rPr>
        <w:t>第八条 分支机构提供邮政服务，按照销售额和预征率计算应预缴税额，按月向主管税务机关申报纳税，不得抵扣进项税额。计算公式为：</w:t>
      </w:r>
    </w:p>
    <w:p>
      <w:pPr>
        <w:ind w:firstLine="472"/>
        <w:rPr>
          <w:rFonts w:hint="eastAsia"/>
          <w:color w:val="auto"/>
          <w:lang w:val="en-US" w:eastAsia="zh-CN"/>
        </w:rPr>
      </w:pPr>
      <w:r>
        <w:rPr>
          <w:rFonts w:hint="eastAsia"/>
          <w:color w:val="auto"/>
          <w:lang w:val="en-US" w:eastAsia="zh-CN"/>
        </w:rPr>
        <w:t>应预缴税额=（销售额+预订款）×预征率</w:t>
      </w:r>
    </w:p>
    <w:p>
      <w:pPr>
        <w:ind w:firstLine="472"/>
        <w:rPr>
          <w:rFonts w:hint="eastAsia"/>
          <w:color w:val="auto"/>
          <w:lang w:val="en-US" w:eastAsia="zh-CN"/>
        </w:rPr>
      </w:pPr>
      <w:r>
        <w:rPr>
          <w:rFonts w:hint="eastAsia"/>
          <w:color w:val="auto"/>
          <w:lang w:val="en-US" w:eastAsia="zh-CN"/>
        </w:rPr>
        <w:t>销售额为分支机构对外（包括向邮政服务接受方和本总、分支机构外的其他邮政企业）提供邮政服务取得的收入；预订款为分支机构向邮政服务接受方收取的预订款。</w:t>
      </w:r>
    </w:p>
    <w:p>
      <w:pPr>
        <w:ind w:firstLine="472"/>
        <w:rPr>
          <w:rFonts w:hint="eastAsia"/>
          <w:color w:val="auto"/>
          <w:lang w:val="en-US" w:eastAsia="zh-CN"/>
        </w:rPr>
      </w:pPr>
      <w:r>
        <w:rPr>
          <w:rFonts w:hint="eastAsia"/>
          <w:color w:val="auto"/>
          <w:lang w:val="en-US" w:eastAsia="zh-CN"/>
        </w:rPr>
        <w:t>销售额不包括免税项目的销售额；预订款不包括免税项目的预订款。</w:t>
      </w:r>
    </w:p>
    <w:p>
      <w:pPr>
        <w:ind w:firstLine="472"/>
        <w:rPr>
          <w:rFonts w:hint="eastAsia"/>
          <w:color w:val="auto"/>
          <w:lang w:val="en-US" w:eastAsia="zh-CN"/>
        </w:rPr>
      </w:pPr>
      <w:r>
        <w:rPr>
          <w:rFonts w:hint="eastAsia"/>
          <w:color w:val="auto"/>
          <w:lang w:val="en-US" w:eastAsia="zh-CN"/>
        </w:rPr>
        <w:t>分支机构发生除邮政服务以外的增值税应税行为，按照增值税条例、试点实施办法及相关规定就地申报纳税。</w:t>
      </w:r>
    </w:p>
    <w:p>
      <w:pPr>
        <w:ind w:firstLine="472"/>
        <w:rPr>
          <w:rFonts w:hint="default"/>
          <w:color w:val="auto"/>
          <w:lang w:val="en-US" w:eastAsia="zh-CN"/>
        </w:rPr>
      </w:pPr>
      <w:r>
        <w:rPr>
          <w:rFonts w:hint="eastAsia"/>
          <w:color w:val="auto"/>
          <w:lang w:val="en-US" w:eastAsia="zh-CN"/>
        </w:rPr>
        <w:t>第十五条 分支机构的预征率由省、自治区、直辖市或者计划单列市税务局商同级财政部门确定。</w:t>
      </w:r>
      <w:r>
        <w:rPr>
          <w:rFonts w:hint="default"/>
          <w:color w:val="auto"/>
          <w:lang w:val="en-US" w:eastAsia="zh-CN"/>
        </w:rPr>
        <w:t>”</w:t>
      </w:r>
    </w:p>
    <w:p>
      <w:pPr>
        <w:ind w:firstLine="472"/>
        <w:rPr>
          <w:rFonts w:hint="eastAsia"/>
          <w:color w:val="auto"/>
        </w:rPr>
      </w:pPr>
      <w:r>
        <w:rPr>
          <w:rFonts w:hint="eastAsia"/>
          <w:color w:val="auto"/>
        </w:rPr>
        <w:t>《国家税务总局关于发布〈铁路运输企业增值税征收管理暂行办法〉的公告》（国家税务总局公告2014年第6号）第二条，第三条，第四条，第九条</w:t>
      </w:r>
    </w:p>
    <w:p>
      <w:pPr>
        <w:ind w:firstLine="472"/>
        <w:rPr>
          <w:rFonts w:hint="eastAsia"/>
          <w:color w:val="auto"/>
          <w:lang w:val="en-US" w:eastAsia="zh-CN"/>
        </w:rPr>
      </w:pPr>
      <w:r>
        <w:rPr>
          <w:rFonts w:hint="default"/>
          <w:color w:val="auto"/>
          <w:lang w:val="en-US" w:eastAsia="zh-CN"/>
        </w:rPr>
        <w:t>“</w:t>
      </w:r>
      <w:r>
        <w:rPr>
          <w:rFonts w:hint="eastAsia"/>
          <w:color w:val="auto"/>
          <w:lang w:val="en-US" w:eastAsia="zh-CN"/>
        </w:rPr>
        <w:t>第二条经财政部、国家税务总局批准，汇总申报缴纳增值税的中国铁路总公司及其所属运输企业（含下属站段，下同）适用本办法。</w:t>
      </w:r>
    </w:p>
    <w:p>
      <w:pPr>
        <w:ind w:firstLine="472"/>
        <w:rPr>
          <w:rFonts w:hint="eastAsia"/>
          <w:color w:val="auto"/>
          <w:lang w:val="en-US" w:eastAsia="zh-CN"/>
        </w:rPr>
      </w:pPr>
      <w:r>
        <w:rPr>
          <w:rFonts w:hint="eastAsia"/>
          <w:color w:val="auto"/>
          <w:lang w:val="en-US" w:eastAsia="zh-CN"/>
        </w:rPr>
        <w:t>第三条　中国铁路总公司所属运输企业按照本办法规定预缴增值税，中国铁路总公司汇总向机构所在地主管税务机关申报纳税。</w:t>
      </w:r>
    </w:p>
    <w:p>
      <w:pPr>
        <w:ind w:firstLine="472"/>
        <w:rPr>
          <w:rFonts w:hint="eastAsia"/>
          <w:color w:val="auto"/>
          <w:lang w:val="en-US" w:eastAsia="zh-CN"/>
        </w:rPr>
      </w:pPr>
      <w:r>
        <w:rPr>
          <w:rFonts w:hint="eastAsia"/>
          <w:color w:val="auto"/>
          <w:lang w:val="en-US" w:eastAsia="zh-CN"/>
        </w:rPr>
        <w:t>第四条　中国铁路总公司应当汇总计算本部及其所属运输企业提供铁路运输服务以及与铁路运输相关的物流辅助服务（以下称铁路运输及辅助服务）的增值税应纳税额，抵减所属运输企业提供上述应税服务已缴纳（包括预缴和查补，下同）的增值税额后，向主管税务机关申报纳税。</w:t>
      </w:r>
    </w:p>
    <w:p>
      <w:pPr>
        <w:ind w:firstLine="472"/>
        <w:rPr>
          <w:rFonts w:hint="eastAsia"/>
          <w:color w:val="auto"/>
          <w:lang w:val="en-US" w:eastAsia="zh-CN"/>
        </w:rPr>
      </w:pPr>
      <w:r>
        <w:rPr>
          <w:rFonts w:hint="eastAsia"/>
          <w:color w:val="auto"/>
          <w:lang w:val="en-US" w:eastAsia="zh-CN"/>
        </w:rPr>
        <w:t>中国铁路总公司发生除铁路运输及辅助服务以外的增值税应税行为，按照增值税条例、试点实施办法及相关规定就地申报纳税。</w:t>
      </w:r>
    </w:p>
    <w:p>
      <w:pPr>
        <w:ind w:firstLine="472"/>
        <w:rPr>
          <w:rFonts w:hint="eastAsia"/>
          <w:color w:val="auto"/>
          <w:lang w:val="en-US" w:eastAsia="zh-CN"/>
        </w:rPr>
      </w:pPr>
      <w:r>
        <w:rPr>
          <w:rFonts w:hint="eastAsia"/>
          <w:color w:val="auto"/>
          <w:lang w:val="en-US" w:eastAsia="zh-CN"/>
        </w:rPr>
        <w:t>第九条　中国铁路总公司所属运输企业提供铁路运输及辅助服务，按照除铁路建设基金以外的销售额和预征率计算应预缴税额，按月向主管税务机关申报纳税，不得抵扣进项税额。计算公式为：</w:t>
      </w:r>
    </w:p>
    <w:p>
      <w:pPr>
        <w:ind w:firstLine="472"/>
        <w:rPr>
          <w:rFonts w:hint="eastAsia"/>
          <w:color w:val="auto"/>
          <w:lang w:val="en-US" w:eastAsia="zh-CN"/>
        </w:rPr>
      </w:pPr>
      <w:r>
        <w:rPr>
          <w:rFonts w:hint="eastAsia"/>
          <w:color w:val="auto"/>
          <w:lang w:val="en-US" w:eastAsia="zh-CN"/>
        </w:rPr>
        <w:t>应预缴税额=（销售额-铁路建设基金）×预征率</w:t>
      </w:r>
    </w:p>
    <w:p>
      <w:pPr>
        <w:ind w:firstLine="472"/>
        <w:rPr>
          <w:rFonts w:hint="eastAsia"/>
          <w:color w:val="auto"/>
          <w:lang w:val="en-US" w:eastAsia="zh-CN"/>
        </w:rPr>
      </w:pPr>
      <w:r>
        <w:rPr>
          <w:rFonts w:hint="eastAsia"/>
          <w:color w:val="auto"/>
          <w:lang w:val="en-US" w:eastAsia="zh-CN"/>
        </w:rPr>
        <w:t>销售额是指为旅客、托运人、收货人和其他铁路运输企业提供铁路运输及辅助服务取得的收入。</w:t>
      </w:r>
    </w:p>
    <w:p>
      <w:pPr>
        <w:ind w:firstLine="472"/>
        <w:rPr>
          <w:rFonts w:hint="eastAsia"/>
          <w:color w:val="auto"/>
          <w:lang w:val="en-US" w:eastAsia="zh-CN"/>
        </w:rPr>
      </w:pPr>
      <w:r>
        <w:rPr>
          <w:rFonts w:hint="eastAsia"/>
          <w:color w:val="auto"/>
          <w:lang w:val="en-US" w:eastAsia="zh-CN"/>
        </w:rPr>
        <w:t>其他铁路运输企业，是指中国铁路总公司及其所属运输企业以外的铁路运输企业。</w:t>
      </w:r>
    </w:p>
    <w:p>
      <w:pPr>
        <w:ind w:firstLine="472"/>
        <w:rPr>
          <w:rFonts w:hint="default"/>
          <w:color w:val="auto"/>
          <w:lang w:val="en-US" w:eastAsia="zh-CN"/>
        </w:rPr>
      </w:pPr>
      <w:r>
        <w:rPr>
          <w:rFonts w:hint="eastAsia"/>
          <w:color w:val="auto"/>
          <w:lang w:val="en-US" w:eastAsia="zh-CN"/>
        </w:rPr>
        <w:t>中国铁路总公司所属运输企业发生除铁路运输及辅助服务以外的增值税应税行为，按照增值税条例、试点实施办法及相关规定就地申报纳税。</w:t>
      </w:r>
      <w:r>
        <w:rPr>
          <w:rFonts w:hint="default"/>
          <w:color w:val="auto"/>
          <w:lang w:val="en-US" w:eastAsia="zh-CN"/>
        </w:rPr>
        <w:t>”</w:t>
      </w:r>
    </w:p>
    <w:p>
      <w:pPr>
        <w:ind w:firstLine="472"/>
        <w:rPr>
          <w:rFonts w:hint="eastAsia"/>
          <w:color w:val="auto"/>
        </w:rPr>
      </w:pPr>
      <w:r>
        <w:rPr>
          <w:rFonts w:hint="eastAsia"/>
          <w:color w:val="auto"/>
        </w:rPr>
        <w:t>9.《国家税务总局关于发布〈电信企业增值税征收管理暂行办法〉的公告》（国家税务总局公告2014年第26号）第一条，第二条，第三条，第八条，第十四条</w:t>
      </w:r>
    </w:p>
    <w:p>
      <w:pPr>
        <w:ind w:firstLine="472"/>
        <w:rPr>
          <w:rFonts w:hint="eastAsia" w:eastAsia="宋体"/>
          <w:color w:val="auto"/>
          <w:lang w:eastAsia="zh-CN"/>
        </w:rPr>
      </w:pPr>
      <w:r>
        <w:rPr>
          <w:rFonts w:hint="default"/>
          <w:color w:val="auto"/>
          <w:lang w:val="en-US" w:eastAsia="zh-CN"/>
        </w:rPr>
        <w:t>“</w:t>
      </w:r>
      <w:r>
        <w:rPr>
          <w:rFonts w:hint="default"/>
          <w:color w:val="auto"/>
        </w:rPr>
        <w:t>第一条为规范营业税改征增值税后电信企业增值税征收管理，根据《中华人民共和国增值税暂行条例》（以下简称增值税条例）、《营业税改征增值税试点实施办法》（以下简称试点实施办法）及现行增值税有关规定，制定本办法。  </w:t>
      </w:r>
      <w:r>
        <w:rPr>
          <w:rFonts w:hint="default"/>
          <w:color w:val="auto"/>
        </w:rPr>
        <w:br w:type="textWrapping"/>
      </w:r>
      <w:r>
        <w:rPr>
          <w:rFonts w:hint="default"/>
          <w:color w:val="auto"/>
        </w:rPr>
        <w:t>电信企业，是指中国电信集团公司、中国移动通信集团公司、中国联合网络通信集团有限公司所属提供电信服务的企业。</w:t>
      </w:r>
    </w:p>
    <w:p>
      <w:pPr>
        <w:ind w:firstLine="472"/>
        <w:rPr>
          <w:rFonts w:hint="eastAsia" w:eastAsia="宋体"/>
          <w:color w:val="auto"/>
          <w:lang w:eastAsia="zh-CN"/>
        </w:rPr>
      </w:pPr>
      <w:r>
        <w:rPr>
          <w:rFonts w:hint="default"/>
          <w:color w:val="auto"/>
        </w:rPr>
        <w:t>第二条经省、自治区、直辖市或者计划单列市财政厅（局）和国家税务局批准，可以汇总申报缴纳增值税的电信企业，适用本办法。</w:t>
      </w:r>
    </w:p>
    <w:p>
      <w:pPr>
        <w:ind w:firstLine="472"/>
        <w:rPr>
          <w:rFonts w:hint="eastAsia" w:eastAsia="宋体"/>
          <w:color w:val="auto"/>
          <w:lang w:eastAsia="zh-CN"/>
        </w:rPr>
      </w:pPr>
      <w:r>
        <w:rPr>
          <w:rFonts w:hint="default"/>
          <w:color w:val="auto"/>
        </w:rPr>
        <w:t>第三条各省、自治区、直辖市和计划单列市电信企业（以下简称总机构，具体名单见附件1）应当汇总计算总机构及其所属电信企业（以下简称分支机构）提供电信服务及其他应税服务的增值税应纳税额，抵减分支机构提供电信服务及其他应税服务已缴纳（包括预缴和查补，下同）的增值税额后，向主管税务机关申报纳税。</w:t>
      </w:r>
    </w:p>
    <w:p>
      <w:pPr>
        <w:ind w:firstLine="472"/>
        <w:rPr>
          <w:rFonts w:hint="eastAsia" w:eastAsia="宋体"/>
          <w:color w:val="auto"/>
          <w:lang w:eastAsia="zh-CN"/>
        </w:rPr>
      </w:pPr>
      <w:r>
        <w:rPr>
          <w:rFonts w:hint="default"/>
          <w:color w:val="auto"/>
        </w:rPr>
        <w:t>总机构发生除电信服务及其他应税服务以外的增值税应税行为，按照增值税条例及相关规定就地申报纳税。</w:t>
      </w:r>
    </w:p>
    <w:p>
      <w:pPr>
        <w:ind w:firstLine="472"/>
        <w:rPr>
          <w:rFonts w:hint="eastAsia" w:eastAsia="宋体"/>
          <w:color w:val="auto"/>
          <w:lang w:eastAsia="zh-CN"/>
        </w:rPr>
      </w:pPr>
      <w:r>
        <w:rPr>
          <w:rFonts w:hint="eastAsia"/>
          <w:color w:val="auto"/>
        </w:rPr>
        <w:t>第八条</w:t>
      </w:r>
      <w:r>
        <w:rPr>
          <w:rFonts w:hint="default"/>
          <w:color w:val="auto"/>
        </w:rPr>
        <w:t>分支机构提供电信服务及其他应税服务，按照销售额和预征率计算应预缴税额，按月向主管税务机关申报纳税，不得抵扣进项税额。计算公式为：</w:t>
      </w:r>
    </w:p>
    <w:p>
      <w:pPr>
        <w:ind w:firstLine="472"/>
        <w:rPr>
          <w:rFonts w:hint="eastAsia" w:eastAsia="宋体"/>
          <w:color w:val="auto"/>
          <w:lang w:eastAsia="zh-CN"/>
        </w:rPr>
      </w:pPr>
      <w:r>
        <w:rPr>
          <w:rFonts w:hint="default"/>
          <w:color w:val="auto"/>
        </w:rPr>
        <w:t>应预缴税额=（销售额＋预收款）×预征率</w:t>
      </w:r>
    </w:p>
    <w:p>
      <w:pPr>
        <w:ind w:firstLine="472"/>
        <w:rPr>
          <w:rFonts w:hint="eastAsia" w:eastAsia="宋体"/>
          <w:color w:val="auto"/>
          <w:lang w:eastAsia="zh-CN"/>
        </w:rPr>
      </w:pPr>
      <w:r>
        <w:rPr>
          <w:rFonts w:hint="default"/>
          <w:color w:val="auto"/>
        </w:rPr>
        <w:t>销售额为分支机构对外（包括向电信服务及其他应税服务接受方和本总机构、分支机构外的其他电信企业）提供电信服务及其他应税服务取得的收入；预收款为分支机构以销售电信充值卡（储值卡）、预存话费等方式收取的预收性质的款项。</w:t>
      </w:r>
    </w:p>
    <w:p>
      <w:pPr>
        <w:ind w:firstLine="472"/>
        <w:rPr>
          <w:rFonts w:hint="eastAsia" w:eastAsia="宋体"/>
          <w:color w:val="auto"/>
          <w:lang w:eastAsia="zh-CN"/>
        </w:rPr>
      </w:pPr>
      <w:r>
        <w:rPr>
          <w:rFonts w:hint="default"/>
          <w:color w:val="auto"/>
        </w:rPr>
        <w:t>销售额不包括免税项目的销售额；预收款不包括免税项目的预收款。</w:t>
      </w:r>
    </w:p>
    <w:p>
      <w:pPr>
        <w:ind w:firstLine="472"/>
        <w:rPr>
          <w:rFonts w:hint="eastAsia" w:eastAsia="宋体"/>
          <w:color w:val="auto"/>
          <w:lang w:eastAsia="zh-CN"/>
        </w:rPr>
      </w:pPr>
      <w:r>
        <w:rPr>
          <w:rFonts w:hint="default"/>
          <w:color w:val="auto"/>
        </w:rPr>
        <w:t>分支机构发生除电信服务及其他应税服务以外的增值税应税行为，按照增值税条例及相关规定就地申报纳税。</w:t>
      </w:r>
    </w:p>
    <w:p>
      <w:pPr>
        <w:ind w:firstLine="472"/>
        <w:rPr>
          <w:rFonts w:hint="eastAsia"/>
          <w:color w:val="auto"/>
          <w:lang w:val="en-US" w:eastAsia="zh-CN"/>
        </w:rPr>
      </w:pPr>
      <w:r>
        <w:rPr>
          <w:rFonts w:hint="eastAsia"/>
          <w:color w:val="auto"/>
        </w:rPr>
        <w:t>第十四条</w:t>
      </w:r>
      <w:r>
        <w:rPr>
          <w:rFonts w:hint="default"/>
          <w:color w:val="auto"/>
        </w:rPr>
        <w:t>分支机构的预征率由省、自治区、直辖市或者计划单列市国家税务局商同级财政部门确定。</w:t>
      </w:r>
      <w:r>
        <w:rPr>
          <w:rFonts w:hint="default"/>
          <w:color w:val="auto"/>
          <w:lang w:val="en-US" w:eastAsia="zh-CN"/>
        </w:rPr>
        <w:t>”</w:t>
      </w:r>
    </w:p>
    <w:p>
      <w:pPr>
        <w:ind w:firstLine="472"/>
        <w:rPr>
          <w:rFonts w:hint="eastAsia"/>
          <w:color w:val="auto"/>
        </w:rPr>
      </w:pPr>
      <w:r>
        <w:rPr>
          <w:rFonts w:hint="eastAsia"/>
          <w:color w:val="auto"/>
        </w:rPr>
        <w:t>10.《国家税务总局关于贯彻落实〈国务院关于取消非行政许可审批事项的决定〉的通知》（税总发〔2015〕74号）附件2</w:t>
      </w:r>
    </w:p>
    <w:p>
      <w:pPr>
        <w:ind w:firstLine="472"/>
        <w:rPr>
          <w:rFonts w:hint="eastAsia"/>
          <w:color w:val="auto"/>
        </w:rPr>
      </w:pPr>
      <w:r>
        <w:rPr>
          <w:rFonts w:hint="eastAsia"/>
          <w:color w:val="auto"/>
        </w:rPr>
        <w:t>11.《财政部国家税务总局关于全面推开营业税改征增值税试点的通知》（财税〔2016〕36号）附件1第四十六条第一款</w:t>
      </w:r>
    </w:p>
    <w:p>
      <w:pPr>
        <w:ind w:firstLine="472"/>
        <w:rPr>
          <w:rFonts w:hint="eastAsia"/>
          <w:color w:val="auto"/>
          <w:lang w:val="en-US" w:eastAsia="zh-CN"/>
        </w:rPr>
      </w:pPr>
      <w:r>
        <w:rPr>
          <w:rFonts w:hint="default"/>
          <w:color w:val="auto"/>
          <w:lang w:val="en-US" w:eastAsia="zh-CN"/>
        </w:rPr>
        <w:t>“</w:t>
      </w:r>
      <w:r>
        <w:rPr>
          <w:rFonts w:hint="eastAsia"/>
          <w:color w:val="auto"/>
        </w:rPr>
        <w:t>（一）固定业户应当向其机构所在地或者居住地主管税务机关申报纳税。总机构和分支机构不在同一县（市）的，应当分别向各自所在地的主管税务机关申报纳税；经财政部和国家税务总局或者其授权的财政和税务机关批准，可以由总机构汇总向总机构所在地的主管税务机关申报纳税。</w:t>
      </w:r>
      <w:r>
        <w:rPr>
          <w:rFonts w:hint="default"/>
          <w:color w:val="auto"/>
          <w:lang w:val="en-US" w:eastAsia="zh-CN"/>
        </w:rPr>
        <w:t>”</w:t>
      </w:r>
    </w:p>
    <w:p>
      <w:pPr>
        <w:ind w:firstLine="472"/>
        <w:rPr>
          <w:rFonts w:hint="eastAsia"/>
          <w:color w:val="auto"/>
        </w:rPr>
      </w:pPr>
      <w:r>
        <w:rPr>
          <w:rFonts w:hint="eastAsia"/>
          <w:color w:val="auto"/>
        </w:rPr>
        <w:t>《国家税务总局关于全面推开营业税改征增值税试点有关税收征收管理事项的公告》（国家税务总局公告2016年第23号）第六条第一款</w:t>
      </w:r>
    </w:p>
    <w:p>
      <w:pPr>
        <w:ind w:firstLine="472"/>
        <w:rPr>
          <w:rFonts w:hint="eastAsia"/>
          <w:color w:val="auto"/>
          <w:lang w:val="en-US" w:eastAsia="zh-CN"/>
        </w:rPr>
      </w:pPr>
      <w:r>
        <w:rPr>
          <w:rFonts w:hint="default"/>
          <w:color w:val="auto"/>
          <w:lang w:val="en-US" w:eastAsia="zh-CN"/>
        </w:rPr>
        <w:t>“</w:t>
      </w:r>
      <w:r>
        <w:rPr>
          <w:rFonts w:hint="eastAsia"/>
          <w:color w:val="auto"/>
          <w:lang w:val="en-US" w:eastAsia="zh-CN"/>
        </w:rPr>
        <w:t>（一）原以地市一级机构汇总缴纳营业税的金融机构，营改增后继续以地市一级机构汇总缴纳增值税。</w:t>
      </w:r>
    </w:p>
    <w:p>
      <w:pPr>
        <w:ind w:firstLine="472"/>
        <w:rPr>
          <w:rFonts w:hint="default"/>
          <w:color w:val="auto"/>
          <w:lang w:val="en-US" w:eastAsia="zh-CN"/>
        </w:rPr>
      </w:pPr>
      <w:r>
        <w:rPr>
          <w:rFonts w:hint="eastAsia"/>
          <w:color w:val="auto"/>
          <w:lang w:val="en-US" w:eastAsia="zh-CN"/>
        </w:rPr>
        <w:t>同一省(自治区、直辖市、计划单列市)范围内的金融机构，经省(自治区、直辖市、计划单列市)税务局和财政厅(局)批准，可以由总机构汇总向总机构所在地的主管税务机关申报缴纳增值税。</w:t>
      </w:r>
      <w:r>
        <w:rPr>
          <w:rFonts w:hint="default"/>
          <w:color w:val="auto"/>
          <w:lang w:val="en-US" w:eastAsia="zh-CN"/>
        </w:rPr>
        <w:t>”</w:t>
      </w:r>
    </w:p>
    <w:p>
      <w:pPr>
        <w:ind w:firstLine="472"/>
        <w:rPr>
          <w:rFonts w:hint="eastAsia"/>
          <w:color w:val="auto"/>
        </w:rPr>
      </w:pPr>
      <w:r>
        <w:rPr>
          <w:rFonts w:hint="eastAsia"/>
          <w:color w:val="auto"/>
          <w:lang w:val="en-US" w:eastAsia="zh-CN"/>
        </w:rPr>
        <w:t>13.《</w:t>
      </w:r>
      <w:r>
        <w:rPr>
          <w:rFonts w:hint="eastAsia"/>
          <w:color w:val="auto"/>
        </w:rPr>
        <w:t>国家税务总局关于取消一批税务证明事项的决定》（国家税务总局令第46号）全文</w:t>
      </w:r>
    </w:p>
    <w:p>
      <w:pPr>
        <w:ind w:firstLine="472"/>
        <w:rPr>
          <w:rFonts w:hint="eastAsia"/>
          <w:color w:val="auto"/>
        </w:rPr>
      </w:pPr>
      <w:r>
        <w:rPr>
          <w:rFonts w:hint="eastAsia"/>
          <w:color w:val="auto"/>
        </w:rPr>
        <w:t>14.《国家税务总局关于进一步优化增值税消费税有关涉税事项办理程序的公告》（国家税务总局公告2017年第36号）第二条</w:t>
      </w:r>
    </w:p>
    <w:p>
      <w:pPr>
        <w:ind w:firstLine="472"/>
        <w:rPr>
          <w:rFonts w:hint="default"/>
          <w:color w:val="auto"/>
          <w:lang w:val="en-US" w:eastAsia="zh-CN"/>
        </w:rPr>
      </w:pPr>
      <w:r>
        <w:rPr>
          <w:rFonts w:hint="default"/>
          <w:color w:val="auto"/>
          <w:lang w:val="en-US" w:eastAsia="zh-CN"/>
        </w:rPr>
        <w:t>“</w:t>
      </w:r>
      <w:r>
        <w:rPr>
          <w:rFonts w:hint="eastAsia"/>
          <w:color w:val="auto"/>
          <w:lang w:val="en-US" w:eastAsia="zh-CN"/>
        </w:rPr>
        <w:t>自2017年11月1日起，纳税人同时申请汇总缴纳增值税和消费税的，在汇总纳税申请资料中予以说明即可，不需要就增值税、消费税分别报送申请资料。</w:t>
      </w:r>
      <w:r>
        <w:rPr>
          <w:rFonts w:hint="default"/>
          <w:color w:val="auto"/>
          <w:lang w:val="en-US" w:eastAsia="zh-CN"/>
        </w:rPr>
        <w:t>”</w:t>
      </w:r>
    </w:p>
    <w:p>
      <w:pPr>
        <w:pStyle w:val="3"/>
        <w:ind w:left="0" w:leftChars="0" w:firstLine="552" w:firstLineChars="200"/>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296"/>
        <w:gridCol w:w="97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296"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972"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纳税人申请报告</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296"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97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pageBreakBefore w:val="0"/>
        <w:widowControl w:val="0"/>
        <w:numPr>
          <w:ilvl w:val="0"/>
          <w:numId w:val="4"/>
        </w:numPr>
        <w:kinsoku/>
        <w:wordWrap/>
        <w:overflowPunct/>
        <w:topLinePunct w:val="0"/>
        <w:autoSpaceDE/>
        <w:autoSpaceDN/>
        <w:bidi w:val="0"/>
        <w:adjustRightInd/>
        <w:snapToGrid/>
        <w:spacing w:line="240" w:lineRule="auto"/>
        <w:ind w:firstLine="552"/>
        <w:textAlignment w:val="auto"/>
        <w:rPr>
          <w:color w:val="auto"/>
        </w:rPr>
      </w:pPr>
      <w:r>
        <w:rPr>
          <w:color w:val="auto"/>
        </w:rPr>
        <w:t>办理流程</w:t>
      </w:r>
    </w:p>
    <w:p>
      <w:pPr>
        <w:pageBreakBefore w:val="0"/>
        <w:widowControl w:val="0"/>
        <w:numPr>
          <w:ilvl w:val="0"/>
          <w:numId w:val="0"/>
        </w:numPr>
        <w:kinsoku/>
        <w:wordWrap/>
        <w:overflowPunct/>
        <w:topLinePunct w:val="0"/>
        <w:autoSpaceDE/>
        <w:autoSpaceDN/>
        <w:bidi w:val="0"/>
        <w:adjustRightInd/>
        <w:snapToGrid/>
        <w:spacing w:line="240" w:lineRule="auto"/>
        <w:textAlignment w:val="auto"/>
        <w:rPr>
          <w:color w:val="auto"/>
        </w:rPr>
      </w:pPr>
      <w:r>
        <w:rPr>
          <w:color w:val="auto"/>
        </w:rPr>
        <w:object>
          <v:shape id="_x0000_i1145" o:spt="75" type="#_x0000_t75" style="height:159.75pt;width:403.8pt;" o:ole="t" filled="f" o:preferrelative="t" stroked="f" coordsize="21600,21600">
            <v:path/>
            <v:fill on="f" focussize="0,0"/>
            <v:stroke on="f"/>
            <v:imagedata r:id="rId11" o:title=""/>
            <o:lock v:ext="edit" aspectratio="t"/>
            <w10:wrap type="none"/>
            <w10:anchorlock/>
          </v:shape>
          <o:OLEObject Type="Embed" ProgID="Visio.Drawing.11" ShapeID="_x0000_i1145" DrawAspect="Content" ObjectID="_1468075725" r:id="rId10">
            <o:LockedField>false</o:LockedField>
          </o:OLEObject>
        </w:object>
      </w:r>
    </w:p>
    <w:p>
      <w:pPr>
        <w:pStyle w:val="3"/>
        <w:ind w:firstLine="552"/>
        <w:rPr>
          <w:rFonts w:hint="eastAsia"/>
          <w:color w:val="auto"/>
        </w:rPr>
      </w:pPr>
      <w:r>
        <w:rPr>
          <w:rFonts w:hint="eastAsia"/>
          <w:color w:val="auto"/>
        </w:rPr>
        <w:t>七、办理时限</w:t>
      </w:r>
    </w:p>
    <w:p>
      <w:pPr>
        <w:pStyle w:val="49"/>
        <w:numPr>
          <w:ilvl w:val="0"/>
          <w:numId w:val="0"/>
        </w:numPr>
        <w:ind w:left="472" w:leftChars="0"/>
        <w:rPr>
          <w:color w:val="auto"/>
        </w:rPr>
      </w:pPr>
      <w:r>
        <w:rPr>
          <w:rFonts w:hint="eastAsia"/>
          <w:color w:val="auto"/>
        </w:rPr>
        <w:t>资料齐全、符合法定形式的，税务机关受理后20个工作日</w:t>
      </w:r>
      <w:r>
        <w:rPr>
          <w:rFonts w:hint="eastAsia"/>
          <w:color w:val="auto"/>
          <w:lang w:eastAsia="zh-CN"/>
        </w:rPr>
        <w:t>办结。</w:t>
      </w:r>
    </w:p>
    <w:p>
      <w:pPr>
        <w:pStyle w:val="3"/>
        <w:ind w:left="0" w:leftChars="0" w:firstLine="552" w:firstLineChars="200"/>
        <w:rPr>
          <w:color w:val="auto"/>
        </w:rPr>
      </w:pPr>
      <w:r>
        <w:rPr>
          <w:rFonts w:hint="eastAsia"/>
          <w:color w:val="auto"/>
        </w:rPr>
        <w:t>八、表证单书</w:t>
      </w:r>
    </w:p>
    <w:p>
      <w:pPr>
        <w:ind w:firstLine="472"/>
        <w:rPr>
          <w:rFonts w:hint="eastAsia"/>
          <w:color w:val="auto"/>
          <w:lang w:val="en-US" w:eastAsia="zh-CN"/>
        </w:rPr>
      </w:pPr>
      <w:r>
        <w:rPr>
          <w:rFonts w:hint="eastAsia"/>
          <w:color w:val="auto"/>
          <w:lang w:val="en-US" w:eastAsia="zh-CN"/>
        </w:rPr>
        <w:t>无。</w:t>
      </w:r>
    </w:p>
    <w:p>
      <w:pPr>
        <w:pStyle w:val="3"/>
        <w:ind w:firstLine="552"/>
        <w:rPr>
          <w:color w:val="auto"/>
        </w:rPr>
      </w:pPr>
      <w:r>
        <w:rPr>
          <w:rFonts w:hint="eastAsia"/>
          <w:color w:val="auto"/>
        </w:rPr>
        <w:t>九、注意事项</w:t>
      </w:r>
    </w:p>
    <w:p>
      <w:pPr>
        <w:ind w:firstLine="472"/>
        <w:rPr>
          <w:rFonts w:hint="eastAsia"/>
          <w:color w:val="auto"/>
          <w:lang w:val="en-US" w:eastAsia="zh-CN"/>
        </w:rPr>
      </w:pPr>
      <w:r>
        <w:rPr>
          <w:rFonts w:hint="eastAsia"/>
          <w:color w:val="auto"/>
          <w:lang w:val="en-US" w:eastAsia="zh-CN"/>
        </w:rPr>
        <w:t>1.自2017年11月1日起，纳税人同时申请汇总缴纳增值税和消费税的，在汇总纳税申请资料中予以说明即可，不需要就增值税、消费税分别报送申请资料。</w:t>
      </w:r>
    </w:p>
    <w:p>
      <w:pPr>
        <w:ind w:firstLine="472"/>
        <w:rPr>
          <w:rFonts w:hint="eastAsia"/>
          <w:color w:val="auto"/>
          <w:lang w:val="en-US" w:eastAsia="zh-CN"/>
        </w:rPr>
      </w:pPr>
      <w:r>
        <w:rPr>
          <w:rFonts w:hint="eastAsia"/>
          <w:color w:val="auto"/>
          <w:lang w:val="en-US" w:eastAsia="zh-CN"/>
        </w:rPr>
        <w:t>2.纳税人自行留存备查批准设立分支机构的文件，无需由市场监管部门另外出具证明。</w:t>
      </w:r>
    </w:p>
    <w:p>
      <w:pPr>
        <w:ind w:firstLine="472"/>
        <w:rPr>
          <w:rFonts w:hint="eastAsia"/>
          <w:color w:val="auto"/>
        </w:rPr>
      </w:pPr>
      <w:r>
        <w:rPr>
          <w:rFonts w:hint="eastAsia"/>
          <w:color w:val="auto"/>
          <w:lang w:val="en-US" w:eastAsia="zh-CN"/>
        </w:rPr>
        <w:t>3</w:t>
      </w:r>
      <w:r>
        <w:rPr>
          <w:rFonts w:hint="eastAsia"/>
          <w:color w:val="auto"/>
        </w:rPr>
        <w:t>.纳税人对报送资料的真实性和合法性承担责任。</w:t>
      </w:r>
    </w:p>
    <w:p>
      <w:pPr>
        <w:ind w:firstLine="472"/>
        <w:rPr>
          <w:rFonts w:hint="eastAsia"/>
          <w:color w:val="auto"/>
        </w:rPr>
      </w:pPr>
      <w:r>
        <w:rPr>
          <w:rFonts w:hint="eastAsia"/>
          <w:color w:val="auto"/>
          <w:lang w:val="en-US" w:eastAsia="zh-CN"/>
        </w:rPr>
        <w:t>4.</w:t>
      </w:r>
      <w:r>
        <w:rPr>
          <w:rFonts w:hint="eastAsia"/>
          <w:color w:val="auto"/>
        </w:rPr>
        <w:t>最多跑一次是在资料完整且符合法定受理条件的前提下，最多只需要到税务机关跑一次。</w:t>
      </w:r>
    </w:p>
    <w:p>
      <w:pPr>
        <w:ind w:firstLine="472"/>
        <w:rPr>
          <w:rFonts w:hint="default"/>
          <w:color w:val="auto"/>
          <w:lang w:val="en-US" w:eastAsia="zh-CN"/>
        </w:rPr>
      </w:pPr>
      <w:r>
        <w:rPr>
          <w:rFonts w:hint="eastAsia"/>
          <w:color w:val="auto"/>
          <w:lang w:val="en-US" w:eastAsia="zh-CN"/>
        </w:rPr>
        <w:t>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8AD6C9"/>
    <w:multiLevelType w:val="singleLevel"/>
    <w:tmpl w:val="D08AD6C9"/>
    <w:lvl w:ilvl="0" w:tentative="0">
      <w:start w:val="6"/>
      <w:numFmt w:val="chineseCounting"/>
      <w:suff w:val="nothing"/>
      <w:lvlText w:val="%1、"/>
      <w:lvlJc w:val="left"/>
      <w:rPr>
        <w:rFonts w:hint="eastAsia"/>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1A5C7C"/>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2019-10-31T04:55:22Z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