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9178"/>
      <w:r>
        <w:rPr>
          <w:rFonts w:hint="eastAsia" w:ascii="黑体" w:hAnsi="黑体"/>
          <w:color w:val="auto"/>
        </w:rPr>
        <w:t>1.3.14.1土地增值税预征申报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土地增值税预征申报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color w:val="auto"/>
        </w:rPr>
        <w:t>1.纳税人在项目全部竣工结算前转让房地产取得的收入，由于涉及成本确定或其他原因，而无法据以计算土地增值税的，可以预征土地增值税，待该项目全部竣工、办理结算后再进行清算，多退少补。</w:t>
      </w:r>
    </w:p>
    <w:p>
      <w:pPr>
        <w:ind w:firstLine="472"/>
        <w:rPr>
          <w:color w:val="auto"/>
        </w:rPr>
      </w:pPr>
      <w:r>
        <w:rPr>
          <w:color w:val="auto"/>
        </w:rPr>
        <w:t>2.纳税人在项目全部竣工结算前，由于涉及成本确定或其他原因而无法据以计算土地增值税的，应当依照税收法律、法规、规章及其他有关规定，填报《土地增值税项目登记表》，向税务机关进行纳税申报，预缴土地增值税。</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1.《中华人民共和国税收征收管理法》第二十五条第一款</w:t>
      </w:r>
    </w:p>
    <w:p>
      <w:pPr>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color w:val="auto"/>
        </w:rPr>
      </w:pPr>
      <w:r>
        <w:rPr>
          <w:color w:val="auto"/>
        </w:rPr>
        <w:t>2.《中华人民共和国土地增值税暂行条例》第二条</w:t>
      </w:r>
    </w:p>
    <w:p>
      <w:pPr>
        <w:ind w:firstLine="472"/>
        <w:rPr>
          <w:color w:val="auto"/>
        </w:rPr>
      </w:pPr>
      <w:r>
        <w:rPr>
          <w:rFonts w:hint="eastAsia"/>
          <w:color w:val="auto"/>
        </w:rPr>
        <w:t>“转让国有土地使用权、地上的建筑物及其附着物（以下简称转让房地产）并取得收入的单位和个人，为土地增值税的纳税义务人（以下简称纳税人），应当依照本条例缴纳土地增值税。”</w:t>
      </w:r>
    </w:p>
    <w:p>
      <w:pPr>
        <w:ind w:firstLine="472"/>
        <w:rPr>
          <w:color w:val="auto"/>
        </w:rPr>
      </w:pPr>
      <w:r>
        <w:rPr>
          <w:color w:val="auto"/>
        </w:rPr>
        <w:t>3.《中华人民共和国土地增值税暂行条例实施细则》第十五条</w:t>
      </w:r>
    </w:p>
    <w:p>
      <w:pPr>
        <w:ind w:firstLine="472"/>
        <w:rPr>
          <w:color w:val="auto"/>
        </w:rPr>
      </w:pPr>
      <w:r>
        <w:rPr>
          <w:rFonts w:hint="eastAsia"/>
          <w:color w:val="auto"/>
        </w:rPr>
        <w:t>“根据条例第十条的规定，纳税人应按照下列程序办理纳税手续：</w:t>
      </w:r>
    </w:p>
    <w:p>
      <w:pPr>
        <w:ind w:firstLine="472"/>
        <w:rPr>
          <w:color w:val="auto"/>
        </w:rPr>
      </w:pPr>
      <w:r>
        <w:rPr>
          <w:rFonts w:hint="eastAsia"/>
          <w:color w:val="auto"/>
        </w:rPr>
        <w:t>（一）纳税人应在转让房地产合同签订后的七日内，到房地产所在地主管税务机关办理纳税申报，并向税务机关提交房屋及建筑物产权、土地使用权证书，土地转让、房产买卖合同，房地产评估报告及其他与转让房地产有关的资料。</w:t>
      </w:r>
    </w:p>
    <w:p>
      <w:pPr>
        <w:ind w:firstLine="472"/>
        <w:rPr>
          <w:color w:val="auto"/>
        </w:rPr>
      </w:pPr>
      <w:r>
        <w:rPr>
          <w:rFonts w:hint="eastAsia"/>
          <w:color w:val="auto"/>
        </w:rPr>
        <w:t>纳税人因经常发生房地产转让而难以在每次转让后申报的，经税务机关审核同意后，可以定期进行纳税申报，具体期限由税务机关根据情况确定。</w:t>
      </w:r>
    </w:p>
    <w:p>
      <w:pPr>
        <w:ind w:firstLine="472"/>
        <w:rPr>
          <w:color w:val="auto"/>
        </w:rPr>
      </w:pPr>
      <w:r>
        <w:rPr>
          <w:rFonts w:hint="eastAsia"/>
          <w:color w:val="auto"/>
        </w:rPr>
        <w:t>（二）纳税人按照税务机关核定的税额及规定的期限缴纳土地增值税。”</w:t>
      </w:r>
    </w:p>
    <w:p>
      <w:pPr>
        <w:ind w:firstLine="472"/>
        <w:rPr>
          <w:rFonts w:hint="eastAsia" w:eastAsia="宋体"/>
          <w:color w:val="auto"/>
          <w:lang w:eastAsia="zh-CN"/>
        </w:rPr>
      </w:pPr>
      <w:r>
        <w:rPr>
          <w:color w:val="auto"/>
        </w:rPr>
        <w:t>4.《中华人民共和国土地增值税暂行条例实施细则》第十六条</w:t>
      </w:r>
    </w:p>
    <w:p>
      <w:pPr>
        <w:ind w:firstLine="472"/>
        <w:rPr>
          <w:color w:val="auto"/>
        </w:rPr>
      </w:pPr>
      <w:r>
        <w:rPr>
          <w:rFonts w:hint="eastAsia"/>
          <w:color w:val="auto"/>
        </w:rPr>
        <w:t>“纳税人在项目全部竣工结算前转让房地产取得的收入，由于涉及成本确定或其他原因，而无法据以计算土地增值税的，可以预征土地增值税，待该项目全部竣工、办理结算后再进行清算，多退少补。具体办法由各省、自治区、直辖市地方税务局根据当地情况制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2"/>
              <w:widowControl/>
              <w:spacing w:line="280" w:lineRule="exact"/>
              <w:ind w:firstLine="352"/>
              <w:jc w:val="both"/>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rPr>
                <w:color w:val="auto"/>
                <w:sz w:val="18"/>
                <w:szCs w:val="18"/>
              </w:rPr>
            </w:pPr>
            <w:r>
              <w:rPr>
                <w:rFonts w:hint="eastAsia" w:cs="宋体"/>
                <w:color w:val="auto"/>
                <w:kern w:val="0"/>
                <w:sz w:val="18"/>
                <w:szCs w:val="18"/>
              </w:rPr>
              <w:t>《土地增值税纳税申报表（一）》（从事房地产开发的纳税人预征适用）</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57" o:spid="_x0000_s1057" o:spt="75" type="#_x0000_t75" style="position:absolute;left:0pt;margin-left:8.6pt;margin-top:16.6pt;height:104.45pt;width:439.3pt;mso-wrap-distance-bottom:0pt;mso-wrap-distance-left:9pt;mso-wrap-distance-right:9pt;mso-wrap-distance-top:0pt;z-index:25176268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57"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1.</w:t>
      </w:r>
      <w:r>
        <w:rPr>
          <w:rFonts w:ascii="宋体" w:hAnsi="宋体" w:eastAsia="宋体" w:cs="Times New Roman"/>
          <w:bCs w:val="0"/>
          <w:color w:val="auto"/>
          <w:sz w:val="24"/>
          <w:szCs w:val="22"/>
        </w:rPr>
        <w:t>A06549《土地增值税纳税申报表（一）（从事房地产开发的纳税人预征适用）》</w:t>
      </w:r>
    </w:p>
    <w:p>
      <w:pPr>
        <w:pStyle w:val="3"/>
        <w:ind w:firstLine="552"/>
        <w:rPr>
          <w:color w:val="auto"/>
        </w:rPr>
      </w:pPr>
      <w:r>
        <w:rPr>
          <w:rFonts w:hint="eastAsia"/>
          <w:color w:val="auto"/>
        </w:rPr>
        <w:t>九、注意事项</w:t>
      </w:r>
    </w:p>
    <w:p>
      <w:pPr>
        <w:ind w:firstLine="472"/>
        <w:rPr>
          <w:color w:val="auto"/>
        </w:rPr>
      </w:pPr>
      <w:r>
        <w:rPr>
          <w:rFonts w:hint="eastAsia"/>
          <w:color w:val="auto"/>
        </w:rPr>
        <w:t>1.我省关于土地增值税预征率的规定：</w:t>
      </w:r>
    </w:p>
    <w:p>
      <w:pPr>
        <w:ind w:firstLine="472"/>
        <w:rPr>
          <w:color w:val="auto"/>
        </w:rPr>
      </w:pPr>
      <w:r>
        <w:rPr>
          <w:rFonts w:hint="eastAsia"/>
          <w:color w:val="auto"/>
        </w:rPr>
        <w:t>房地产开发企业转让房地产项目，对价格在</w:t>
      </w:r>
      <w:r>
        <w:rPr>
          <w:color w:val="auto"/>
        </w:rPr>
        <w:t>20000元/平方米（含）以上的单套房屋，预征率为6%。</w:t>
      </w:r>
    </w:p>
    <w:p>
      <w:pPr>
        <w:ind w:firstLine="472"/>
        <w:rPr>
          <w:color w:val="auto"/>
        </w:rPr>
      </w:pPr>
      <w:r>
        <w:rPr>
          <w:rFonts w:hint="eastAsia"/>
          <w:color w:val="auto"/>
        </w:rPr>
        <w:t>房地产开发企业转让房地产项目，价格在</w:t>
      </w:r>
      <w:r>
        <w:rPr>
          <w:color w:val="auto"/>
        </w:rPr>
        <w:t>20000元/平方米以下的单套房屋，预征率按不同项目分别确定：普通标准住宅1.5%；除普通标准住宅以外的其他住宅3.5%；</w:t>
      </w:r>
    </w:p>
    <w:p>
      <w:pPr>
        <w:ind w:firstLine="472"/>
        <w:rPr>
          <w:color w:val="auto"/>
        </w:rPr>
      </w:pPr>
      <w:r>
        <w:rPr>
          <w:rFonts w:hint="eastAsia"/>
          <w:color w:val="auto"/>
        </w:rPr>
        <w:t>2.除上述（一）、（二）项以外的其他房地产项目</w:t>
      </w:r>
      <w:r>
        <w:rPr>
          <w:color w:val="auto"/>
        </w:rPr>
        <w:t>4.5%。</w:t>
      </w:r>
    </w:p>
    <w:p>
      <w:pPr>
        <w:ind w:firstLine="472"/>
        <w:rPr>
          <w:color w:val="auto"/>
        </w:rPr>
      </w:pPr>
      <w:r>
        <w:rPr>
          <w:rFonts w:hint="eastAsia"/>
          <w:color w:val="auto"/>
        </w:rPr>
        <w:t>3.经济适用房预征率按</w:t>
      </w:r>
      <w:r>
        <w:rPr>
          <w:color w:val="auto"/>
        </w:rPr>
        <w:t>0.5%执行。</w:t>
      </w:r>
    </w:p>
    <w:p>
      <w:pPr>
        <w:ind w:firstLine="472"/>
        <w:rPr>
          <w:color w:val="auto"/>
        </w:rPr>
      </w:pPr>
      <w:r>
        <w:rPr>
          <w:rFonts w:hint="eastAsia"/>
          <w:color w:val="auto"/>
        </w:rPr>
        <w:t>4</w:t>
      </w:r>
      <w:r>
        <w:rPr>
          <w:color w:val="auto"/>
        </w:rPr>
        <w:t>.纳税人对报送资料的真实性和合法性承担责任。</w:t>
      </w:r>
    </w:p>
    <w:p>
      <w:pPr>
        <w:ind w:firstLine="472"/>
        <w:rPr>
          <w:rFonts w:hint="eastAsia"/>
          <w:color w:val="auto"/>
        </w:rPr>
      </w:pPr>
      <w:r>
        <w:rPr>
          <w:rFonts w:hint="eastAsia"/>
          <w:color w:val="auto"/>
        </w:rPr>
        <w:t>5</w:t>
      </w:r>
      <w:r>
        <w:rPr>
          <w:color w:val="auto"/>
        </w:rPr>
        <w:t>.最多跑一次是在资料完整且符合法定受理条件的前提下，最多只需要到税务机关跑一次。</w:t>
      </w:r>
    </w:p>
    <w:p>
      <w:pPr>
        <w:ind w:firstLine="472"/>
        <w:rPr>
          <w:color w:val="auto"/>
        </w:rPr>
      </w:pPr>
      <w:r>
        <w:rPr>
          <w:rFonts w:hint="eastAsia"/>
          <w:color w:val="auto"/>
        </w:rPr>
        <w:t>6.</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BE25271"/>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2019-10-31T06:25:47Z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