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3876"/>
      <w:r>
        <w:rPr>
          <w:rFonts w:hint="eastAsia" w:ascii="黑体" w:hAnsi="黑体" w:cs="黑体"/>
          <w:color w:val="auto"/>
        </w:rPr>
        <w:t>1.1.6.6注销税务登记</w:t>
      </w:r>
      <w:bookmarkEnd w:id="0"/>
    </w:p>
    <w:p>
      <w:pPr>
        <w:pStyle w:val="3"/>
        <w:ind w:firstLine="552"/>
        <w:rPr>
          <w:color w:val="auto"/>
        </w:rPr>
      </w:pPr>
      <w:r>
        <w:rPr>
          <w:color w:val="auto"/>
        </w:rPr>
        <w:t>一、事项名称</w:t>
      </w:r>
    </w:p>
    <w:p>
      <w:pPr>
        <w:ind w:firstLine="472"/>
        <w:rPr>
          <w:color w:val="auto"/>
        </w:rPr>
      </w:pPr>
      <w:r>
        <w:rPr>
          <w:rFonts w:hint="eastAsia"/>
          <w:color w:val="auto"/>
        </w:rPr>
        <w:t>注销税务登记</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办结方式：条件即办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pStyle w:val="48"/>
        <w:numPr>
          <w:ilvl w:val="0"/>
          <w:numId w:val="4"/>
        </w:numPr>
        <w:ind w:firstLineChars="0"/>
        <w:rPr>
          <w:color w:val="auto"/>
        </w:rPr>
      </w:pPr>
      <w:r>
        <w:rPr>
          <w:rFonts w:hint="eastAsia"/>
          <w:color w:val="auto"/>
        </w:rPr>
        <w:t>适用层级：县(市、区)级</w:t>
      </w:r>
    </w:p>
    <w:p>
      <w:pPr>
        <w:pStyle w:val="48"/>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color w:val="auto"/>
        </w:rPr>
      </w:pPr>
      <w:r>
        <w:rPr>
          <w:rFonts w:hint="eastAsia"/>
          <w:color w:val="auto"/>
        </w:rPr>
        <w:t>纳税人发生以下情形的，向主管税务机关申报办理注销税务登记：</w:t>
      </w:r>
    </w:p>
    <w:p>
      <w:pPr>
        <w:ind w:firstLine="472"/>
        <w:rPr>
          <w:rFonts w:hint="eastAsia"/>
          <w:color w:val="auto"/>
        </w:rPr>
      </w:pPr>
      <w:r>
        <w:rPr>
          <w:rFonts w:hint="eastAsia"/>
          <w:color w:val="auto"/>
        </w:rPr>
        <w:t>1.纳税人发生解散、破产、撤销以及其他情形，依法终止纳税义务的；</w:t>
      </w:r>
    </w:p>
    <w:p>
      <w:pPr>
        <w:ind w:firstLine="472"/>
        <w:rPr>
          <w:rFonts w:hint="eastAsia"/>
          <w:color w:val="auto"/>
        </w:rPr>
      </w:pPr>
      <w:r>
        <w:rPr>
          <w:rFonts w:hint="eastAsia"/>
          <w:color w:val="auto"/>
        </w:rPr>
        <w:t>2.按规定不需要在工商行政管理机关或者其他机关办理注销登记的，但经有关机关批准或者宣告终止的；</w:t>
      </w:r>
    </w:p>
    <w:p>
      <w:pPr>
        <w:ind w:firstLine="472"/>
        <w:rPr>
          <w:rFonts w:hint="eastAsia"/>
          <w:color w:val="auto"/>
        </w:rPr>
      </w:pPr>
      <w:r>
        <w:rPr>
          <w:rFonts w:hint="eastAsia"/>
          <w:color w:val="auto"/>
        </w:rPr>
        <w:t>3.纳税人被工商行政管理机关吊销营业执照或者被其他机关予以撤销登记的；</w:t>
      </w:r>
    </w:p>
    <w:p>
      <w:pPr>
        <w:ind w:firstLine="472"/>
        <w:rPr>
          <w:rFonts w:hint="eastAsia"/>
          <w:color w:val="auto"/>
        </w:rPr>
      </w:pPr>
      <w:r>
        <w:rPr>
          <w:rFonts w:hint="eastAsia"/>
          <w:color w:val="auto"/>
        </w:rPr>
        <w:t>4.境外企业在中国境内承包建筑、安装、装配、勘探工程和提供劳务的，项目完工、离开中国的；</w:t>
      </w:r>
    </w:p>
    <w:p>
      <w:pPr>
        <w:ind w:firstLine="472"/>
        <w:rPr>
          <w:rFonts w:hint="eastAsia"/>
          <w:color w:val="auto"/>
        </w:rPr>
      </w:pPr>
      <w:r>
        <w:rPr>
          <w:rFonts w:hint="eastAsia"/>
          <w:color w:val="auto"/>
        </w:rPr>
        <w:t>5.外国企业常驻代表机构驻在期届满、提前终止业务活动的；</w:t>
      </w:r>
    </w:p>
    <w:p>
      <w:pPr>
        <w:ind w:firstLine="472"/>
        <w:rPr>
          <w:rFonts w:hint="eastAsia"/>
          <w:color w:val="auto"/>
        </w:rPr>
      </w:pPr>
      <w:r>
        <w:rPr>
          <w:rFonts w:hint="eastAsia"/>
          <w:color w:val="auto"/>
        </w:rPr>
        <w:t>6.非境内注册居民企业经确认终止居民身份的。</w:t>
      </w:r>
    </w:p>
    <w:p>
      <w:pPr>
        <w:ind w:firstLine="472"/>
        <w:rPr>
          <w:color w:val="auto"/>
        </w:rPr>
      </w:pPr>
      <w:r>
        <w:rPr>
          <w:rFonts w:hint="eastAsia"/>
          <w:color w:val="auto"/>
        </w:rPr>
        <w:t>该事项不适用实施“一照一码”、“两证整合”的纳税人。</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1.《中华人民共和国税收征收管理法》第十六条</w:t>
      </w:r>
    </w:p>
    <w:p>
      <w:pPr>
        <w:ind w:firstLine="472"/>
        <w:rPr>
          <w:color w:val="auto"/>
        </w:rPr>
      </w:pPr>
      <w:r>
        <w:rPr>
          <w:rFonts w:hint="eastAsia"/>
          <w:color w:val="auto"/>
        </w:rPr>
        <w:t>“第十六条 从事生产、经营的纳税人，税务登记内容发生变化的，自工商行政管理机关办理变更登记之日起三十日内或者在向工商行政管理机关申请办理注销登记之前，持有关证件向税务机关申报办理变更或者注销税务登记。”</w:t>
      </w:r>
    </w:p>
    <w:p>
      <w:pPr>
        <w:ind w:firstLine="472"/>
        <w:rPr>
          <w:color w:val="auto"/>
        </w:rPr>
      </w:pPr>
      <w:r>
        <w:rPr>
          <w:rFonts w:hint="eastAsia"/>
          <w:color w:val="auto"/>
        </w:rPr>
        <w:t>2.《中华人民共和国税收征收管理法实施细则》第十五条</w:t>
      </w:r>
    </w:p>
    <w:p>
      <w:pPr>
        <w:ind w:firstLine="472"/>
        <w:rPr>
          <w:color w:val="auto"/>
        </w:rPr>
      </w:pPr>
      <w:r>
        <w:rPr>
          <w:rFonts w:hint="eastAsia"/>
          <w:color w:val="auto"/>
        </w:rPr>
        <w:t>“第十五条　纳税人发生解散、破产、撤销以及其他情形，依法终止纳税义务的，应当在向工商行政管理机关或者其他机关办理注销登记前，持有关证件向原税务登记机关申报办理注销税务登记；按照规定不需要在工商行政管理机关或者其他机关办理注册登记的，应当自有关机关批准或者宣告终止之日起１５日内，持有关证件向原税务登记机关申报办理注销税务登记。</w:t>
      </w:r>
    </w:p>
    <w:p>
      <w:pPr>
        <w:ind w:firstLine="472"/>
        <w:rPr>
          <w:color w:val="auto"/>
        </w:rPr>
      </w:pPr>
      <w:r>
        <w:rPr>
          <w:rFonts w:hint="eastAsia"/>
          <w:color w:val="auto"/>
        </w:rPr>
        <w:t>纳税人因住所、经营地点变动，涉及改变税务登记机关的，应当在向工商行政管理机关或者其他机关申请办理变更或者注销登记前或者住所、经营地点变动前，向原税务登记机关申报办理注销税务登记，并在３０日内向迁达地税务机关申报办理税务登记。</w:t>
      </w:r>
    </w:p>
    <w:p>
      <w:pPr>
        <w:ind w:firstLine="472"/>
        <w:rPr>
          <w:color w:val="auto"/>
        </w:rPr>
      </w:pPr>
      <w:r>
        <w:rPr>
          <w:rFonts w:hint="eastAsia"/>
          <w:color w:val="auto"/>
        </w:rPr>
        <w:t>纳税人被工商行政管理机关吊销营业执照或者被其他机关予以撤销登记的，应当自营业执照被吊销或者被撤销登记之日起１５日内，向原税务登记机关申报办理注销税务登记。”</w:t>
      </w:r>
    </w:p>
    <w:p>
      <w:pPr>
        <w:ind w:firstLine="472"/>
        <w:rPr>
          <w:color w:val="auto"/>
        </w:rPr>
      </w:pPr>
      <w:r>
        <w:rPr>
          <w:rFonts w:hint="eastAsia"/>
          <w:color w:val="auto"/>
        </w:rPr>
        <w:t>3.《税务登记管理办法》（国家税务总局令第7号公布，国家税务总局令第36号、第44号、第48号修改）第五章</w:t>
      </w:r>
    </w:p>
    <w:p>
      <w:pPr>
        <w:ind w:firstLine="472"/>
        <w:rPr>
          <w:color w:val="auto"/>
        </w:rPr>
      </w:pPr>
      <w:r>
        <w:rPr>
          <w:rFonts w:hint="eastAsia"/>
          <w:color w:val="auto"/>
        </w:rPr>
        <w:t>“第五章 注销登记 </w:t>
      </w:r>
    </w:p>
    <w:p>
      <w:pPr>
        <w:ind w:firstLine="472"/>
        <w:rPr>
          <w:color w:val="auto"/>
        </w:rPr>
      </w:pPr>
      <w:r>
        <w:rPr>
          <w:rFonts w:hint="eastAsia"/>
          <w:color w:val="auto"/>
        </w:rPr>
        <w:t>第二十八条 纳税人发生解散、破产、撤销以及其他情形，依法终止纳税义务的，应当在向工商行政管理机关或者其他机关办理注销登记前，持有关证件和资料向原税务登记机关申报办理注销税务登记；按规定不需要在工商行政管理机关或者其他机关办理注册登记的，应当自有关机关批准或者宣告终止之日起15日内，持有关证件和资料向原税务登记机关申报办理注销税务登记。 </w:t>
      </w:r>
    </w:p>
    <w:p>
      <w:pPr>
        <w:ind w:firstLine="472"/>
        <w:rPr>
          <w:color w:val="auto"/>
        </w:rPr>
      </w:pPr>
      <w:r>
        <w:rPr>
          <w:rFonts w:hint="eastAsia"/>
          <w:color w:val="auto"/>
        </w:rPr>
        <w:t>纳税人被工商行政管理机关吊销营业执照或者被其他机关予以撤销登记的，应当自营业执照被吊销或者被撤销登记之日起15日内，向原税务登记机关申报办理注销税务登记。 </w:t>
      </w:r>
    </w:p>
    <w:p>
      <w:pPr>
        <w:ind w:firstLine="472"/>
        <w:rPr>
          <w:color w:val="auto"/>
        </w:rPr>
      </w:pPr>
      <w:r>
        <w:rPr>
          <w:rFonts w:hint="eastAsia"/>
          <w:color w:val="auto"/>
        </w:rPr>
        <w:t>第二十九条 纳税人因住所、经营地点变动，涉及改变税务登记机关的，应当在向工商行政管理机关或者其他机关申请办理变更、注销登记前，或者住所、经营地点变动前，持有关证件和资料，向原税务登记机关申报办理注销税务登记，并自注销税务登记之日起30日内向迁达地税务机关申报办理税务登记。 </w:t>
      </w:r>
    </w:p>
    <w:p>
      <w:pPr>
        <w:ind w:firstLine="472"/>
        <w:rPr>
          <w:color w:val="auto"/>
        </w:rPr>
      </w:pPr>
      <w:r>
        <w:rPr>
          <w:rFonts w:hint="eastAsia"/>
          <w:color w:val="auto"/>
        </w:rPr>
        <w:t>第三十条 境外企业在中国境内承包建筑、安装、装配、勘探工程和提供劳务的，应当在项目完工、离开中国前15日内，持有关证件和资料，向原税务登记机关申报办理注销税务登记。 </w:t>
      </w:r>
    </w:p>
    <w:p>
      <w:pPr>
        <w:ind w:firstLine="472"/>
        <w:rPr>
          <w:color w:val="auto"/>
        </w:rPr>
      </w:pPr>
      <w:r>
        <w:rPr>
          <w:rFonts w:hint="eastAsia"/>
          <w:color w:val="auto"/>
        </w:rPr>
        <w:t>第三十一条 纳税人办理注销税务登记前，应当向税务机关提交相关证明文件和资料，结清应纳税款、多退（免）税款、滞纳金和罚款，缴销发票、税务登记证件和其他税务证件，经税务机关核准后，办理注销税务登记手续。”</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8"/>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8"/>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8"/>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《注销税务登记申请审批表》</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2</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《税务登记证》正、副本、《临时税务登记证》正、副本和其他税务证件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未启用统一社会信用代码的纳税人报送，实行实名办税的纳税人免予报送</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收缴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3</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《发票领用簿》</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已发放过《发票领用簿》纳税人报送，实行实名办税的纳税人免予报送</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收缴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4</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税</w:t>
            </w:r>
            <w:r>
              <w:rPr>
                <w:rFonts w:ascii="宋体" w:hAnsi="宋体" w:eastAsia="宋体" w:cs="宋体"/>
                <w:color w:val="auto"/>
                <w:sz w:val="18"/>
                <w:szCs w:val="18"/>
              </w:rPr>
              <w:t>控设备</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w:t>
            </w:r>
            <w:r>
              <w:rPr>
                <w:rFonts w:ascii="宋体" w:hAnsi="宋体" w:eastAsia="宋体" w:cs="宋体"/>
                <w:color w:val="auto"/>
                <w:sz w:val="18"/>
                <w:szCs w:val="18"/>
              </w:rPr>
              <w:t>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使用</w:t>
            </w:r>
            <w:r>
              <w:rPr>
                <w:rFonts w:ascii="宋体" w:hAnsi="宋体" w:eastAsia="宋体" w:cs="宋体"/>
                <w:color w:val="auto"/>
                <w:sz w:val="18"/>
                <w:szCs w:val="18"/>
              </w:rPr>
              <w:t>增值税税控系统的增值税纳税人</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收</w:t>
            </w:r>
            <w:r>
              <w:rPr>
                <w:rFonts w:ascii="宋体" w:hAnsi="宋体" w:eastAsia="宋体" w:cs="宋体"/>
                <w:color w:val="auto"/>
                <w:sz w:val="18"/>
                <w:szCs w:val="18"/>
              </w:rPr>
              <w:t>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5</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上级主管部门批复文件或董事会决议复印件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单位纳税人，实行实名办税的纳税人免予报送</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6</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项目完工证明、验收证明等相关文件复印件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非居民企业在中国境内承包工程作业或提供劳务且项目完工报送，实行实名办税的纳税人免予报送</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7</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市场监督管理部门吊销营业执照决定复印件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被吊销营业执照报送，实行实名办税的纳税人免予报送</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8</w:t>
            </w:r>
          </w:p>
        </w:tc>
        <w:tc>
          <w:tcPr>
            <w:tcW w:w="2551"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民事裁定书或民事判决书复印件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法院裁定破产的纳税人</w:t>
            </w:r>
          </w:p>
        </w:tc>
        <w:tc>
          <w:tcPr>
            <w:tcW w:w="1134" w:type="dxa"/>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46" o:spt="75" type="#_x0000_t75" style="height:168.3pt;width:437.85pt;" o:ole="t" filled="f" o:preferrelative="t" stroked="f" coordsize="21600,21600">
            <v:path/>
            <v:fill on="f" focussize="0,0"/>
            <v:stroke on="f" joinstyle="miter"/>
            <v:imagedata r:id="rId7" o:title=""/>
            <o:lock v:ext="edit" aspectratio="f"/>
            <w10:wrap type="none"/>
            <w10:anchorlock/>
          </v:shape>
          <o:OLEObject Type="Embed" ProgID="Visio.Drawing.11" ShapeID="_x0000_i1046" DrawAspect="Content" ObjectID="_1468075725" r:id="rId6">
            <o:LockedField>false</o:LockedField>
          </o:OLEObject>
        </w:object>
      </w:r>
    </w:p>
    <w:p>
      <w:pPr>
        <w:ind w:firstLine="0" w:firstLineChars="0"/>
        <w:rPr>
          <w:color w:val="auto"/>
        </w:rPr>
      </w:pPr>
    </w:p>
    <w:p>
      <w:pPr>
        <w:pStyle w:val="3"/>
        <w:ind w:firstLine="552"/>
        <w:rPr>
          <w:color w:val="auto"/>
        </w:rPr>
      </w:pPr>
      <w:r>
        <w:rPr>
          <w:rFonts w:hint="eastAsia"/>
          <w:color w:val="auto"/>
        </w:rPr>
        <w:t>七、办理时限</w:t>
      </w:r>
    </w:p>
    <w:p>
      <w:pPr>
        <w:ind w:firstLine="471" w:firstLineChars="0"/>
        <w:rPr>
          <w:rFonts w:hint="eastAsia"/>
          <w:color w:val="auto"/>
        </w:rPr>
      </w:pPr>
      <w:r>
        <w:rPr>
          <w:rFonts w:hint="eastAsia"/>
          <w:color w:val="auto"/>
        </w:rPr>
        <w:t>资料齐全、符合法定形式的，税务机关受理后，增值税一般纳税人注销一般流程为10个工作日；增值税小规模纳税人和其他纳税人一般流程为5个工作日；符合即办条件的情况为即办。</w:t>
      </w:r>
    </w:p>
    <w:p>
      <w:pPr>
        <w:ind w:firstLine="471" w:firstLineChars="0"/>
        <w:rPr>
          <w:rFonts w:hint="eastAsia"/>
          <w:color w:val="auto"/>
        </w:rPr>
      </w:pPr>
      <w:r>
        <w:rPr>
          <w:rFonts w:hint="eastAsia"/>
          <w:color w:val="auto"/>
        </w:rPr>
        <w:t>税务机关在注销核查、检查过程中发现以下情形的，办理时限中止：</w:t>
      </w:r>
    </w:p>
    <w:p>
      <w:pPr>
        <w:ind w:firstLine="471" w:firstLineChars="0"/>
        <w:rPr>
          <w:rFonts w:hint="eastAsia"/>
          <w:color w:val="auto"/>
        </w:rPr>
      </w:pPr>
      <w:r>
        <w:rPr>
          <w:rFonts w:hint="eastAsia"/>
          <w:color w:val="auto"/>
        </w:rPr>
        <w:t>一是发现涉嫌偷、骗、抗税或虚开发票等重大事项的；</w:t>
      </w:r>
    </w:p>
    <w:p>
      <w:pPr>
        <w:ind w:firstLine="471" w:firstLineChars="0"/>
        <w:rPr>
          <w:rFonts w:hint="eastAsia"/>
          <w:color w:val="auto"/>
        </w:rPr>
      </w:pPr>
      <w:r>
        <w:rPr>
          <w:rFonts w:hint="eastAsia"/>
          <w:color w:val="auto"/>
        </w:rPr>
        <w:t>二是需要进行特别纳税调整的；</w:t>
      </w:r>
    </w:p>
    <w:p>
      <w:pPr>
        <w:ind w:firstLine="471" w:firstLineChars="0"/>
        <w:rPr>
          <w:rFonts w:hint="eastAsia"/>
          <w:color w:val="auto"/>
        </w:rPr>
      </w:pPr>
      <w:r>
        <w:rPr>
          <w:rFonts w:hint="eastAsia"/>
          <w:color w:val="auto"/>
        </w:rPr>
        <w:t>三是国家税务总局规定的其他中止情形。</w:t>
      </w:r>
    </w:p>
    <w:p>
      <w:pPr>
        <w:ind w:firstLine="471" w:firstLineChars="0"/>
        <w:rPr>
          <w:rFonts w:hint="eastAsia"/>
          <w:color w:val="auto"/>
        </w:rPr>
      </w:pPr>
      <w:r>
        <w:rPr>
          <w:rFonts w:hint="eastAsia"/>
          <w:color w:val="auto"/>
        </w:rPr>
        <w:t>纳税人在税务注销办理过程中确有必要补充、补正相关资料的，办理时限可以中止，但只能中止一次，且时限最长不超过5个工作日。</w:t>
      </w:r>
    </w:p>
    <w:p>
      <w:pPr>
        <w:ind w:firstLine="471" w:firstLineChars="0"/>
        <w:rPr>
          <w:color w:val="auto"/>
        </w:rPr>
      </w:pPr>
      <w:r>
        <w:rPr>
          <w:rFonts w:hint="eastAsia"/>
          <w:color w:val="auto"/>
        </w:rPr>
        <w:t>注销中止后，注销办理期限中止计算，中止情形结束后继续计算。</w:t>
      </w:r>
    </w:p>
    <w:p>
      <w:pPr>
        <w:pStyle w:val="3"/>
        <w:ind w:firstLine="552"/>
        <w:rPr>
          <w:color w:val="auto"/>
        </w:rPr>
      </w:pPr>
      <w:r>
        <w:rPr>
          <w:rFonts w:hint="eastAsia"/>
          <w:color w:val="auto"/>
        </w:rPr>
        <w:t>八、表证单书</w:t>
      </w:r>
    </w:p>
    <w:p>
      <w:pPr>
        <w:ind w:firstLine="472"/>
        <w:rPr>
          <w:color w:val="auto"/>
        </w:rPr>
      </w:pPr>
      <w:r>
        <w:rPr>
          <w:rFonts w:hint="eastAsia"/>
          <w:color w:val="auto"/>
        </w:rPr>
        <w:t>1.A01013《注销税务登记申请审批表》(A01013《注销税务登记申请审批表》（填写样例）)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1.分类注销受理标准</w:t>
      </w:r>
    </w:p>
    <w:p>
      <w:pPr>
        <w:ind w:firstLine="472"/>
        <w:rPr>
          <w:rFonts w:hint="eastAsia"/>
          <w:color w:val="auto"/>
        </w:rPr>
      </w:pPr>
      <w:r>
        <w:rPr>
          <w:rFonts w:hint="eastAsia"/>
          <w:color w:val="auto"/>
        </w:rPr>
        <w:t>（1）即办注销。</w:t>
      </w:r>
    </w:p>
    <w:p>
      <w:pPr>
        <w:ind w:firstLine="472"/>
        <w:rPr>
          <w:rFonts w:hint="eastAsia"/>
          <w:color w:val="auto"/>
        </w:rPr>
      </w:pPr>
      <w:r>
        <w:rPr>
          <w:rFonts w:hint="eastAsia"/>
          <w:color w:val="auto"/>
        </w:rPr>
        <w:t>——纳税人向市场监管部门申请一般注销，税务机关在为其办理税务注销时，对无在查、无欠税（含滞纳金）及罚款、已缴销发票及税控专用设备、无其他未办结涉税事项,且符合下列情形之一的纳税人，实行注销即办。由纳税服务部门即时出具注销文书，纳税人也可通过电子税务局即时打印注销文书。</w:t>
      </w:r>
    </w:p>
    <w:p>
      <w:pPr>
        <w:ind w:firstLine="472"/>
        <w:rPr>
          <w:rFonts w:hint="eastAsia"/>
          <w:color w:val="auto"/>
        </w:rPr>
      </w:pPr>
      <w:r>
        <w:rPr>
          <w:rFonts w:hint="eastAsia"/>
          <w:color w:val="auto"/>
        </w:rPr>
        <w:t xml:space="preserve">①纳税信用级别为A级和B级的纳税人； </w:t>
      </w:r>
    </w:p>
    <w:p>
      <w:pPr>
        <w:ind w:firstLine="472"/>
        <w:rPr>
          <w:rFonts w:hint="eastAsia"/>
          <w:color w:val="auto"/>
        </w:rPr>
      </w:pPr>
      <w:r>
        <w:rPr>
          <w:rFonts w:hint="eastAsia"/>
          <w:color w:val="auto"/>
        </w:rPr>
        <w:t>②控股母公司纳税信用级别为A级的M级纳税人；</w:t>
      </w:r>
    </w:p>
    <w:p>
      <w:pPr>
        <w:ind w:firstLine="472"/>
        <w:rPr>
          <w:rFonts w:hint="eastAsia"/>
          <w:color w:val="auto"/>
        </w:rPr>
      </w:pPr>
      <w:r>
        <w:rPr>
          <w:rFonts w:hint="eastAsia"/>
          <w:color w:val="auto"/>
        </w:rPr>
        <w:t>③省级人民政府引进人才或经省级以上行业协会等机构认定的行业领军人才等创办的企业；</w:t>
      </w:r>
    </w:p>
    <w:p>
      <w:pPr>
        <w:ind w:firstLine="472"/>
        <w:rPr>
          <w:rFonts w:hint="eastAsia"/>
          <w:color w:val="auto"/>
        </w:rPr>
      </w:pPr>
      <w:r>
        <w:rPr>
          <w:rFonts w:hint="eastAsia"/>
          <w:color w:val="auto"/>
        </w:rPr>
        <w:t xml:space="preserve">④未纳入纳税信用级别评价的定期定额个体工商户； </w:t>
      </w:r>
    </w:p>
    <w:p>
      <w:pPr>
        <w:ind w:firstLine="472"/>
        <w:rPr>
          <w:rFonts w:hint="eastAsia"/>
          <w:color w:val="auto"/>
        </w:rPr>
      </w:pPr>
      <w:r>
        <w:rPr>
          <w:rFonts w:hint="eastAsia"/>
          <w:color w:val="auto"/>
        </w:rPr>
        <w:t>⑤未达到增值税纳税起征点的纳税人。</w:t>
      </w:r>
    </w:p>
    <w:p>
      <w:pPr>
        <w:ind w:firstLine="472"/>
        <w:rPr>
          <w:rFonts w:hint="eastAsia"/>
          <w:color w:val="auto"/>
        </w:rPr>
      </w:pPr>
      <w:r>
        <w:rPr>
          <w:rFonts w:hint="eastAsia"/>
          <w:color w:val="auto"/>
        </w:rPr>
        <w:t>——未办理过涉税事宜的纳税人，主动到税务机关办理清税的，税务机关可根据纳税人提供的营业执照即时出具清税文书。</w:t>
      </w:r>
    </w:p>
    <w:p>
      <w:pPr>
        <w:ind w:firstLine="472"/>
        <w:rPr>
          <w:rFonts w:hint="eastAsia"/>
          <w:color w:val="auto"/>
        </w:rPr>
      </w:pPr>
      <w:r>
        <w:rPr>
          <w:rFonts w:hint="eastAsia"/>
          <w:color w:val="auto"/>
        </w:rPr>
        <w:t>——办理过涉税事宜但未领用发票、无欠税（滞纳金）及罚款的纳税人，主动到税务机关办理清税，资料齐全的，税务机关即时出具清税文书。</w:t>
      </w:r>
    </w:p>
    <w:p>
      <w:pPr>
        <w:ind w:firstLine="472"/>
        <w:rPr>
          <w:rFonts w:hint="eastAsia"/>
          <w:color w:val="auto"/>
        </w:rPr>
      </w:pPr>
      <w:r>
        <w:rPr>
          <w:rFonts w:hint="eastAsia"/>
          <w:color w:val="auto"/>
        </w:rPr>
        <w:t>——经人民法院裁定宣告破产的纳税人，持人民法院终结破产程序裁定书向税务机关申请税务注销的，税务机关即时出具清税文书，按照有关规定核销“死欠”，即时办理注销。</w:t>
      </w:r>
    </w:p>
    <w:p>
      <w:pPr>
        <w:ind w:firstLine="472"/>
        <w:rPr>
          <w:rFonts w:hint="eastAsia"/>
          <w:color w:val="auto"/>
        </w:rPr>
      </w:pPr>
      <w:r>
        <w:rPr>
          <w:rFonts w:hint="eastAsia"/>
          <w:color w:val="auto"/>
        </w:rPr>
        <w:t>（2）“承诺制”容缺办理注销。</w:t>
      </w:r>
    </w:p>
    <w:p>
      <w:pPr>
        <w:ind w:firstLine="472"/>
        <w:rPr>
          <w:rFonts w:hint="eastAsia"/>
          <w:color w:val="auto"/>
        </w:rPr>
      </w:pPr>
      <w:r>
        <w:rPr>
          <w:rFonts w:hint="eastAsia"/>
          <w:color w:val="auto"/>
        </w:rPr>
        <w:t>——纳税人向市场监管部门申请一般注销，税务机关在为其办理税务注销时，对无在查、无欠税（含滞纳金）及罚款、已缴销发票及税控专用设备,但存在未办结涉税事项，且符合下列情形之一的纳税人，采取“承诺制”容缺办理。纳税人可在纳税服务部门现场签署《即办&lt;清税证明&gt;承诺书》，也可通过电子税务局签署上传《即办&lt;清税证明&gt;承诺书》。</w:t>
      </w:r>
    </w:p>
    <w:p>
      <w:pPr>
        <w:ind w:firstLine="472"/>
        <w:rPr>
          <w:rFonts w:hint="eastAsia"/>
          <w:color w:val="auto"/>
        </w:rPr>
      </w:pPr>
      <w:r>
        <w:rPr>
          <w:rFonts w:hint="eastAsia"/>
          <w:color w:val="auto"/>
        </w:rPr>
        <w:t xml:space="preserve">①纳税信用级别为A级和B级的纳税人； </w:t>
      </w:r>
    </w:p>
    <w:p>
      <w:pPr>
        <w:ind w:firstLine="472"/>
        <w:rPr>
          <w:rFonts w:hint="eastAsia"/>
          <w:color w:val="auto"/>
        </w:rPr>
      </w:pPr>
      <w:r>
        <w:rPr>
          <w:rFonts w:hint="eastAsia"/>
          <w:color w:val="auto"/>
        </w:rPr>
        <w:t>②控股母公司纳税信用级别为A级的M级纳税人；</w:t>
      </w:r>
    </w:p>
    <w:p>
      <w:pPr>
        <w:ind w:firstLine="472"/>
        <w:rPr>
          <w:rFonts w:hint="eastAsia"/>
          <w:color w:val="auto"/>
        </w:rPr>
      </w:pPr>
      <w:r>
        <w:rPr>
          <w:rFonts w:hint="eastAsia"/>
          <w:color w:val="auto"/>
        </w:rPr>
        <w:t>③省级人民政府引进人才或经省级以上行业协会等机构认定的行业领军人才等创办的企业；</w:t>
      </w:r>
    </w:p>
    <w:p>
      <w:pPr>
        <w:ind w:firstLine="472"/>
        <w:rPr>
          <w:rFonts w:hint="eastAsia"/>
          <w:color w:val="auto"/>
        </w:rPr>
      </w:pPr>
      <w:r>
        <w:rPr>
          <w:rFonts w:hint="eastAsia"/>
          <w:color w:val="auto"/>
        </w:rPr>
        <w:t xml:space="preserve">④未纳入纳税信用级别评价的定期定额个体工商户； </w:t>
      </w:r>
    </w:p>
    <w:p>
      <w:pPr>
        <w:ind w:firstLine="472"/>
        <w:rPr>
          <w:rFonts w:hint="eastAsia"/>
          <w:color w:val="auto"/>
        </w:rPr>
      </w:pPr>
      <w:r>
        <w:rPr>
          <w:rFonts w:hint="eastAsia"/>
          <w:color w:val="auto"/>
        </w:rPr>
        <w:t>⑤未达到增值税纳税起征点的纳税人。</w:t>
      </w:r>
    </w:p>
    <w:p>
      <w:pPr>
        <w:ind w:firstLine="472"/>
        <w:rPr>
          <w:rFonts w:hint="eastAsia"/>
          <w:color w:val="auto"/>
        </w:rPr>
      </w:pPr>
      <w:r>
        <w:rPr>
          <w:rFonts w:hint="eastAsia"/>
          <w:color w:val="auto"/>
        </w:rPr>
        <w:t>——办理过涉税事宜但未领用发票、无欠税（滞纳金）及罚款的纳税人，主动到税务机关办理清税，资料不齐的，也适用“承诺制”容缺办理。</w:t>
      </w:r>
    </w:p>
    <w:p>
      <w:pPr>
        <w:ind w:firstLine="472"/>
        <w:rPr>
          <w:rFonts w:hint="eastAsia"/>
          <w:color w:val="auto"/>
        </w:rPr>
      </w:pPr>
      <w:r>
        <w:rPr>
          <w:rFonts w:hint="eastAsia"/>
          <w:color w:val="auto"/>
        </w:rPr>
        <w:t>（3）核查注销。纳税人存在以下情形需要进行核查注销：</w:t>
      </w:r>
    </w:p>
    <w:p>
      <w:pPr>
        <w:ind w:firstLine="472"/>
        <w:rPr>
          <w:rFonts w:hint="eastAsia"/>
          <w:color w:val="auto"/>
        </w:rPr>
      </w:pPr>
      <w:r>
        <w:rPr>
          <w:rFonts w:hint="eastAsia"/>
          <w:color w:val="auto"/>
        </w:rPr>
        <w:t>①有在查、欠税（含滞纳金）及罚款、未缴销发票及税控专用设备及其他未办结涉税事项的纳税人；</w:t>
      </w:r>
    </w:p>
    <w:p>
      <w:pPr>
        <w:ind w:firstLine="472"/>
        <w:rPr>
          <w:rFonts w:hint="eastAsia"/>
          <w:color w:val="auto"/>
        </w:rPr>
      </w:pPr>
      <w:r>
        <w:rPr>
          <w:rFonts w:hint="eastAsia"/>
          <w:color w:val="auto"/>
        </w:rPr>
        <w:t>②满足 “承诺制”容缺办理条件的但不签署《即办&lt;清税证明&gt;承诺书》的纳税人。</w:t>
      </w:r>
    </w:p>
    <w:p>
      <w:pPr>
        <w:ind w:firstLine="472"/>
        <w:rPr>
          <w:rFonts w:hint="eastAsia"/>
          <w:color w:val="auto"/>
        </w:rPr>
      </w:pPr>
      <w:r>
        <w:rPr>
          <w:rFonts w:hint="eastAsia"/>
          <w:color w:val="auto"/>
        </w:rPr>
        <w:t>2.简易注销情形</w:t>
      </w:r>
    </w:p>
    <w:p>
      <w:pPr>
        <w:ind w:firstLine="472"/>
        <w:rPr>
          <w:rFonts w:hint="eastAsia"/>
          <w:color w:val="auto"/>
        </w:rPr>
      </w:pPr>
      <w:r>
        <w:rPr>
          <w:rFonts w:hint="eastAsia"/>
          <w:color w:val="auto"/>
        </w:rPr>
        <w:t>对向市场监管部门申请简易注销的纳税人，如果未办理过涉税事宜的或者办理过涉税事宜但未领用发票、无欠税（含滞纳金）及罚款的、无其他未办结涉税事项的，可免予到税务机关办理清税证明。业务系统会实时通过外部交换系统反馈市场监管部门“无异议”，纳税人状态自动修改为“注销”。</w:t>
      </w:r>
    </w:p>
    <w:p>
      <w:pPr>
        <w:ind w:firstLine="472"/>
        <w:rPr>
          <w:rFonts w:hint="eastAsia"/>
          <w:color w:val="auto"/>
        </w:rPr>
      </w:pPr>
      <w:r>
        <w:rPr>
          <w:rFonts w:hint="eastAsia"/>
          <w:color w:val="auto"/>
        </w:rPr>
        <w:t>3．非正常状态纳税人办理注销</w:t>
      </w:r>
    </w:p>
    <w:p>
      <w:pPr>
        <w:ind w:firstLine="472"/>
        <w:rPr>
          <w:rFonts w:hint="eastAsia"/>
          <w:color w:val="auto"/>
        </w:rPr>
      </w:pPr>
      <w:r>
        <w:rPr>
          <w:rFonts w:hint="eastAsia"/>
          <w:color w:val="auto"/>
        </w:rPr>
        <w:t>处于非正常状态纳税人在办理税务注销前，需先解除非正常状态，补办纳税申报手续。符合以下情形的，税务机关可打印相应税种和相关附加的《批量零申报确认表》，经纳税人确认后，进行批量处理：</w:t>
      </w:r>
    </w:p>
    <w:p>
      <w:pPr>
        <w:ind w:firstLine="472"/>
        <w:rPr>
          <w:rFonts w:hint="eastAsia"/>
          <w:color w:val="auto"/>
        </w:rPr>
      </w:pPr>
      <w:r>
        <w:rPr>
          <w:rFonts w:hint="eastAsia"/>
          <w:color w:val="auto"/>
        </w:rPr>
        <w:t xml:space="preserve">   （1）非正常状态期间增值税、消费税和相关附加需补办的申报均为零申报的；</w:t>
      </w:r>
    </w:p>
    <w:p>
      <w:pPr>
        <w:ind w:firstLine="472"/>
        <w:rPr>
          <w:rFonts w:hint="eastAsia"/>
          <w:color w:val="auto"/>
        </w:rPr>
      </w:pPr>
      <w:r>
        <w:rPr>
          <w:rFonts w:hint="eastAsia"/>
          <w:color w:val="auto"/>
        </w:rPr>
        <w:t xml:space="preserve">   （2）非正常状态期间企业所得税月（季）度预缴需补办的申报均为零申报，且不存在弥补前期亏损情况的。</w:t>
      </w:r>
    </w:p>
    <w:p>
      <w:pPr>
        <w:ind w:firstLine="472"/>
        <w:rPr>
          <w:rFonts w:hint="eastAsia"/>
          <w:color w:val="auto"/>
        </w:rPr>
      </w:pPr>
      <w:r>
        <w:rPr>
          <w:rFonts w:hint="eastAsia"/>
          <w:color w:val="auto"/>
        </w:rPr>
        <w:t>4．委托扣款协议自动终止</w:t>
      </w:r>
    </w:p>
    <w:p>
      <w:pPr>
        <w:ind w:firstLine="472"/>
        <w:rPr>
          <w:color w:val="auto"/>
        </w:rPr>
      </w:pPr>
      <w:r>
        <w:rPr>
          <w:rFonts w:hint="eastAsia"/>
          <w:color w:val="auto"/>
        </w:rPr>
        <w:t>纳税人办理税务注销前，无需向税务机关提出终止“委托扣款协议书”申请。税务机关办结税务注销后，委托扣款协议自动终止。</w:t>
      </w:r>
    </w:p>
    <w:p>
      <w:pPr>
        <w:ind w:firstLine="472"/>
        <w:rPr>
          <w:color w:val="auto"/>
        </w:rPr>
      </w:pPr>
      <w:r>
        <w:rPr>
          <w:rFonts w:hint="eastAsia"/>
          <w:color w:val="auto"/>
        </w:rPr>
        <w:t>5.纳税人对报送资料的真实性和合法性承担责任。</w:t>
      </w:r>
    </w:p>
    <w:p>
      <w:pPr>
        <w:ind w:firstLine="472"/>
        <w:rPr>
          <w:color w:val="auto"/>
        </w:rPr>
      </w:pPr>
      <w:r>
        <w:rPr>
          <w:rFonts w:hint="eastAsia"/>
          <w:color w:val="auto"/>
        </w:rPr>
        <w:t>6.最多跑一次是在资料完整且符合法定受理条件的前提下，最多只需要到税务机关跑一次。</w:t>
      </w:r>
    </w:p>
    <w:p>
      <w:pPr>
        <w:ind w:firstLine="472"/>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left="0" w:leftChars="0" w:firstLine="0" w:firstLineChars="0"/>
        <w:rPr>
          <w:rFonts w:hint="eastAsia"/>
          <w:lang w:val="en-US" w:eastAsia="zh-CN"/>
        </w:rPr>
      </w:pPr>
    </w:p>
    <w:sectPr>
      <w:headerReference r:id="rId3" w:type="default"/>
      <w:footerReference r:id="rId4" w:type="default"/>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AC0E78"/>
    <w:multiLevelType w:val="singleLevel"/>
    <w:tmpl w:val="8FAC0E78"/>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2"/>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5"/>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3530FFF"/>
    <w:rsid w:val="05967E4A"/>
    <w:rsid w:val="05B40DDD"/>
    <w:rsid w:val="06106A23"/>
    <w:rsid w:val="0638782F"/>
    <w:rsid w:val="06AE1BDB"/>
    <w:rsid w:val="08B15238"/>
    <w:rsid w:val="09493D2D"/>
    <w:rsid w:val="09B62072"/>
    <w:rsid w:val="0D33691F"/>
    <w:rsid w:val="0DDA3501"/>
    <w:rsid w:val="0E8625A8"/>
    <w:rsid w:val="0EC8321E"/>
    <w:rsid w:val="0EE35C6A"/>
    <w:rsid w:val="0FEE2BE1"/>
    <w:rsid w:val="10BC060D"/>
    <w:rsid w:val="11CF760D"/>
    <w:rsid w:val="17211E0E"/>
    <w:rsid w:val="17A75A69"/>
    <w:rsid w:val="17B62FF6"/>
    <w:rsid w:val="188F0B80"/>
    <w:rsid w:val="199A131B"/>
    <w:rsid w:val="1AA34BFE"/>
    <w:rsid w:val="1ADE6BF9"/>
    <w:rsid w:val="1AFF235C"/>
    <w:rsid w:val="1B573241"/>
    <w:rsid w:val="1D251F4A"/>
    <w:rsid w:val="1D960B7F"/>
    <w:rsid w:val="1EF94F46"/>
    <w:rsid w:val="21DB276B"/>
    <w:rsid w:val="225A45EF"/>
    <w:rsid w:val="281A0092"/>
    <w:rsid w:val="28A27601"/>
    <w:rsid w:val="2DDE7E2B"/>
    <w:rsid w:val="2F0131D6"/>
    <w:rsid w:val="2F4457D3"/>
    <w:rsid w:val="33111FBB"/>
    <w:rsid w:val="331C5A14"/>
    <w:rsid w:val="334451F7"/>
    <w:rsid w:val="334D732D"/>
    <w:rsid w:val="344B05C9"/>
    <w:rsid w:val="36451E83"/>
    <w:rsid w:val="36E04702"/>
    <w:rsid w:val="37707534"/>
    <w:rsid w:val="38385296"/>
    <w:rsid w:val="3956021E"/>
    <w:rsid w:val="3A85035B"/>
    <w:rsid w:val="3C8501AD"/>
    <w:rsid w:val="3D613CAD"/>
    <w:rsid w:val="3E3F009D"/>
    <w:rsid w:val="3F9839ED"/>
    <w:rsid w:val="3FA56B5B"/>
    <w:rsid w:val="400927BD"/>
    <w:rsid w:val="40172240"/>
    <w:rsid w:val="4044017F"/>
    <w:rsid w:val="40504A07"/>
    <w:rsid w:val="405637C3"/>
    <w:rsid w:val="416F27CF"/>
    <w:rsid w:val="421D2AAA"/>
    <w:rsid w:val="435A6C95"/>
    <w:rsid w:val="44150A4D"/>
    <w:rsid w:val="45265061"/>
    <w:rsid w:val="4543745C"/>
    <w:rsid w:val="45EC62DD"/>
    <w:rsid w:val="45F96008"/>
    <w:rsid w:val="46B53A61"/>
    <w:rsid w:val="48034BC9"/>
    <w:rsid w:val="481E512C"/>
    <w:rsid w:val="48686EF2"/>
    <w:rsid w:val="48AC7D03"/>
    <w:rsid w:val="49C37F7C"/>
    <w:rsid w:val="4A397F3C"/>
    <w:rsid w:val="4AFF4944"/>
    <w:rsid w:val="4DED6C17"/>
    <w:rsid w:val="4F52740E"/>
    <w:rsid w:val="4F9D3E6F"/>
    <w:rsid w:val="509A5D46"/>
    <w:rsid w:val="51A90B18"/>
    <w:rsid w:val="522C2F54"/>
    <w:rsid w:val="54F7470C"/>
    <w:rsid w:val="54FD607A"/>
    <w:rsid w:val="56916021"/>
    <w:rsid w:val="586C2504"/>
    <w:rsid w:val="5A072419"/>
    <w:rsid w:val="5AE54CD3"/>
    <w:rsid w:val="5B216442"/>
    <w:rsid w:val="5D065F3F"/>
    <w:rsid w:val="5D6A3E5A"/>
    <w:rsid w:val="5D6E0C42"/>
    <w:rsid w:val="5D773E9F"/>
    <w:rsid w:val="5F8B4C46"/>
    <w:rsid w:val="5FD74134"/>
    <w:rsid w:val="60BB1526"/>
    <w:rsid w:val="60CC3ECE"/>
    <w:rsid w:val="625E5C17"/>
    <w:rsid w:val="62B70711"/>
    <w:rsid w:val="637642DB"/>
    <w:rsid w:val="64030575"/>
    <w:rsid w:val="64805E15"/>
    <w:rsid w:val="65EC4BB9"/>
    <w:rsid w:val="663441E6"/>
    <w:rsid w:val="66695C8C"/>
    <w:rsid w:val="67AB76AD"/>
    <w:rsid w:val="680A0C49"/>
    <w:rsid w:val="695D302A"/>
    <w:rsid w:val="6A635B94"/>
    <w:rsid w:val="6AD13263"/>
    <w:rsid w:val="6BE43543"/>
    <w:rsid w:val="6D0B62B6"/>
    <w:rsid w:val="6D1A3B55"/>
    <w:rsid w:val="6DAA4EC2"/>
    <w:rsid w:val="6DEC482F"/>
    <w:rsid w:val="6E254F50"/>
    <w:rsid w:val="6F025CB3"/>
    <w:rsid w:val="6F373310"/>
    <w:rsid w:val="70E3452D"/>
    <w:rsid w:val="711A24A9"/>
    <w:rsid w:val="724C02BE"/>
    <w:rsid w:val="72826A79"/>
    <w:rsid w:val="75674E1E"/>
    <w:rsid w:val="75F923A2"/>
    <w:rsid w:val="76305414"/>
    <w:rsid w:val="76326672"/>
    <w:rsid w:val="76B7766F"/>
    <w:rsid w:val="76E532E0"/>
    <w:rsid w:val="77B525D6"/>
    <w:rsid w:val="78F309B0"/>
    <w:rsid w:val="79263D87"/>
    <w:rsid w:val="7B4C788A"/>
    <w:rsid w:val="7B7B1562"/>
    <w:rsid w:val="7BDA17C2"/>
    <w:rsid w:val="7BFC5873"/>
    <w:rsid w:val="7C393271"/>
    <w:rsid w:val="7DA8638B"/>
    <w:rsid w:val="7ED938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4"/>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9"/>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1"/>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2"/>
    <w:semiHidden/>
    <w:unhideWhenUsed/>
    <w:qFormat/>
    <w:uiPriority w:val="0"/>
    <w:pPr>
      <w:keepNext/>
      <w:keepLines/>
      <w:outlineLvl w:val="3"/>
    </w:pPr>
    <w:rPr>
      <w:rFonts w:eastAsia="楷体" w:asciiTheme="majorHAnsi" w:hAnsiTheme="majorHAnsi" w:cstheme="majorBidi"/>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3"/>
    <w:qFormat/>
    <w:uiPriority w:val="0"/>
    <w:rPr>
      <w:sz w:val="18"/>
      <w:szCs w:val="18"/>
    </w:rPr>
  </w:style>
  <w:style w:type="paragraph" w:styleId="7">
    <w:name w:val="annotation text"/>
    <w:basedOn w:val="1"/>
    <w:link w:val="79"/>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4"/>
    <w:uiPriority w:val="0"/>
    <w:pPr>
      <w:spacing w:line="240" w:lineRule="auto"/>
    </w:pPr>
    <w:rPr>
      <w:rFonts w:eastAsia="仿宋_GB2312"/>
      <w:sz w:val="18"/>
      <w:szCs w:val="18"/>
    </w:rPr>
  </w:style>
  <w:style w:type="paragraph" w:styleId="10">
    <w:name w:val="footer"/>
    <w:basedOn w:val="1"/>
    <w:link w:val="55"/>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2"/>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FollowedHyperlink"/>
    <w:basedOn w:val="17"/>
    <w:qFormat/>
    <w:uiPriority w:val="0"/>
    <w:rPr>
      <w:rFonts w:ascii="Times New Roman" w:hAnsi="Times New Roman" w:eastAsia="宋体" w:cs="Times New Roman"/>
      <w:color w:val="333333"/>
      <w:u w:val="none"/>
    </w:rPr>
  </w:style>
  <w:style w:type="character" w:styleId="20">
    <w:name w:val="Emphasis"/>
    <w:basedOn w:val="17"/>
    <w:qFormat/>
    <w:uiPriority w:val="0"/>
    <w:rPr>
      <w:rFonts w:asciiTheme="minorHAnsi" w:hAnsiTheme="minorHAnsi" w:eastAsiaTheme="minorEastAsia" w:cstheme="minorBidi"/>
      <w:i/>
    </w:rPr>
  </w:style>
  <w:style w:type="character" w:styleId="21">
    <w:name w:val="HTML Definition"/>
    <w:basedOn w:val="17"/>
    <w:qFormat/>
    <w:uiPriority w:val="0"/>
    <w:rPr>
      <w:rFonts w:asciiTheme="minorHAnsi" w:hAnsiTheme="minorHAnsi" w:eastAsiaTheme="minorEastAsia" w:cstheme="minorBidi"/>
      <w:i/>
    </w:rPr>
  </w:style>
  <w:style w:type="character" w:styleId="22">
    <w:name w:val="HTML Variable"/>
    <w:basedOn w:val="17"/>
    <w:qFormat/>
    <w:uiPriority w:val="0"/>
    <w:rPr>
      <w:rFonts w:asciiTheme="minorHAnsi" w:hAnsiTheme="minorHAnsi" w:eastAsiaTheme="minorEastAsia" w:cstheme="minorBidi"/>
    </w:rPr>
  </w:style>
  <w:style w:type="character" w:styleId="23">
    <w:name w:val="Hyperlink"/>
    <w:basedOn w:val="17"/>
    <w:qFormat/>
    <w:uiPriority w:val="0"/>
    <w:rPr>
      <w:rFonts w:ascii="Times New Roman" w:hAnsi="Times New Roman" w:eastAsia="宋体" w:cs="Times New Roman"/>
      <w:color w:val="333333"/>
      <w:u w:val="none"/>
    </w:rPr>
  </w:style>
  <w:style w:type="character" w:styleId="24">
    <w:name w:val="HTML Code"/>
    <w:basedOn w:val="17"/>
    <w:qFormat/>
    <w:uiPriority w:val="0"/>
    <w:rPr>
      <w:rFonts w:ascii="Consolas" w:hAnsi="Consolas" w:eastAsia="Consolas" w:cs="Consolas"/>
      <w:sz w:val="21"/>
      <w:szCs w:val="21"/>
    </w:rPr>
  </w:style>
  <w:style w:type="character" w:styleId="25">
    <w:name w:val="annotation reference"/>
    <w:basedOn w:val="17"/>
    <w:qFormat/>
    <w:uiPriority w:val="0"/>
    <w:rPr>
      <w:rFonts w:asciiTheme="minorHAnsi" w:hAnsiTheme="minorHAnsi" w:eastAsiaTheme="minorEastAsia" w:cstheme="minorBidi"/>
      <w:sz w:val="21"/>
      <w:szCs w:val="21"/>
    </w:rPr>
  </w:style>
  <w:style w:type="character" w:styleId="26">
    <w:name w:val="HTML Cite"/>
    <w:basedOn w:val="17"/>
    <w:qFormat/>
    <w:uiPriority w:val="0"/>
    <w:rPr>
      <w:rFonts w:asciiTheme="minorHAnsi" w:hAnsiTheme="minorHAnsi" w:eastAsiaTheme="minorEastAsia" w:cstheme="minorBidi"/>
    </w:rPr>
  </w:style>
  <w:style w:type="character" w:styleId="27">
    <w:name w:val="HTML Keyboard"/>
    <w:basedOn w:val="17"/>
    <w:qFormat/>
    <w:uiPriority w:val="0"/>
    <w:rPr>
      <w:rFonts w:hint="default" w:ascii="serif" w:hAnsi="serif" w:eastAsia="serif" w:cs="serif"/>
      <w:sz w:val="21"/>
      <w:szCs w:val="21"/>
    </w:rPr>
  </w:style>
  <w:style w:type="character" w:styleId="28">
    <w:name w:val="HTML Sample"/>
    <w:basedOn w:val="17"/>
    <w:qFormat/>
    <w:uiPriority w:val="0"/>
    <w:rPr>
      <w:rFonts w:ascii="serif" w:hAnsi="serif" w:eastAsia="serif" w:cs="serif"/>
      <w:sz w:val="21"/>
      <w:szCs w:val="21"/>
    </w:rPr>
  </w:style>
  <w:style w:type="character" w:customStyle="1" w:styleId="29">
    <w:name w:val="标题 1 Char"/>
    <w:basedOn w:val="17"/>
    <w:link w:val="2"/>
    <w:qFormat/>
    <w:uiPriority w:val="9"/>
    <w:rPr>
      <w:rFonts w:eastAsia="黑体"/>
      <w:bCs/>
      <w:kern w:val="44"/>
      <w:sz w:val="28"/>
      <w:szCs w:val="44"/>
    </w:rPr>
  </w:style>
  <w:style w:type="character" w:customStyle="1" w:styleId="30">
    <w:name w:val="标题 2 Char"/>
    <w:basedOn w:val="17"/>
    <w:link w:val="3"/>
    <w:qFormat/>
    <w:uiPriority w:val="9"/>
    <w:rPr>
      <w:rFonts w:eastAsia="黑体" w:asciiTheme="majorHAnsi" w:hAnsiTheme="majorHAnsi" w:cstheme="majorBidi"/>
      <w:bCs/>
      <w:sz w:val="28"/>
      <w:szCs w:val="32"/>
    </w:rPr>
  </w:style>
  <w:style w:type="character" w:customStyle="1" w:styleId="31">
    <w:name w:val="标题 3 Char"/>
    <w:basedOn w:val="17"/>
    <w:link w:val="4"/>
    <w:qFormat/>
    <w:uiPriority w:val="0"/>
    <w:rPr>
      <w:rFonts w:eastAsia="仿宋_GB2312"/>
      <w:b/>
      <w:bCs/>
      <w:sz w:val="32"/>
      <w:szCs w:val="32"/>
    </w:rPr>
  </w:style>
  <w:style w:type="paragraph" w:customStyle="1" w:styleId="32">
    <w:name w:val="编号1"/>
    <w:link w:val="33"/>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3">
    <w:name w:val="编号1 字符"/>
    <w:basedOn w:val="34"/>
    <w:link w:val="32"/>
    <w:qFormat/>
    <w:uiPriority w:val="0"/>
    <w:rPr>
      <w:rFonts w:ascii="宋体" w:hAnsi="宋体" w:eastAsia="宋体" w:cs="Times New Roman"/>
      <w:b/>
      <w:bCs w:val="0"/>
      <w:kern w:val="44"/>
      <w:sz w:val="44"/>
      <w:szCs w:val="44"/>
    </w:rPr>
  </w:style>
  <w:style w:type="character" w:customStyle="1" w:styleId="34">
    <w:name w:val="Heading 1 Char"/>
    <w:basedOn w:val="17"/>
    <w:link w:val="2"/>
    <w:qFormat/>
    <w:locked/>
    <w:uiPriority w:val="99"/>
    <w:rPr>
      <w:rFonts w:ascii="Times New Roman" w:hAnsi="Times New Roman" w:eastAsia="黑体" w:cs="Times New Roman"/>
      <w:bCs/>
      <w:kern w:val="44"/>
      <w:sz w:val="44"/>
      <w:szCs w:val="44"/>
    </w:rPr>
  </w:style>
  <w:style w:type="paragraph" w:customStyle="1" w:styleId="35">
    <w:name w:val="编号2"/>
    <w:link w:val="36"/>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6">
    <w:name w:val="编号2 字符"/>
    <w:basedOn w:val="33"/>
    <w:link w:val="35"/>
    <w:qFormat/>
    <w:uiPriority w:val="0"/>
    <w:rPr>
      <w:rFonts w:ascii="宋体" w:hAnsi="宋体" w:eastAsia="宋体" w:cs="Times New Roman"/>
      <w:bCs/>
      <w:kern w:val="44"/>
      <w:sz w:val="32"/>
      <w:szCs w:val="44"/>
    </w:rPr>
  </w:style>
  <w:style w:type="paragraph" w:customStyle="1" w:styleId="37">
    <w:name w:val="编号3"/>
    <w:link w:val="38"/>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8">
    <w:name w:val="编号3 字符"/>
    <w:basedOn w:val="39"/>
    <w:link w:val="37"/>
    <w:qFormat/>
    <w:uiPriority w:val="0"/>
    <w:rPr>
      <w:rFonts w:eastAsia="宋体" w:asciiTheme="majorHAnsi" w:hAnsiTheme="majorHAnsi" w:cstheme="majorBidi"/>
      <w:kern w:val="44"/>
      <w:sz w:val="28"/>
      <w:szCs w:val="44"/>
    </w:rPr>
  </w:style>
  <w:style w:type="character" w:customStyle="1" w:styleId="39">
    <w:name w:val="Heading 2 Char"/>
    <w:basedOn w:val="17"/>
    <w:link w:val="3"/>
    <w:qFormat/>
    <w:locked/>
    <w:uiPriority w:val="99"/>
    <w:rPr>
      <w:rFonts w:ascii="等线 Light" w:hAnsi="等线 Light" w:eastAsia="黑体" w:cs="Times New Roman"/>
      <w:bCs/>
      <w:sz w:val="32"/>
      <w:szCs w:val="32"/>
    </w:rPr>
  </w:style>
  <w:style w:type="paragraph" w:customStyle="1" w:styleId="40">
    <w:name w:val="标题一"/>
    <w:next w:val="1"/>
    <w:link w:val="41"/>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1">
    <w:name w:val="标题一 字符"/>
    <w:basedOn w:val="34"/>
    <w:link w:val="40"/>
    <w:qFormat/>
    <w:uiPriority w:val="0"/>
    <w:rPr>
      <w:rFonts w:ascii="方正小标宋_GBK" w:hAnsi="宋体" w:eastAsia="黑体" w:cs="Times New Roman"/>
      <w:bCs w:val="0"/>
      <w:kern w:val="44"/>
      <w:sz w:val="32"/>
      <w:szCs w:val="44"/>
    </w:rPr>
  </w:style>
  <w:style w:type="paragraph" w:customStyle="1" w:styleId="42">
    <w:name w:val="标题二"/>
    <w:link w:val="43"/>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3">
    <w:name w:val="标题二 字符"/>
    <w:basedOn w:val="17"/>
    <w:link w:val="42"/>
    <w:qFormat/>
    <w:uiPriority w:val="0"/>
    <w:rPr>
      <w:rFonts w:eastAsia="楷体"/>
      <w:bCs/>
      <w:kern w:val="44"/>
      <w:sz w:val="32"/>
      <w:szCs w:val="44"/>
    </w:rPr>
  </w:style>
  <w:style w:type="character" w:customStyle="1" w:styleId="44">
    <w:name w:val="页眉 Char"/>
    <w:basedOn w:val="17"/>
    <w:link w:val="11"/>
    <w:qFormat/>
    <w:uiPriority w:val="99"/>
    <w:rPr>
      <w:rFonts w:ascii="宋体" w:hAnsi="宋体" w:eastAsia="仿宋_GB2312" w:cs="Times New Roman"/>
      <w:sz w:val="18"/>
      <w:szCs w:val="18"/>
    </w:rPr>
  </w:style>
  <w:style w:type="character" w:customStyle="1" w:styleId="45">
    <w:name w:val="页脚 Char"/>
    <w:basedOn w:val="17"/>
    <w:link w:val="10"/>
    <w:qFormat/>
    <w:uiPriority w:val="99"/>
    <w:rPr>
      <w:rFonts w:ascii="宋体" w:hAnsi="宋体" w:eastAsia="仿宋_GB2312" w:cs="Times New Roman"/>
      <w:sz w:val="18"/>
      <w:szCs w:val="18"/>
    </w:rPr>
  </w:style>
  <w:style w:type="character" w:customStyle="1" w:styleId="46">
    <w:name w:val="标题 4 Char"/>
    <w:basedOn w:val="17"/>
    <w:link w:val="5"/>
    <w:qFormat/>
    <w:uiPriority w:val="9"/>
    <w:rPr>
      <w:rFonts w:eastAsia="楷体" w:asciiTheme="majorHAnsi" w:hAnsiTheme="majorHAnsi" w:cstheme="majorBidi"/>
      <w:bCs/>
      <w:sz w:val="28"/>
      <w:szCs w:val="28"/>
    </w:rPr>
  </w:style>
  <w:style w:type="character" w:customStyle="1" w:styleId="47">
    <w:name w:val="批注框文本 Char"/>
    <w:basedOn w:val="17"/>
    <w:link w:val="9"/>
    <w:semiHidden/>
    <w:qFormat/>
    <w:uiPriority w:val="99"/>
    <w:rPr>
      <w:rFonts w:ascii="宋体" w:hAnsi="宋体" w:eastAsia="仿宋_GB2312" w:cs="Times New Roman"/>
      <w:sz w:val="18"/>
      <w:szCs w:val="18"/>
    </w:rPr>
  </w:style>
  <w:style w:type="paragraph" w:customStyle="1" w:styleId="48">
    <w:name w:val="列出段落1"/>
    <w:basedOn w:val="1"/>
    <w:qFormat/>
    <w:uiPriority w:val="34"/>
    <w:pPr>
      <w:ind w:firstLine="420"/>
    </w:pPr>
  </w:style>
  <w:style w:type="character" w:customStyle="1" w:styleId="49">
    <w:name w:val="文档结构图 Char"/>
    <w:basedOn w:val="17"/>
    <w:link w:val="6"/>
    <w:semiHidden/>
    <w:qFormat/>
    <w:uiPriority w:val="99"/>
    <w:rPr>
      <w:rFonts w:ascii="宋体" w:hAnsi="宋体" w:eastAsia="宋体" w:cs="Times New Roman"/>
      <w:sz w:val="18"/>
      <w:szCs w:val="18"/>
    </w:rPr>
  </w:style>
  <w:style w:type="paragraph" w:styleId="50">
    <w:name w:val="List Paragraph"/>
    <w:basedOn w:val="1"/>
    <w:qFormat/>
    <w:uiPriority w:val="99"/>
    <w:pPr>
      <w:ind w:firstLine="420"/>
    </w:pPr>
  </w:style>
  <w:style w:type="character" w:customStyle="1" w:styleId="51">
    <w:name w:val="Heading 3 Char"/>
    <w:basedOn w:val="17"/>
    <w:link w:val="4"/>
    <w:qFormat/>
    <w:locked/>
    <w:uiPriority w:val="99"/>
    <w:rPr>
      <w:rFonts w:ascii="Times New Roman" w:hAnsi="Times New Roman" w:eastAsia="仿宋_GB2312" w:cs="Times New Roman"/>
      <w:b/>
      <w:bCs/>
      <w:sz w:val="32"/>
      <w:szCs w:val="32"/>
    </w:rPr>
  </w:style>
  <w:style w:type="character" w:customStyle="1" w:styleId="52">
    <w:name w:val="Heading 4 Char"/>
    <w:basedOn w:val="17"/>
    <w:link w:val="5"/>
    <w:qFormat/>
    <w:locked/>
    <w:uiPriority w:val="99"/>
    <w:rPr>
      <w:rFonts w:ascii="等线 Light" w:hAnsi="等线 Light" w:eastAsia="楷体" w:cs="Times New Roman"/>
      <w:bCs/>
      <w:sz w:val="28"/>
      <w:szCs w:val="28"/>
    </w:rPr>
  </w:style>
  <w:style w:type="character" w:customStyle="1" w:styleId="53">
    <w:name w:val="Document Map Char"/>
    <w:basedOn w:val="17"/>
    <w:link w:val="6"/>
    <w:semiHidden/>
    <w:qFormat/>
    <w:locked/>
    <w:uiPriority w:val="99"/>
    <w:rPr>
      <w:rFonts w:ascii="宋体" w:hAnsi="宋体" w:eastAsia="宋体" w:cs="Times New Roman"/>
      <w:sz w:val="18"/>
      <w:szCs w:val="18"/>
    </w:rPr>
  </w:style>
  <w:style w:type="character" w:customStyle="1" w:styleId="54">
    <w:name w:val="Balloon Text Char"/>
    <w:basedOn w:val="17"/>
    <w:link w:val="9"/>
    <w:semiHidden/>
    <w:qFormat/>
    <w:locked/>
    <w:uiPriority w:val="99"/>
    <w:rPr>
      <w:rFonts w:ascii="宋体" w:hAnsi="宋体" w:eastAsia="仿宋_GB2312" w:cs="Times New Roman"/>
      <w:sz w:val="18"/>
      <w:szCs w:val="18"/>
    </w:rPr>
  </w:style>
  <w:style w:type="character" w:customStyle="1" w:styleId="55">
    <w:name w:val="Footer Char"/>
    <w:basedOn w:val="17"/>
    <w:link w:val="10"/>
    <w:qFormat/>
    <w:locked/>
    <w:uiPriority w:val="99"/>
    <w:rPr>
      <w:rFonts w:ascii="宋体" w:hAnsi="宋体" w:eastAsia="仿宋_GB2312" w:cs="Times New Roman"/>
      <w:sz w:val="18"/>
      <w:szCs w:val="18"/>
    </w:rPr>
  </w:style>
  <w:style w:type="character" w:customStyle="1" w:styleId="56">
    <w:name w:val="Header Char"/>
    <w:basedOn w:val="17"/>
    <w:link w:val="11"/>
    <w:qFormat/>
    <w:locked/>
    <w:uiPriority w:val="99"/>
    <w:rPr>
      <w:rFonts w:ascii="宋体" w:hAnsi="宋体" w:eastAsia="仿宋_GB2312" w:cs="Times New Roman"/>
      <w:sz w:val="18"/>
      <w:szCs w:val="18"/>
    </w:rPr>
  </w:style>
  <w:style w:type="character" w:customStyle="1" w:styleId="57">
    <w:name w:val="wz"/>
    <w:basedOn w:val="17"/>
    <w:qFormat/>
    <w:uiPriority w:val="0"/>
    <w:rPr>
      <w:rFonts w:ascii="Times New Roman" w:hAnsi="Times New Roman" w:eastAsia="宋体" w:cs="Times New Roman"/>
      <w:color w:val="808080"/>
    </w:rPr>
  </w:style>
  <w:style w:type="character" w:customStyle="1" w:styleId="58">
    <w:name w:val="hao1"/>
    <w:basedOn w:val="17"/>
    <w:qFormat/>
    <w:uiPriority w:val="0"/>
    <w:rPr>
      <w:rFonts w:ascii="Times New Roman" w:hAnsi="Times New Roman" w:eastAsia="宋体" w:cs="Times New Roman"/>
      <w:b/>
    </w:rPr>
  </w:style>
  <w:style w:type="character" w:customStyle="1" w:styleId="59">
    <w:name w:val="hao12"/>
    <w:basedOn w:val="17"/>
    <w:qFormat/>
    <w:uiPriority w:val="0"/>
    <w:rPr>
      <w:rFonts w:ascii="Times New Roman" w:hAnsi="Times New Roman" w:eastAsia="宋体" w:cs="Times New Roman"/>
      <w:b/>
    </w:rPr>
  </w:style>
  <w:style w:type="character" w:customStyle="1" w:styleId="60">
    <w:name w:val="gwds_nopic"/>
    <w:basedOn w:val="17"/>
    <w:qFormat/>
    <w:uiPriority w:val="0"/>
    <w:rPr>
      <w:rFonts w:ascii="Times New Roman" w:hAnsi="Times New Roman" w:eastAsia="宋体" w:cs="Times New Roman"/>
    </w:rPr>
  </w:style>
  <w:style w:type="character" w:customStyle="1" w:styleId="61">
    <w:name w:val="gwds_nopic1"/>
    <w:basedOn w:val="17"/>
    <w:qFormat/>
    <w:uiPriority w:val="0"/>
    <w:rPr>
      <w:rFonts w:ascii="Times New Roman" w:hAnsi="Times New Roman" w:eastAsia="宋体" w:cs="Times New Roman"/>
    </w:rPr>
  </w:style>
  <w:style w:type="character" w:customStyle="1" w:styleId="62">
    <w:name w:val="gwds_nopic2"/>
    <w:basedOn w:val="17"/>
    <w:qFormat/>
    <w:uiPriority w:val="0"/>
    <w:rPr>
      <w:rFonts w:ascii="Times New Roman" w:hAnsi="Times New Roman" w:eastAsia="宋体" w:cs="Times New Roman"/>
    </w:rPr>
  </w:style>
  <w:style w:type="paragraph" w:customStyle="1" w:styleId="63">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5">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6">
    <w:name w:val="fontstyle01"/>
    <w:basedOn w:val="17"/>
    <w:qFormat/>
    <w:uiPriority w:val="0"/>
    <w:rPr>
      <w:rFonts w:ascii="宋体" w:hAnsi="宋体" w:eastAsia="宋体" w:cs="宋体"/>
      <w:color w:val="000000"/>
      <w:sz w:val="32"/>
      <w:szCs w:val="32"/>
    </w:rPr>
  </w:style>
  <w:style w:type="character" w:customStyle="1" w:styleId="67">
    <w:name w:val="active3"/>
    <w:basedOn w:val="17"/>
    <w:qFormat/>
    <w:uiPriority w:val="0"/>
    <w:rPr>
      <w:rFonts w:asciiTheme="minorHAnsi" w:hAnsiTheme="minorHAnsi" w:eastAsiaTheme="minorEastAsia" w:cstheme="minorBidi"/>
      <w:shd w:val="clear" w:color="auto" w:fill="222222"/>
    </w:rPr>
  </w:style>
  <w:style w:type="character" w:customStyle="1" w:styleId="68">
    <w:name w:val="active4"/>
    <w:basedOn w:val="17"/>
    <w:qFormat/>
    <w:uiPriority w:val="0"/>
    <w:rPr>
      <w:rFonts w:asciiTheme="minorHAnsi" w:hAnsiTheme="minorHAnsi" w:eastAsiaTheme="minorEastAsia" w:cstheme="minorBidi"/>
      <w:color w:val="FFFFFF"/>
      <w:shd w:val="clear" w:color="auto" w:fill="222222"/>
    </w:rPr>
  </w:style>
  <w:style w:type="character" w:customStyle="1" w:styleId="69">
    <w:name w:val="current"/>
    <w:basedOn w:val="17"/>
    <w:qFormat/>
    <w:uiPriority w:val="0"/>
    <w:rPr>
      <w:rFonts w:asciiTheme="minorHAnsi" w:hAnsiTheme="minorHAnsi" w:eastAsiaTheme="minorEastAsia" w:cstheme="minorBidi"/>
      <w:color w:val="FFFFFF"/>
      <w:shd w:val="clear" w:color="auto" w:fill="222222"/>
    </w:rPr>
  </w:style>
  <w:style w:type="character" w:customStyle="1" w:styleId="70">
    <w:name w:val="tmpztreemove_arrow"/>
    <w:basedOn w:val="17"/>
    <w:qFormat/>
    <w:uiPriority w:val="0"/>
    <w:rPr>
      <w:rFonts w:asciiTheme="minorHAnsi" w:hAnsiTheme="minorHAnsi" w:eastAsiaTheme="minorEastAsia" w:cstheme="minorBidi"/>
    </w:rPr>
  </w:style>
  <w:style w:type="character" w:customStyle="1" w:styleId="71">
    <w:name w:val="button"/>
    <w:basedOn w:val="17"/>
    <w:qFormat/>
    <w:uiPriority w:val="0"/>
    <w:rPr>
      <w:rFonts w:asciiTheme="minorHAnsi" w:hAnsiTheme="minorHAnsi" w:eastAsiaTheme="minorEastAsia" w:cstheme="minorBidi"/>
    </w:rPr>
  </w:style>
  <w:style w:type="paragraph" w:customStyle="1" w:styleId="72">
    <w:name w:val="列出段落11"/>
    <w:basedOn w:val="1"/>
    <w:qFormat/>
    <w:uiPriority w:val="34"/>
    <w:pPr>
      <w:ind w:firstLine="420"/>
    </w:pPr>
  </w:style>
  <w:style w:type="character" w:customStyle="1" w:styleId="73">
    <w:name w:val="正文 首行缩进 Char"/>
    <w:link w:val="74"/>
    <w:qFormat/>
    <w:uiPriority w:val="99"/>
    <w:rPr>
      <w:rFonts w:ascii="Arial" w:hAnsi="Arial" w:eastAsiaTheme="minorEastAsia" w:cstheme="minorBidi"/>
      <w:sz w:val="21"/>
    </w:rPr>
  </w:style>
  <w:style w:type="paragraph" w:customStyle="1" w:styleId="74">
    <w:name w:val="正文 首行缩进"/>
    <w:basedOn w:val="1"/>
    <w:link w:val="73"/>
    <w:qFormat/>
    <w:uiPriority w:val="99"/>
    <w:pPr>
      <w:spacing w:line="360" w:lineRule="auto"/>
      <w:ind w:firstLine="420"/>
    </w:pPr>
    <w:rPr>
      <w:rFonts w:ascii="Arial" w:hAnsi="Arial" w:eastAsiaTheme="minorEastAsia" w:cstheme="minorBidi"/>
      <w:sz w:val="21"/>
    </w:rPr>
  </w:style>
  <w:style w:type="paragraph" w:customStyle="1" w:styleId="75">
    <w:name w:val="表格标题_0"/>
    <w:basedOn w:val="1"/>
    <w:link w:val="81"/>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6">
    <w:name w:val="标题 3_0"/>
    <w:basedOn w:val="1"/>
    <w:next w:val="1"/>
    <w:link w:val="80"/>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7">
    <w:name w:val="需求正文"/>
    <w:basedOn w:val="1"/>
    <w:link w:val="78"/>
    <w:qFormat/>
    <w:uiPriority w:val="0"/>
    <w:pPr>
      <w:spacing w:line="240" w:lineRule="auto"/>
      <w:ind w:firstLine="420" w:firstLineChars="0"/>
    </w:pPr>
    <w:rPr>
      <w:rFonts w:ascii="Arial" w:hAnsi="Arial"/>
      <w:sz w:val="21"/>
    </w:rPr>
  </w:style>
  <w:style w:type="character" w:customStyle="1" w:styleId="78">
    <w:name w:val="需求正文 Char"/>
    <w:link w:val="77"/>
    <w:qFormat/>
    <w:uiPriority w:val="0"/>
    <w:rPr>
      <w:rFonts w:ascii="Arial" w:hAnsi="Arial" w:eastAsiaTheme="minorEastAsia" w:cstheme="minorBidi"/>
      <w:sz w:val="21"/>
    </w:rPr>
  </w:style>
  <w:style w:type="character" w:customStyle="1" w:styleId="79">
    <w:name w:val="批注文字 Char"/>
    <w:basedOn w:val="17"/>
    <w:link w:val="7"/>
    <w:semiHidden/>
    <w:qFormat/>
    <w:uiPriority w:val="99"/>
    <w:rPr>
      <w:rFonts w:asciiTheme="minorHAnsi" w:hAnsiTheme="minorHAnsi" w:eastAsiaTheme="minorEastAsia" w:cstheme="minorBidi"/>
    </w:rPr>
  </w:style>
  <w:style w:type="character" w:customStyle="1" w:styleId="80">
    <w:name w:val="标题 3 Char_0"/>
    <w:link w:val="76"/>
    <w:qFormat/>
    <w:locked/>
    <w:uiPriority w:val="9"/>
    <w:rPr>
      <w:rFonts w:ascii="Times New Roman" w:hAnsi="Times New Roman" w:eastAsiaTheme="minorEastAsia" w:cstheme="minorBidi"/>
      <w:b/>
      <w:bCs/>
      <w:kern w:val="0"/>
      <w:sz w:val="32"/>
      <w:szCs w:val="32"/>
    </w:rPr>
  </w:style>
  <w:style w:type="character" w:customStyle="1" w:styleId="81">
    <w:name w:val="表格标题 Char"/>
    <w:link w:val="75"/>
    <w:qFormat/>
    <w:uiPriority w:val="0"/>
    <w:rPr>
      <w:rFonts w:ascii="Calibri" w:hAnsi="Calibri" w:eastAsiaTheme="minorEastAsia" w:cstheme="minorBidi"/>
      <w:b/>
      <w:kern w:val="0"/>
      <w:sz w:val="18"/>
      <w:szCs w:val="18"/>
    </w:rPr>
  </w:style>
  <w:style w:type="character" w:customStyle="1" w:styleId="82">
    <w:name w:val="批注主题 Char"/>
    <w:basedOn w:val="79"/>
    <w:link w:val="14"/>
    <w:semiHidden/>
    <w:qFormat/>
    <w:uiPriority w:val="99"/>
    <w:rPr>
      <w:rFonts w:asciiTheme="minorHAnsi" w:hAnsiTheme="minorHAnsi" w:eastAsiaTheme="minorEastAsia" w:cstheme="minorBidi"/>
      <w:b/>
      <w:bCs/>
    </w:rPr>
  </w:style>
  <w:style w:type="paragraph" w:customStyle="1" w:styleId="83">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4">
    <w:name w:val="征管规范图例表头 字符"/>
    <w:link w:val="85"/>
    <w:qFormat/>
    <w:uiPriority w:val="0"/>
    <w:rPr>
      <w:rFonts w:asciiTheme="minorHAnsi" w:hAnsiTheme="minorHAnsi" w:eastAsiaTheme="minorEastAsia" w:cstheme="minorBidi"/>
      <w:b/>
      <w:sz w:val="18"/>
    </w:rPr>
  </w:style>
  <w:style w:type="paragraph" w:customStyle="1" w:styleId="85">
    <w:name w:val="征管规范图例表头"/>
    <w:basedOn w:val="83"/>
    <w:link w:val="84"/>
    <w:qFormat/>
    <w:uiPriority w:val="0"/>
    <w:pPr>
      <w:jc w:val="center"/>
    </w:pPr>
    <w:rPr>
      <w:rFonts w:asciiTheme="minorHAnsi" w:hAnsiTheme="minorHAnsi" w:eastAsiaTheme="minorEastAsia" w:cstheme="minorBidi"/>
      <w:b/>
      <w:sz w:val="18"/>
    </w:rPr>
  </w:style>
  <w:style w:type="paragraph" w:customStyle="1" w:styleId="86">
    <w:name w:val="表格文字 居中_0"/>
    <w:basedOn w:val="1"/>
    <w:link w:val="96"/>
    <w:qFormat/>
    <w:uiPriority w:val="0"/>
    <w:pPr>
      <w:jc w:val="center"/>
    </w:pPr>
    <w:rPr>
      <w:rFonts w:ascii="Arial" w:hAnsi="Arial"/>
      <w:kern w:val="0"/>
      <w:sz w:val="18"/>
      <w:szCs w:val="24"/>
    </w:rPr>
  </w:style>
  <w:style w:type="character" w:customStyle="1" w:styleId="87">
    <w:name w:val="red2"/>
    <w:basedOn w:val="17"/>
    <w:qFormat/>
    <w:uiPriority w:val="0"/>
    <w:rPr>
      <w:rFonts w:hint="eastAsia" w:ascii="宋体" w:hAnsi="宋体" w:eastAsia="宋体" w:cs="宋体"/>
      <w:b/>
      <w:color w:val="FF0000"/>
    </w:rPr>
  </w:style>
  <w:style w:type="character" w:customStyle="1" w:styleId="88">
    <w:name w:val="tree-text"/>
    <w:basedOn w:val="17"/>
    <w:qFormat/>
    <w:uiPriority w:val="0"/>
    <w:rPr>
      <w:rFonts w:ascii="Times New Roman" w:hAnsi="Times New Roman" w:eastAsia="宋体" w:cs="Times New Roman"/>
    </w:rPr>
  </w:style>
  <w:style w:type="paragraph" w:customStyle="1" w:styleId="89">
    <w:name w:val="_Style 29"/>
    <w:basedOn w:val="1"/>
    <w:next w:val="1"/>
    <w:qFormat/>
    <w:uiPriority w:val="0"/>
    <w:pPr>
      <w:pBdr>
        <w:bottom w:val="single" w:color="auto" w:sz="6" w:space="1"/>
      </w:pBdr>
      <w:jc w:val="center"/>
    </w:pPr>
    <w:rPr>
      <w:rFonts w:ascii="Arial"/>
      <w:vanish/>
      <w:sz w:val="16"/>
    </w:rPr>
  </w:style>
  <w:style w:type="paragraph" w:customStyle="1" w:styleId="90">
    <w:name w:val="_Style 30"/>
    <w:basedOn w:val="1"/>
    <w:next w:val="1"/>
    <w:qFormat/>
    <w:uiPriority w:val="0"/>
    <w:pPr>
      <w:pBdr>
        <w:top w:val="single" w:color="auto" w:sz="6" w:space="1"/>
      </w:pBdr>
      <w:jc w:val="center"/>
    </w:pPr>
    <w:rPr>
      <w:rFonts w:ascii="Arial"/>
      <w:vanish/>
      <w:sz w:val="16"/>
    </w:rPr>
  </w:style>
  <w:style w:type="paragraph" w:customStyle="1" w:styleId="91">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2">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3">
    <w:name w:val="表格列标题_0"/>
    <w:basedOn w:val="1"/>
    <w:link w:val="95"/>
    <w:qFormat/>
    <w:uiPriority w:val="0"/>
    <w:pPr>
      <w:jc w:val="center"/>
    </w:pPr>
    <w:rPr>
      <w:rFonts w:ascii="Arial" w:hAnsi="Arial"/>
      <w:b/>
      <w:kern w:val="0"/>
      <w:sz w:val="18"/>
      <w:szCs w:val="24"/>
    </w:rPr>
  </w:style>
  <w:style w:type="paragraph" w:customStyle="1" w:styleId="94">
    <w:name w:val="需求正文_0"/>
    <w:basedOn w:val="1"/>
    <w:qFormat/>
    <w:uiPriority w:val="0"/>
    <w:pPr>
      <w:topLinePunct/>
    </w:pPr>
    <w:rPr>
      <w:kern w:val="20"/>
      <w:sz w:val="20"/>
      <w:szCs w:val="20"/>
    </w:rPr>
  </w:style>
  <w:style w:type="character" w:customStyle="1" w:styleId="95">
    <w:name w:val="表格列标题 Char"/>
    <w:link w:val="93"/>
    <w:qFormat/>
    <w:uiPriority w:val="0"/>
    <w:rPr>
      <w:rFonts w:ascii="Arial" w:hAnsi="Arial" w:eastAsia="宋体" w:cs="Times New Roman"/>
      <w:b/>
      <w:kern w:val="0"/>
      <w:sz w:val="18"/>
      <w:szCs w:val="24"/>
    </w:rPr>
  </w:style>
  <w:style w:type="character" w:customStyle="1" w:styleId="96">
    <w:name w:val="表格文字 居中 Char"/>
    <w:link w:val="86"/>
    <w:qFormat/>
    <w:uiPriority w:val="0"/>
    <w:rPr>
      <w:rFonts w:ascii="Arial" w:hAnsi="Arial" w:eastAsia="宋体" w:cs="Times New Roman"/>
      <w:kern w:val="0"/>
      <w:sz w:val="18"/>
      <w:szCs w:val="24"/>
    </w:rPr>
  </w:style>
  <w:style w:type="paragraph" w:customStyle="1" w:styleId="97">
    <w:name w:val="_Style 57"/>
    <w:basedOn w:val="1"/>
    <w:next w:val="1"/>
    <w:qFormat/>
    <w:uiPriority w:val="0"/>
    <w:pPr>
      <w:pBdr>
        <w:bottom w:val="single" w:color="auto" w:sz="6" w:space="1"/>
      </w:pBdr>
      <w:jc w:val="center"/>
    </w:pPr>
    <w:rPr>
      <w:rFonts w:ascii="Arial"/>
      <w:vanish/>
      <w:sz w:val="16"/>
    </w:rPr>
  </w:style>
  <w:style w:type="paragraph" w:customStyle="1" w:styleId="98">
    <w:name w:val="_Style 15"/>
    <w:basedOn w:val="1"/>
    <w:next w:val="1"/>
    <w:qFormat/>
    <w:uiPriority w:val="0"/>
    <w:pPr>
      <w:pBdr>
        <w:bottom w:val="single" w:color="auto" w:sz="6" w:space="1"/>
      </w:pBdr>
      <w:jc w:val="center"/>
    </w:pPr>
    <w:rPr>
      <w:rFonts w:ascii="Arial"/>
      <w:vanish/>
      <w:sz w:val="16"/>
    </w:rPr>
  </w:style>
  <w:style w:type="paragraph" w:customStyle="1" w:styleId="99">
    <w:name w:val="_Style 16"/>
    <w:basedOn w:val="1"/>
    <w:next w:val="1"/>
    <w:qFormat/>
    <w:uiPriority w:val="0"/>
    <w:pPr>
      <w:pBdr>
        <w:top w:val="single" w:color="auto" w:sz="6" w:space="1"/>
      </w:pBdr>
      <w:jc w:val="center"/>
    </w:pPr>
    <w:rPr>
      <w:rFonts w:ascii="Arial"/>
      <w:vanish/>
      <w:sz w:val="16"/>
    </w:rPr>
  </w:style>
  <w:style w:type="character" w:customStyle="1" w:styleId="100">
    <w:name w:val="hover6"/>
    <w:basedOn w:val="17"/>
    <w:qFormat/>
    <w:uiPriority w:val="0"/>
    <w:rPr>
      <w:rFonts w:asciiTheme="minorHAnsi" w:hAnsiTheme="minorHAnsi" w:eastAsiaTheme="minorEastAsia" w:cstheme="minorBidi"/>
      <w:color w:val="FFFFFF"/>
      <w:shd w:val="clear" w:color="auto" w:fill="F9AC00"/>
    </w:rPr>
  </w:style>
  <w:style w:type="paragraph" w:customStyle="1" w:styleId="101">
    <w:name w:val="一级标题"/>
    <w:basedOn w:val="2"/>
    <w:next w:val="1"/>
    <w:link w:val="103"/>
    <w:qFormat/>
    <w:uiPriority w:val="0"/>
    <w:pPr>
      <w:spacing w:before="0" w:after="0" w:line="578" w:lineRule="exact"/>
      <w:ind w:firstLine="560"/>
    </w:pPr>
    <w:rPr>
      <w:rFonts w:eastAsia="黑体"/>
      <w:bCs w:val="0"/>
      <w:sz w:val="28"/>
    </w:rPr>
  </w:style>
  <w:style w:type="paragraph" w:customStyle="1" w:styleId="102">
    <w:name w:val="二级标题"/>
    <w:basedOn w:val="2"/>
    <w:link w:val="104"/>
    <w:qFormat/>
    <w:uiPriority w:val="0"/>
    <w:pPr>
      <w:spacing w:before="0" w:after="0" w:line="578" w:lineRule="exact"/>
      <w:ind w:firstLine="560"/>
      <w:outlineLvl w:val="1"/>
    </w:pPr>
    <w:rPr>
      <w:rFonts w:eastAsia="黑体"/>
      <w:bCs w:val="0"/>
      <w:sz w:val="28"/>
    </w:rPr>
  </w:style>
  <w:style w:type="character" w:customStyle="1" w:styleId="103">
    <w:name w:val="一级标题 Char"/>
    <w:basedOn w:val="29"/>
    <w:link w:val="101"/>
    <w:qFormat/>
    <w:uiPriority w:val="0"/>
    <w:rPr>
      <w:rFonts w:eastAsia="黑体" w:asciiTheme="minorHAnsi" w:hAnsiTheme="minorHAnsi" w:cstheme="minorBidi"/>
      <w:bCs w:val="0"/>
      <w:sz w:val="28"/>
    </w:rPr>
  </w:style>
  <w:style w:type="character" w:customStyle="1" w:styleId="104">
    <w:name w:val="二级标题 Char"/>
    <w:basedOn w:val="30"/>
    <w:link w:val="102"/>
    <w:qFormat/>
    <w:uiPriority w:val="0"/>
    <w:rPr>
      <w:rFonts w:eastAsia="黑体"/>
      <w:bCs w:val="0"/>
      <w:sz w:val="28"/>
    </w:rPr>
  </w:style>
  <w:style w:type="paragraph" w:customStyle="1" w:styleId="105">
    <w:name w:val="三级标题"/>
    <w:basedOn w:val="4"/>
    <w:next w:val="1"/>
    <w:link w:val="106"/>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6">
    <w:name w:val="三级标题 Char"/>
    <w:basedOn w:val="17"/>
    <w:link w:val="105"/>
    <w:qFormat/>
    <w:uiPriority w:val="0"/>
    <w:rPr>
      <w:rFonts w:eastAsia="楷体" w:asciiTheme="minorHAnsi" w:hAnsiTheme="minorHAnsi" w:cstheme="minorBidi"/>
      <w:sz w:val="28"/>
    </w:rPr>
  </w:style>
  <w:style w:type="paragraph" w:customStyle="1" w:styleId="107">
    <w:name w:val="列出段落2"/>
    <w:basedOn w:val="1"/>
    <w:qFormat/>
    <w:uiPriority w:val="34"/>
    <w:pPr>
      <w:ind w:firstLine="420"/>
    </w:pPr>
  </w:style>
  <w:style w:type="paragraph" w:customStyle="1" w:styleId="108">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9">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2019-10-31T07:31:00Z</dcterms:created>
  <dc:creator>TOM</dc:creator>
  <cp:lastModifiedBy>TOM</cp:lastModifiedBy>
  <dcterms:modified xsi:type="dcterms:W3CDTF">2019-11-01T01:12:39Z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