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26325"/>
      <w:r>
        <w:rPr>
          <w:rFonts w:hint="eastAsia" w:ascii="黑体" w:hAnsi="黑体"/>
          <w:color w:val="auto"/>
        </w:rPr>
        <w:t>1.3.19.4其他代扣代缴、代收代缴申报</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其</w:t>
      </w:r>
      <w:r>
        <w:rPr>
          <w:color w:val="auto"/>
        </w:rPr>
        <w:t>他</w:t>
      </w:r>
      <w:r>
        <w:rPr>
          <w:rFonts w:hint="eastAsia"/>
          <w:color w:val="auto"/>
        </w:rPr>
        <w:t>代扣代缴、代收代缴申报</w:t>
      </w:r>
    </w:p>
    <w:p>
      <w:pPr>
        <w:pStyle w:val="3"/>
        <w:ind w:firstLine="552"/>
        <w:rPr>
          <w:color w:val="auto"/>
        </w:rPr>
      </w:pPr>
      <w:r>
        <w:rPr>
          <w:color w:val="auto"/>
        </w:rPr>
        <w:t>二、事项类别</w:t>
      </w:r>
    </w:p>
    <w:p>
      <w:pPr>
        <w:pStyle w:val="49"/>
        <w:numPr>
          <w:ilvl w:val="0"/>
          <w:numId w:val="3"/>
        </w:numPr>
        <w:ind w:left="0" w:firstLine="472"/>
        <w:rPr>
          <w:color w:val="auto"/>
        </w:rPr>
      </w:pPr>
      <w:r>
        <w:rPr>
          <w:rFonts w:hint="eastAsia"/>
          <w:color w:val="auto"/>
        </w:rPr>
        <w:t>发起方式：人工发起（纳税人）</w:t>
      </w:r>
    </w:p>
    <w:p>
      <w:pPr>
        <w:pStyle w:val="49"/>
        <w:numPr>
          <w:ilvl w:val="0"/>
          <w:numId w:val="3"/>
        </w:numPr>
        <w:ind w:left="0" w:firstLine="472"/>
        <w:rPr>
          <w:color w:val="auto"/>
        </w:rPr>
      </w:pPr>
      <w:r>
        <w:rPr>
          <w:rFonts w:hint="eastAsia"/>
          <w:color w:val="auto"/>
        </w:rPr>
        <w:t>办结方式：即办</w:t>
      </w:r>
    </w:p>
    <w:p>
      <w:pPr>
        <w:pStyle w:val="49"/>
        <w:numPr>
          <w:ilvl w:val="0"/>
          <w:numId w:val="3"/>
        </w:numPr>
        <w:ind w:left="0" w:firstLine="472"/>
        <w:rPr>
          <w:color w:val="auto"/>
        </w:rPr>
      </w:pPr>
      <w:r>
        <w:rPr>
          <w:rFonts w:hint="eastAsia"/>
          <w:color w:val="auto"/>
        </w:rPr>
        <w:t>全省通办：是</w:t>
      </w:r>
    </w:p>
    <w:p>
      <w:pPr>
        <w:pStyle w:val="49"/>
        <w:numPr>
          <w:ilvl w:val="0"/>
          <w:numId w:val="3"/>
        </w:numPr>
        <w:ind w:left="0" w:firstLine="472"/>
        <w:rPr>
          <w:color w:val="auto"/>
        </w:rPr>
      </w:pPr>
      <w:r>
        <w:rPr>
          <w:rFonts w:hint="eastAsia"/>
          <w:color w:val="auto"/>
        </w:rPr>
        <w:t>网上办理：是</w:t>
      </w:r>
    </w:p>
    <w:p>
      <w:pPr>
        <w:pStyle w:val="49"/>
        <w:numPr>
          <w:ilvl w:val="0"/>
          <w:numId w:val="3"/>
        </w:numPr>
        <w:ind w:left="0" w:firstLine="472"/>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kern w:val="20"/>
          <w:szCs w:val="21"/>
        </w:rPr>
      </w:pPr>
      <w:r>
        <w:rPr>
          <w:color w:val="auto"/>
          <w:kern w:val="20"/>
          <w:szCs w:val="21"/>
        </w:rPr>
        <w:t>扣缴义务人履行除扣缴企业所得税申报、扣缴个人所得税申报、</w:t>
      </w:r>
      <w:r>
        <w:rPr>
          <w:rFonts w:hint="eastAsia"/>
          <w:color w:val="auto"/>
          <w:kern w:val="20"/>
          <w:szCs w:val="21"/>
        </w:rPr>
        <w:t>特定行业个人所得税年度申报、</w:t>
      </w:r>
      <w:r>
        <w:rPr>
          <w:color w:val="auto"/>
          <w:kern w:val="20"/>
          <w:szCs w:val="21"/>
        </w:rPr>
        <w:t>扣缴储蓄存款利息所得个人所得税申报、限售股转让所得扣缴个人所得税申报、代收代缴车船税申报、代扣代缴文化事业建设费申报、代扣代缴证券交易印花税申报之外的代扣代缴、代收代缴税款报告义务，填写《代扣代缴、代收代缴税款报告表》及《代扣代缴、代收代缴税款明细报告表》，进行扣缴申报的业务。</w:t>
      </w:r>
    </w:p>
    <w:p>
      <w:pPr>
        <w:ind w:firstLine="472"/>
        <w:rPr>
          <w:color w:val="auto"/>
          <w:kern w:val="20"/>
          <w:szCs w:val="21"/>
        </w:rPr>
      </w:pPr>
      <w:r>
        <w:rPr>
          <w:rFonts w:hint="eastAsia"/>
          <w:color w:val="auto"/>
          <w:kern w:val="20"/>
          <w:szCs w:val="21"/>
        </w:rPr>
        <w:t>1．中华人民共和国境外的单位或者个人在境内提供应税服务，在境内未设有经营机构的，以其代理人为增值税扣缴义务人；在境内没有代理人的，以接受方为增值税扣缴义务人。</w:t>
      </w:r>
    </w:p>
    <w:p>
      <w:pPr>
        <w:ind w:firstLine="472"/>
        <w:rPr>
          <w:color w:val="auto"/>
          <w:kern w:val="20"/>
          <w:szCs w:val="21"/>
        </w:rPr>
      </w:pPr>
      <w:r>
        <w:rPr>
          <w:rFonts w:hint="eastAsia"/>
          <w:color w:val="auto"/>
          <w:kern w:val="20"/>
          <w:szCs w:val="21"/>
        </w:rPr>
        <w:t>中华人民共和国境外的单位或者个人在境内提供应税劳务，在境内未设有经营机构的，以其境内代理人为扣缴义务人；在境内没有代理人的，以购买方为扣缴义务人。</w:t>
      </w:r>
    </w:p>
    <w:p>
      <w:pPr>
        <w:ind w:firstLine="472"/>
        <w:rPr>
          <w:color w:val="auto"/>
        </w:rPr>
      </w:pPr>
      <w:r>
        <w:rPr>
          <w:rFonts w:hint="eastAsia"/>
          <w:color w:val="auto"/>
          <w:kern w:val="20"/>
          <w:szCs w:val="21"/>
        </w:rPr>
        <w:t>2</w:t>
      </w:r>
      <w:r>
        <w:rPr>
          <w:color w:val="auto"/>
          <w:kern w:val="20"/>
          <w:szCs w:val="21"/>
        </w:rPr>
        <w:t>.</w:t>
      </w:r>
      <w:r>
        <w:rPr>
          <w:rFonts w:hint="eastAsia"/>
          <w:color w:val="auto"/>
          <w:kern w:val="20"/>
          <w:szCs w:val="21"/>
        </w:rPr>
        <w:t>收购资源税未税矿产品的独立矿山、联合企业以及其他单位为资源税代扣代缴义务人。资源税代扣代缴的适用范围应限定在除原油、天然气、煤炭以外的，税源小、零散、不定期开采等难以在采矿地申报缴纳资源税的矿产品。对已纳入开采地正常税务管理或者在销售矿产品时开具增值税发票的纳税人，不采用代扣代缴的征管方式。</w:t>
      </w:r>
    </w:p>
    <w:p>
      <w:pPr>
        <w:pStyle w:val="3"/>
        <w:ind w:firstLine="552"/>
        <w:rPr>
          <w:color w:val="auto"/>
        </w:rPr>
      </w:pPr>
      <w:r>
        <w:rPr>
          <w:rFonts w:hint="eastAsia"/>
          <w:color w:val="auto"/>
        </w:rPr>
        <w:t>四、设定依据</w:t>
      </w:r>
    </w:p>
    <w:p>
      <w:pPr>
        <w:ind w:firstLine="472"/>
        <w:rPr>
          <w:rFonts w:hint="default"/>
          <w:color w:val="auto"/>
          <w:kern w:val="20"/>
          <w:szCs w:val="21"/>
        </w:rPr>
      </w:pPr>
      <w:r>
        <w:rPr>
          <w:rFonts w:hint="eastAsia"/>
          <w:color w:val="auto"/>
          <w:kern w:val="20"/>
          <w:szCs w:val="21"/>
          <w:lang w:val="en-US" w:eastAsia="zh-CN"/>
        </w:rPr>
        <w:t>1.</w:t>
      </w:r>
      <w:r>
        <w:rPr>
          <w:rFonts w:hint="default"/>
          <w:color w:val="auto"/>
          <w:kern w:val="20"/>
          <w:szCs w:val="21"/>
        </w:rPr>
        <w:t>《中华人民共和国税收征收管理法》第二十五条第二款</w:t>
      </w:r>
    </w:p>
    <w:p>
      <w:pPr>
        <w:ind w:firstLine="472"/>
        <w:rPr>
          <w:rFonts w:hint="eastAsia"/>
          <w:color w:val="auto"/>
          <w:kern w:val="20"/>
          <w:szCs w:val="21"/>
        </w:rPr>
      </w:pPr>
      <w:r>
        <w:rPr>
          <w:rFonts w:hint="eastAsia"/>
          <w:color w:val="auto"/>
          <w:kern w:val="20"/>
          <w:szCs w:val="21"/>
          <w:lang w:eastAsia="zh-CN"/>
        </w:rPr>
        <w:t>“</w:t>
      </w:r>
      <w:r>
        <w:rPr>
          <w:rFonts w:hint="eastAsia"/>
          <w:color w:val="auto"/>
          <w:kern w:val="20"/>
          <w:szCs w:val="21"/>
        </w:rPr>
        <w:t>扣缴义务人必须依照法律、行政法规规定或者税务机关依照法律、行政法规的规定确定的申报期限、申报内容如实报送代扣代缴、代收代缴税款报告表以及税务机关根据实际需要要求扣缴义务人报送的其他有关资料。</w:t>
      </w:r>
      <w:r>
        <w:rPr>
          <w:rFonts w:hint="eastAsia"/>
          <w:color w:val="auto"/>
          <w:kern w:val="20"/>
          <w:szCs w:val="21"/>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r>
              <w:rPr>
                <w:rFonts w:ascii="宋体" w:hAnsi="宋体" w:eastAsia="宋体" w:cs="微软雅黑"/>
                <w:color w:val="auto"/>
                <w:sz w:val="18"/>
                <w:szCs w:val="18"/>
              </w:rPr>
              <w:t>1</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eastAsia="宋体" w:cs="宋体"/>
                <w:color w:val="auto"/>
                <w:sz w:val="18"/>
                <w:szCs w:val="18"/>
              </w:rPr>
              <w:t>《代扣代缴、代收代缴税款报告表》</w:t>
            </w:r>
          </w:p>
        </w:tc>
        <w:tc>
          <w:tcPr>
            <w:tcW w:w="709" w:type="dxa"/>
            <w:shd w:val="clear" w:color="auto" w:fill="auto"/>
            <w:vAlign w:val="center"/>
          </w:tcPr>
          <w:p>
            <w:pPr>
              <w:pStyle w:val="13"/>
              <w:widowControl/>
              <w:spacing w:beforeAutospacing="0" w:afterAutospacing="0" w:line="280" w:lineRule="exact"/>
              <w:jc w:val="center"/>
              <w:rPr>
                <w:rFonts w:cs="宋体"/>
                <w:color w:val="auto"/>
                <w:kern w:val="0"/>
                <w:sz w:val="18"/>
                <w:szCs w:val="18"/>
              </w:rPr>
            </w:pPr>
            <w:r>
              <w:rPr>
                <w:rStyle w:val="17"/>
                <w:rFonts w:ascii="宋体" w:hAnsi="宋体" w:eastAsia="宋体" w:cs="微软雅黑"/>
                <w:b w:val="0"/>
                <w:color w:val="auto"/>
                <w:sz w:val="18"/>
                <w:szCs w:val="18"/>
              </w:rPr>
              <w:t>2</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r>
              <w:rPr>
                <w:rFonts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《代扣代缴、代收代缴税款明细报告表》</w:t>
            </w:r>
          </w:p>
        </w:tc>
        <w:tc>
          <w:tcPr>
            <w:tcW w:w="709" w:type="dxa"/>
            <w:shd w:val="clear" w:color="auto" w:fill="auto"/>
            <w:vAlign w:val="center"/>
          </w:tcPr>
          <w:p>
            <w:pPr>
              <w:pStyle w:val="13"/>
              <w:widowControl/>
              <w:spacing w:beforeAutospacing="0" w:afterAutospacing="0" w:line="280" w:lineRule="exact"/>
              <w:jc w:val="center"/>
              <w:rPr>
                <w:rFonts w:cs="宋体"/>
                <w:color w:val="auto"/>
                <w:kern w:val="0"/>
                <w:sz w:val="18"/>
                <w:szCs w:val="18"/>
              </w:rPr>
            </w:pPr>
            <w:r>
              <w:rPr>
                <w:rStyle w:val="17"/>
                <w:rFonts w:ascii="宋体" w:hAnsi="宋体" w:eastAsia="宋体" w:cs="微软雅黑"/>
                <w:b w:val="0"/>
                <w:color w:val="auto"/>
                <w:sz w:val="18"/>
                <w:szCs w:val="18"/>
              </w:rPr>
              <w:t>2</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eastAsia="宋体" w:cs="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eastAsia="宋体" w:cs="宋体"/>
                <w:color w:val="auto"/>
                <w:sz w:val="18"/>
                <w:szCs w:val="18"/>
              </w:rPr>
              <w:t>需要进行税种明细申报的纳税人提供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Fonts w:ascii="宋体" w:hAnsi="宋体" w:eastAsia="宋体" w:cs="微软雅黑"/>
                <w:color w:val="auto"/>
                <w:sz w:val="18"/>
                <w:szCs w:val="18"/>
              </w:rPr>
              <w:t>3</w:t>
            </w:r>
          </w:p>
        </w:tc>
        <w:tc>
          <w:tcPr>
            <w:tcW w:w="2551" w:type="dxa"/>
            <w:shd w:val="clear" w:color="auto" w:fill="auto"/>
            <w:vAlign w:val="center"/>
          </w:tcPr>
          <w:p>
            <w:pPr>
              <w:pStyle w:val="13"/>
              <w:widowControl/>
              <w:spacing w:beforeAutospacing="0" w:afterAutospacing="0" w:line="280" w:lineRule="exact"/>
              <w:ind w:firstLine="0" w:firstLineChars="0"/>
              <w:rPr>
                <w:rFonts w:hint="eastAsia" w:cs="宋体"/>
                <w:color w:val="auto"/>
                <w:kern w:val="0"/>
                <w:sz w:val="18"/>
                <w:szCs w:val="18"/>
              </w:rPr>
            </w:pPr>
            <w:r>
              <w:rPr>
                <w:rFonts w:eastAsia="宋体" w:cs="宋体"/>
                <w:color w:val="auto"/>
                <w:sz w:val="18"/>
                <w:szCs w:val="18"/>
              </w:rPr>
              <w:t>《中华人民共和国税收缴款书（代扣代收专用）》第二联</w:t>
            </w:r>
          </w:p>
        </w:tc>
        <w:tc>
          <w:tcPr>
            <w:tcW w:w="709" w:type="dxa"/>
            <w:shd w:val="clear" w:color="auto" w:fill="auto"/>
            <w:vAlign w:val="center"/>
          </w:tcPr>
          <w:p>
            <w:pPr>
              <w:pStyle w:val="13"/>
              <w:widowControl/>
              <w:spacing w:beforeAutospacing="0" w:afterAutospacing="0" w:line="280" w:lineRule="exact"/>
              <w:jc w:val="center"/>
              <w:rPr>
                <w:rFonts w:hint="eastAsia" w:cs="宋体"/>
                <w:color w:val="auto"/>
                <w:kern w:val="0"/>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eastAsia="宋体" w:cs="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eastAsia="宋体" w:cs="宋体"/>
                <w:color w:val="auto"/>
                <w:sz w:val="18"/>
                <w:szCs w:val="18"/>
              </w:rPr>
              <w:t>扣缴义务人在扣缴税款时已向被扣缴义务人开具税票的提供</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Fonts w:ascii="宋体" w:hAnsi="宋体" w:eastAsia="宋体" w:cs="微软雅黑"/>
                <w:color w:val="auto"/>
                <w:sz w:val="18"/>
                <w:szCs w:val="18"/>
              </w:rPr>
              <w:t>4</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cs="宋体"/>
                <w:color w:val="auto"/>
                <w:kern w:val="0"/>
                <w:sz w:val="18"/>
                <w:szCs w:val="18"/>
              </w:rPr>
              <w:t>《中华人民共和国税收缴款书（银行经收专用）》第一联</w:t>
            </w:r>
          </w:p>
        </w:tc>
        <w:tc>
          <w:tcPr>
            <w:tcW w:w="709" w:type="dxa"/>
            <w:shd w:val="clear" w:color="auto" w:fill="auto"/>
            <w:vAlign w:val="center"/>
          </w:tcPr>
          <w:p>
            <w:pPr>
              <w:pStyle w:val="13"/>
              <w:widowControl/>
              <w:spacing w:beforeAutospacing="0" w:afterAutospacing="0" w:line="280" w:lineRule="exact"/>
              <w:jc w:val="center"/>
              <w:rPr>
                <w:rFonts w:hint="eastAsia" w:cs="宋体"/>
                <w:color w:val="auto"/>
                <w:kern w:val="0"/>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eastAsia="宋体" w:cs="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eastAsia="宋体" w:cs="宋体"/>
                <w:color w:val="auto"/>
                <w:sz w:val="18"/>
                <w:szCs w:val="18"/>
              </w:rPr>
              <w:t>扣缴义务人汇总缴库开具税票的提供</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r>
        <w:rPr>
          <w:rFonts w:ascii="宋体" w:hAnsi="宋体" w:eastAsia="楷体" w:cs="Times New Roman"/>
          <w:b w:val="0"/>
          <w:bCs w:val="0"/>
          <w:color w:val="auto"/>
          <w:sz w:val="28"/>
        </w:rPr>
        <w:object>
          <v:shape id="_x0000_i1113" o:spt="75" type="#_x0000_t75" style="height:117.75pt;width:440.15pt;" o:ole="t" filled="f" o:preferrelative="t" stroked="f" coordsize="21600,21600">
            <v:path/>
            <v:fill on="f" focussize="0,0"/>
            <v:stroke on="f"/>
            <v:imagedata r:id="rId11" o:title=""/>
            <o:lock v:ext="edit" aspectratio="t"/>
            <w10:wrap type="none"/>
            <w10:anchorlock/>
          </v:shape>
          <o:OLEObject Type="Embed" ProgID="Visio.Drawing.11" ShapeID="_x0000_i1113"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lang w:eastAsia="zh-CN"/>
        </w:rPr>
      </w:pPr>
      <w:r>
        <w:rPr>
          <w:rFonts w:hint="eastAsia"/>
          <w:color w:val="auto"/>
        </w:rPr>
        <w:t>1.A06132《代扣代缴、代收代缴税款报告表》</w:t>
      </w:r>
    </w:p>
    <w:p>
      <w:pPr>
        <w:ind w:firstLine="472"/>
        <w:rPr>
          <w:rFonts w:hint="default" w:eastAsia="宋体"/>
          <w:color w:val="auto"/>
          <w:lang w:val="en-US" w:eastAsia="zh-CN"/>
        </w:rPr>
      </w:pPr>
      <w:r>
        <w:rPr>
          <w:rFonts w:hint="eastAsia"/>
          <w:color w:val="auto"/>
          <w:lang w:val="en-US" w:eastAsia="zh-CN"/>
        </w:rPr>
        <w:t>2.A06133《代扣代缴、代收代缴税款明细报告表》</w:t>
      </w:r>
    </w:p>
    <w:p>
      <w:pPr>
        <w:pStyle w:val="3"/>
        <w:ind w:firstLine="552"/>
        <w:rPr>
          <w:color w:val="auto"/>
        </w:rPr>
      </w:pPr>
      <w:r>
        <w:rPr>
          <w:rFonts w:hint="eastAsia"/>
          <w:color w:val="auto"/>
        </w:rPr>
        <w:t>九、注意事项</w:t>
      </w:r>
    </w:p>
    <w:p>
      <w:pPr>
        <w:ind w:firstLine="472"/>
        <w:rPr>
          <w:color w:val="auto"/>
        </w:rPr>
      </w:pPr>
      <w:r>
        <w:rPr>
          <w:rFonts w:hint="eastAsia"/>
          <w:color w:val="auto"/>
          <w:lang w:val="en-US" w:eastAsia="zh-CN"/>
        </w:rPr>
        <w:t>1</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0610A"/>
    <w:multiLevelType w:val="multilevel"/>
    <w:tmpl w:val="1280610A"/>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E06E16"/>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2019-10-31T06:30:15Z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