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0536"/>
      <w:r>
        <w:rPr>
          <w:rFonts w:hint="eastAsia" w:ascii="黑体" w:hAnsi="黑体" w:cs="黑体"/>
          <w:color w:val="auto"/>
        </w:rPr>
        <w:t>2.2.1.5增值税专用发票（增值税税控系统）最高开票限额审批</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增值税专用发票（增值税税控系统）最高开票限额审批</w:t>
      </w:r>
    </w:p>
    <w:p>
      <w:pPr>
        <w:pStyle w:val="3"/>
        <w:ind w:firstLine="552"/>
        <w:rPr>
          <w:color w:val="auto"/>
        </w:rPr>
      </w:pPr>
      <w:r>
        <w:rPr>
          <w:color w:val="auto"/>
        </w:rPr>
        <w:t>二、事项类别</w:t>
      </w:r>
    </w:p>
    <w:p>
      <w:pPr>
        <w:pStyle w:val="48"/>
        <w:numPr>
          <w:ilvl w:val="0"/>
          <w:numId w:val="3"/>
        </w:numPr>
        <w:ind w:firstLineChars="0"/>
        <w:rPr>
          <w:rFonts w:hint="eastAsia"/>
          <w:color w:val="auto"/>
        </w:rPr>
      </w:pPr>
      <w:r>
        <w:rPr>
          <w:rFonts w:hint="eastAsia"/>
          <w:color w:val="auto"/>
        </w:rPr>
        <w:t>发起方式：人工发起（纳税人）</w:t>
      </w:r>
    </w:p>
    <w:p>
      <w:pPr>
        <w:pStyle w:val="48"/>
        <w:numPr>
          <w:ilvl w:val="0"/>
          <w:numId w:val="3"/>
        </w:numPr>
        <w:ind w:firstLineChars="0"/>
        <w:rPr>
          <w:rFonts w:hint="eastAsia"/>
          <w:color w:val="auto"/>
        </w:rPr>
      </w:pPr>
      <w:r>
        <w:rPr>
          <w:rFonts w:hint="eastAsia"/>
          <w:color w:val="auto"/>
        </w:rPr>
        <w:t>办结方式：条件即办</w:t>
      </w:r>
    </w:p>
    <w:p>
      <w:pPr>
        <w:pStyle w:val="48"/>
        <w:numPr>
          <w:ilvl w:val="0"/>
          <w:numId w:val="3"/>
        </w:numPr>
        <w:ind w:firstLineChars="0"/>
        <w:rPr>
          <w:rFonts w:hint="eastAsia"/>
          <w:color w:val="auto"/>
        </w:rPr>
      </w:pPr>
      <w:r>
        <w:rPr>
          <w:rFonts w:hint="eastAsia"/>
          <w:color w:val="auto"/>
        </w:rPr>
        <w:t>全省通办：否</w:t>
      </w:r>
    </w:p>
    <w:p>
      <w:pPr>
        <w:pStyle w:val="48"/>
        <w:numPr>
          <w:ilvl w:val="0"/>
          <w:numId w:val="3"/>
        </w:numPr>
        <w:ind w:firstLineChars="0"/>
        <w:rPr>
          <w:rFonts w:hint="eastAsia"/>
          <w:color w:val="auto"/>
        </w:rPr>
      </w:pPr>
      <w:r>
        <w:rPr>
          <w:rFonts w:hint="eastAsia"/>
          <w:color w:val="auto"/>
        </w:rPr>
        <w:t>网上办理：是</w:t>
      </w:r>
    </w:p>
    <w:p>
      <w:pPr>
        <w:pStyle w:val="48"/>
        <w:numPr>
          <w:ilvl w:val="0"/>
          <w:numId w:val="3"/>
        </w:numPr>
        <w:ind w:firstLineChars="0"/>
        <w:rPr>
          <w:color w:val="auto"/>
        </w:rPr>
      </w:pPr>
      <w:r>
        <w:rPr>
          <w:rFonts w:hint="eastAsia"/>
          <w:color w:val="auto"/>
        </w:rPr>
        <w:t>适用层级：县(市、区)级</w:t>
      </w:r>
    </w:p>
    <w:p>
      <w:pPr>
        <w:pStyle w:val="48"/>
        <w:numPr>
          <w:ilvl w:val="0"/>
          <w:numId w:val="3"/>
        </w:numPr>
        <w:ind w:firstLineChars="0"/>
        <w:rPr>
          <w:rFonts w:hint="eastAsia"/>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增值税专用发票（增值税税控系统）实行最高开票限额管理。最高开票限额，是指单份专用发票开具的销售额合计数不得达到的上限额度。最高开票限额由一般纳税人（包括具有自开增值税专用发票资格的小规模纳税人，下同）申请，区县税务机关依法审批。</w:t>
      </w:r>
    </w:p>
    <w:p>
      <w:pPr>
        <w:pStyle w:val="3"/>
        <w:ind w:firstLine="552"/>
        <w:rPr>
          <w:color w:val="auto"/>
        </w:rPr>
      </w:pPr>
      <w:r>
        <w:rPr>
          <w:rFonts w:hint="eastAsia"/>
          <w:color w:val="auto"/>
        </w:rPr>
        <w:t>四、设定依据</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1.《国务院对确需保留的行政审批项目设定行政许可的决定》附件第236项</w:t>
      </w:r>
    </w:p>
    <w:p>
      <w:pPr>
        <w:ind w:firstLine="472"/>
        <w:contextualSpacing/>
        <w:rPr>
          <w:rFonts w:hint="eastAsia" w:cs="Times New Roman"/>
          <w:b/>
          <w:bCs/>
          <w:color w:val="auto"/>
          <w:kern w:val="2"/>
          <w:sz w:val="24"/>
          <w:szCs w:val="22"/>
          <w:lang w:val="en-US" w:eastAsia="zh-CN" w:bidi="ar-SA"/>
        </w:rPr>
      </w:pPr>
      <w:r>
        <w:rPr>
          <w:rFonts w:hint="eastAsia" w:cs="Times New Roman"/>
          <w:bCs w:val="0"/>
          <w:color w:val="auto"/>
          <w:kern w:val="2"/>
          <w:sz w:val="24"/>
          <w:szCs w:val="22"/>
          <w:lang w:val="en-US" w:eastAsia="zh-CN" w:bidi="ar-SA"/>
        </w:rPr>
        <w:t>“</w:t>
      </w:r>
      <w:r>
        <w:rPr>
          <w:rFonts w:hint="eastAsia" w:cs="Times New Roman"/>
          <w:b/>
          <w:bCs/>
          <w:color w:val="auto"/>
          <w:kern w:val="2"/>
          <w:sz w:val="24"/>
          <w:szCs w:val="22"/>
          <w:lang w:val="en-US" w:eastAsia="zh-CN" w:bidi="ar-SA"/>
        </w:rPr>
        <w:t>附件：国务院决定对确需保留的行政审批项目设定行政许可的目录</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01"/>
        <w:gridCol w:w="3001"/>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1" w:type="dxa"/>
            <w:vAlign w:val="center"/>
          </w:tcPr>
          <w:p>
            <w:pPr>
              <w:pStyle w:val="13"/>
              <w:widowControl/>
              <w:spacing w:before="100" w:after="100"/>
              <w:jc w:val="center"/>
              <w:rPr>
                <w:rStyle w:val="18"/>
                <w:rFonts w:hint="eastAsia" w:ascii="宋体" w:hAnsi="宋体" w:eastAsia="宋体" w:cs="微软雅黑"/>
                <w:color w:val="auto"/>
                <w:sz w:val="18"/>
                <w:szCs w:val="18"/>
                <w:lang w:val="en-US" w:eastAsia="zh-CN"/>
              </w:rPr>
            </w:pPr>
            <w:r>
              <w:rPr>
                <w:rStyle w:val="18"/>
                <w:rFonts w:hint="eastAsia" w:ascii="宋体" w:hAnsi="宋体" w:eastAsia="宋体" w:cs="微软雅黑"/>
                <w:color w:val="auto"/>
                <w:sz w:val="18"/>
                <w:szCs w:val="18"/>
                <w:lang w:val="en-US" w:eastAsia="zh-CN"/>
              </w:rPr>
              <w:t>序号</w:t>
            </w:r>
          </w:p>
        </w:tc>
        <w:tc>
          <w:tcPr>
            <w:tcW w:w="3001" w:type="dxa"/>
            <w:vAlign w:val="center"/>
          </w:tcPr>
          <w:p>
            <w:pPr>
              <w:pStyle w:val="13"/>
              <w:widowControl/>
              <w:spacing w:before="100" w:after="100"/>
              <w:jc w:val="center"/>
              <w:rPr>
                <w:rStyle w:val="18"/>
                <w:rFonts w:hint="eastAsia" w:ascii="宋体" w:hAnsi="宋体" w:eastAsia="宋体" w:cs="微软雅黑"/>
                <w:color w:val="auto"/>
                <w:sz w:val="18"/>
                <w:szCs w:val="18"/>
                <w:lang w:val="en-US" w:eastAsia="zh-CN"/>
              </w:rPr>
            </w:pPr>
            <w:r>
              <w:rPr>
                <w:rStyle w:val="18"/>
                <w:rFonts w:hint="eastAsia" w:ascii="宋体" w:hAnsi="宋体" w:eastAsia="宋体" w:cs="微软雅黑"/>
                <w:color w:val="auto"/>
                <w:sz w:val="18"/>
                <w:szCs w:val="18"/>
                <w:lang w:val="en-US" w:eastAsia="zh-CN"/>
              </w:rPr>
              <w:t>项目名称</w:t>
            </w:r>
          </w:p>
        </w:tc>
        <w:tc>
          <w:tcPr>
            <w:tcW w:w="3001" w:type="dxa"/>
            <w:vAlign w:val="center"/>
          </w:tcPr>
          <w:p>
            <w:pPr>
              <w:pStyle w:val="13"/>
              <w:widowControl/>
              <w:spacing w:before="100" w:after="100"/>
              <w:jc w:val="center"/>
              <w:rPr>
                <w:rStyle w:val="18"/>
                <w:rFonts w:hint="eastAsia" w:ascii="宋体" w:hAnsi="宋体" w:eastAsia="宋体" w:cs="微软雅黑"/>
                <w:color w:val="auto"/>
                <w:sz w:val="18"/>
                <w:szCs w:val="18"/>
                <w:lang w:val="en-US" w:eastAsia="zh-CN"/>
              </w:rPr>
            </w:pPr>
            <w:r>
              <w:rPr>
                <w:rStyle w:val="18"/>
                <w:rFonts w:hint="eastAsia" w:ascii="宋体" w:hAnsi="宋体" w:eastAsia="宋体" w:cs="微软雅黑"/>
                <w:color w:val="auto"/>
                <w:sz w:val="18"/>
                <w:szCs w:val="18"/>
                <w:lang w:val="en-US" w:eastAsia="zh-CN"/>
              </w:rPr>
              <w:t>实施机关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1" w:type="dxa"/>
            <w:vAlign w:val="center"/>
          </w:tcPr>
          <w:p>
            <w:pPr>
              <w:widowControl/>
              <w:spacing w:line="280" w:lineRule="exact"/>
              <w:ind w:firstLine="0" w:firstLineChars="0"/>
              <w:jc w:val="center"/>
              <w:rPr>
                <w:rFonts w:hint="eastAsia"/>
                <w:color w:val="auto"/>
                <w:sz w:val="18"/>
                <w:szCs w:val="18"/>
                <w:lang w:val="en-US" w:eastAsia="zh-CN"/>
              </w:rPr>
            </w:pPr>
            <w:r>
              <w:rPr>
                <w:rFonts w:hint="eastAsia"/>
                <w:color w:val="auto"/>
                <w:sz w:val="18"/>
                <w:szCs w:val="18"/>
                <w:lang w:val="en-US" w:eastAsia="zh-CN"/>
              </w:rPr>
              <w:t>236</w:t>
            </w:r>
          </w:p>
        </w:tc>
        <w:tc>
          <w:tcPr>
            <w:tcW w:w="3001" w:type="dxa"/>
            <w:vAlign w:val="center"/>
          </w:tcPr>
          <w:p>
            <w:pPr>
              <w:widowControl/>
              <w:spacing w:line="280" w:lineRule="exact"/>
              <w:ind w:firstLine="0" w:firstLineChars="0"/>
              <w:jc w:val="center"/>
              <w:rPr>
                <w:rFonts w:hint="eastAsia"/>
                <w:color w:val="auto"/>
                <w:sz w:val="18"/>
                <w:szCs w:val="18"/>
                <w:lang w:val="en-US" w:eastAsia="zh-CN"/>
              </w:rPr>
            </w:pPr>
            <w:r>
              <w:rPr>
                <w:rFonts w:hint="eastAsia"/>
                <w:color w:val="auto"/>
                <w:sz w:val="18"/>
                <w:szCs w:val="18"/>
                <w:lang w:val="en-US" w:eastAsia="zh-CN"/>
              </w:rPr>
              <w:t>增值税防伪税控系统最高开票限额审批</w:t>
            </w:r>
          </w:p>
        </w:tc>
        <w:tc>
          <w:tcPr>
            <w:tcW w:w="3001" w:type="dxa"/>
            <w:vAlign w:val="center"/>
          </w:tcPr>
          <w:p>
            <w:pPr>
              <w:widowControl/>
              <w:spacing w:line="280" w:lineRule="exact"/>
              <w:ind w:firstLine="0" w:firstLineChars="0"/>
              <w:jc w:val="center"/>
              <w:rPr>
                <w:rFonts w:hint="eastAsia"/>
                <w:color w:val="auto"/>
                <w:sz w:val="18"/>
                <w:szCs w:val="18"/>
                <w:lang w:val="en-US" w:eastAsia="zh-CN"/>
              </w:rPr>
            </w:pPr>
            <w:r>
              <w:rPr>
                <w:rFonts w:hint="eastAsia"/>
                <w:color w:val="auto"/>
                <w:sz w:val="18"/>
                <w:szCs w:val="18"/>
                <w:lang w:val="en-US" w:eastAsia="zh-CN"/>
              </w:rPr>
              <w:t>县以上税务机关</w:t>
            </w:r>
          </w:p>
        </w:tc>
      </w:tr>
    </w:tbl>
    <w:p>
      <w:pPr>
        <w:ind w:firstLine="472"/>
        <w:contextualSpacing/>
        <w:rPr>
          <w:rFonts w:hint="default" w:ascii="宋体" w:hAnsi="宋体" w:eastAsia="宋体" w:cs="Times New Roman"/>
          <w:bCs w:val="0"/>
          <w:color w:val="auto"/>
          <w:kern w:val="2"/>
          <w:sz w:val="24"/>
          <w:szCs w:val="22"/>
          <w:lang w:val="en-US" w:eastAsia="zh-CN" w:bidi="ar-SA"/>
        </w:rPr>
      </w:pPr>
      <w:r>
        <w:rPr>
          <w:rFonts w:hint="eastAsia" w:cs="Times New Roman"/>
          <w:bCs w:val="0"/>
          <w:color w:val="auto"/>
          <w:kern w:val="2"/>
          <w:sz w:val="24"/>
          <w:szCs w:val="22"/>
          <w:lang w:val="en-US" w:eastAsia="zh-CN" w:bidi="ar-SA"/>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319"/>
        <w:gridCol w:w="9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319"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949"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ascii="宋体" w:hAnsi="宋体" w:eastAsia="宋体" w:cs="微软雅黑"/>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eastAsia="宋体"/>
                <w:sz w:val="18"/>
                <w:szCs w:val="18"/>
              </w:rPr>
              <w:t>《税务行政许可申请表》</w:t>
            </w:r>
          </w:p>
        </w:tc>
        <w:tc>
          <w:tcPr>
            <w:tcW w:w="709" w:type="dxa"/>
            <w:shd w:val="clear" w:color="auto" w:fill="auto"/>
            <w:vAlign w:val="center"/>
          </w:tcPr>
          <w:p>
            <w:pPr>
              <w:pStyle w:val="13"/>
              <w:widowControl/>
              <w:spacing w:before="100" w:after="100"/>
              <w:jc w:val="center"/>
              <w:rPr>
                <w:rFonts w:cs="宋体"/>
                <w:color w:val="auto"/>
                <w:kern w:val="0"/>
                <w:sz w:val="18"/>
                <w:szCs w:val="18"/>
              </w:rPr>
            </w:pPr>
            <w:r>
              <w:rPr>
                <w:rStyle w:val="18"/>
                <w:rFonts w:hint="eastAsia" w:ascii="宋体" w:hAnsi="宋体" w:eastAsia="宋体" w:cs="微软雅黑"/>
                <w:b w:val="0"/>
                <w:sz w:val="18"/>
                <w:szCs w:val="18"/>
              </w:rPr>
              <w:t>1</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sz w:val="18"/>
                <w:szCs w:val="18"/>
              </w:rPr>
              <w:t>必报</w:t>
            </w:r>
          </w:p>
        </w:tc>
        <w:tc>
          <w:tcPr>
            <w:tcW w:w="1134" w:type="dxa"/>
            <w:shd w:val="clear" w:color="auto" w:fill="auto"/>
            <w:vAlign w:val="center"/>
          </w:tcPr>
          <w:p>
            <w:pPr>
              <w:pStyle w:val="13"/>
              <w:widowControl/>
              <w:spacing w:before="100" w:after="100"/>
              <w:ind w:firstLine="352" w:firstLineChars="0"/>
              <w:rPr>
                <w:rFonts w:cs="宋体"/>
                <w:color w:val="auto"/>
                <w:kern w:val="0"/>
                <w:sz w:val="18"/>
                <w:szCs w:val="18"/>
              </w:rPr>
            </w:pPr>
          </w:p>
        </w:tc>
        <w:tc>
          <w:tcPr>
            <w:tcW w:w="1319"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94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sz w:val="18"/>
                <w:szCs w:val="18"/>
              </w:rPr>
              <w:t>《增值税专用发票最高开票限额申请单》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319"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94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color w:val="00000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000000"/>
                <w:sz w:val="18"/>
                <w:szCs w:val="18"/>
              </w:rPr>
              <w:t>经办人身份证件</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条件</w:t>
            </w:r>
            <w:r>
              <w:rPr>
                <w:color w:val="000000"/>
                <w:sz w:val="18"/>
                <w:szCs w:val="18"/>
              </w:rPr>
              <w:t>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经办人办理的情形需提供</w:t>
            </w:r>
          </w:p>
        </w:tc>
        <w:tc>
          <w:tcPr>
            <w:tcW w:w="1319"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94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color w:val="000000"/>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000000"/>
                <w:sz w:val="18"/>
                <w:szCs w:val="18"/>
              </w:rPr>
              <w:t>代理人身份证件</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条件</w:t>
            </w:r>
            <w:r>
              <w:rPr>
                <w:color w:val="000000"/>
                <w:sz w:val="18"/>
                <w:szCs w:val="18"/>
              </w:rPr>
              <w:t>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代理人代为办理的情形需提供</w:t>
            </w:r>
          </w:p>
        </w:tc>
        <w:tc>
          <w:tcPr>
            <w:tcW w:w="1319"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94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5</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000000"/>
                <w:sz w:val="18"/>
                <w:szCs w:val="18"/>
              </w:rPr>
              <w:t>代理委托书</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00000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kern w:val="0"/>
                <w:sz w:val="18"/>
                <w:szCs w:val="18"/>
              </w:rPr>
              <w:t>代理人代为办理的情形需提供</w:t>
            </w:r>
          </w:p>
        </w:tc>
        <w:tc>
          <w:tcPr>
            <w:tcW w:w="1319"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4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lang w:val="en-US" w:eastAsia="zh-CN"/>
        </w:rPr>
        <w:t>六、</w:t>
      </w:r>
      <w:r>
        <w:rPr>
          <w:rFonts w:hint="eastAsia"/>
          <w:color w:val="auto"/>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72" w:hanging="472" w:hangingChars="200"/>
        <w:textAlignment w:val="auto"/>
        <w:rPr>
          <w:color w:val="auto"/>
        </w:rPr>
      </w:pPr>
      <w:r>
        <w:rPr>
          <w:color w:val="auto"/>
        </w:rPr>
        <w:object>
          <v:shape id="_x0000_i1152" o:spt="75" type="#_x0000_t75" style="height:158.35pt;width:488pt;" o:ole="t" filled="f" o:preferrelative="t" stroked="f" coordsize="21600,21600">
            <v:path/>
            <v:fill on="f" focussize="0,0"/>
            <v:stroke on="f"/>
            <v:imagedata r:id="rId7" o:title=""/>
            <o:lock v:ext="edit" aspectratio="t"/>
            <w10:wrap type="none"/>
            <w10:anchorlock/>
          </v:shape>
          <o:OLEObject Type="Embed" ProgID="Visio.Drawing.11" ShapeID="_x0000_i1152" DrawAspect="Content" ObjectID="_1468075725" r:id="rId6">
            <o:LockedField>false</o:LockedField>
          </o:OLEObject>
        </w:object>
      </w:r>
    </w:p>
    <w:p>
      <w:pPr>
        <w:pStyle w:val="3"/>
        <w:ind w:firstLine="552"/>
        <w:rPr>
          <w:rFonts w:hint="eastAsia"/>
          <w:color w:val="auto"/>
          <w:lang w:val="en-US" w:eastAsia="zh-CN"/>
        </w:rPr>
      </w:pPr>
      <w:r>
        <w:rPr>
          <w:rFonts w:hint="eastAsia"/>
          <w:color w:val="auto"/>
          <w:lang w:val="en-US" w:eastAsia="zh-CN"/>
        </w:rPr>
        <w:t>七、办理时限</w:t>
      </w:r>
    </w:p>
    <w:p>
      <w:pPr>
        <w:ind w:firstLine="471" w:firstLineChars="0"/>
        <w:rPr>
          <w:color w:val="auto"/>
        </w:rPr>
      </w:pPr>
      <w:r>
        <w:rPr>
          <w:rFonts w:hint="eastAsia"/>
          <w:color w:val="auto"/>
        </w:rPr>
        <w:t>资料齐全、符合法定形式的，税务机关受理后即时办结或</w:t>
      </w:r>
      <w:r>
        <w:rPr>
          <w:rFonts w:hint="eastAsia"/>
          <w:color w:val="auto"/>
          <w:lang w:val="en-US" w:eastAsia="zh-CN"/>
        </w:rPr>
        <w:t>10</w:t>
      </w:r>
      <w:r>
        <w:rPr>
          <w:rFonts w:hint="eastAsia"/>
          <w:color w:val="auto"/>
        </w:rPr>
        <w:t>个</w:t>
      </w:r>
      <w:r>
        <w:rPr>
          <w:color w:val="auto"/>
        </w:rPr>
        <w:t>工作日</w:t>
      </w:r>
      <w:r>
        <w:rPr>
          <w:rFonts w:hint="eastAsia"/>
          <w:color w:val="auto"/>
          <w:lang w:eastAsia="zh-CN"/>
        </w:rPr>
        <w:t>办结</w:t>
      </w:r>
      <w:r>
        <w:rPr>
          <w:rFonts w:hint="eastAsia"/>
          <w:color w:val="auto"/>
        </w:rPr>
        <w:t>。</w:t>
      </w:r>
    </w:p>
    <w:p>
      <w:pPr>
        <w:pStyle w:val="3"/>
        <w:ind w:firstLine="552"/>
        <w:rPr>
          <w:color w:val="auto"/>
        </w:rPr>
      </w:pPr>
      <w:r>
        <w:rPr>
          <w:rFonts w:hint="eastAsia"/>
          <w:color w:val="auto"/>
        </w:rPr>
        <w:t>八、表证单书</w:t>
      </w:r>
    </w:p>
    <w:p>
      <w:pPr>
        <w:ind w:firstLine="471" w:firstLineChars="0"/>
        <w:rPr>
          <w:rFonts w:hint="eastAsia"/>
          <w:color w:val="auto"/>
        </w:rPr>
      </w:pPr>
      <w:r>
        <w:rPr>
          <w:rFonts w:hint="eastAsia"/>
          <w:color w:val="auto"/>
        </w:rPr>
        <w:t>1.A13005《税务行政许可申请表》(A13005《税务行政许可申请表》（填写样例）)</w:t>
      </w:r>
    </w:p>
    <w:p>
      <w:pPr>
        <w:ind w:firstLine="471" w:firstLineChars="0"/>
        <w:rPr>
          <w:rFonts w:hint="default" w:ascii="宋体" w:hAnsi="宋体" w:eastAsia="宋体"/>
          <w:color w:val="auto"/>
          <w:sz w:val="18"/>
          <w:szCs w:val="18"/>
          <w:lang w:val="en-US" w:eastAsia="zh-CN"/>
        </w:rPr>
      </w:pPr>
      <w:r>
        <w:rPr>
          <w:rFonts w:hint="eastAsia"/>
          <w:color w:val="auto"/>
          <w:lang w:val="en-US" w:eastAsia="zh-CN"/>
        </w:rPr>
        <w:t>2.A06489</w:t>
      </w:r>
      <w:r>
        <w:rPr>
          <w:rFonts w:hint="eastAsia"/>
          <w:color w:val="auto"/>
        </w:rPr>
        <w:t>《增值税专用发票最高开票限额申请单》</w:t>
      </w:r>
    </w:p>
    <w:p>
      <w:pPr>
        <w:pStyle w:val="3"/>
        <w:ind w:firstLine="552"/>
        <w:rPr>
          <w:color w:val="auto"/>
        </w:rPr>
      </w:pPr>
      <w:r>
        <w:rPr>
          <w:rFonts w:hint="eastAsia"/>
          <w:color w:val="auto"/>
        </w:rPr>
        <w:t>九、注意事项</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1.税务机关应在做出税务行政许可决定之日起7个工作日内，在办税服务厅或其他办税场所以及税务机关门户网站上公开税务行政许可决定。</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2.申请增加增值税专用发票最高开票限额或领用数量的纳税人其法定代表人（负责人、业主）本人应当办理实名信息采集（纳税信用为A级，上市公司，大中型国有企业以及县（市、区）级主管税务机关确定的重点税源企业除外），已由税务机关现场采集法定代表人（业主、负责人）实名信息的纳税人，申请增值税专用发票最高开票限额不超过十万元的，主管税务机关即时办结。</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3.税务机关应当依法对被许可人从事税务行政许可事项的活动进行监督检查，可以依法查阅或者要求被许可人报送有关材料，被许可人应当如实提供有关情况和材料。发现被许可人不再具备法定条件时，应当责令限期改正；发现其有《中华人民共和国行政许可法》第六十九条规定情形及其他违法行为的，依法进行处理处罚。</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4.增值税一般纳税人申请专用发票最高开票限额不超过十万元的，税务机关不需事前进行实地查验；超过十万元的，税源管理部门应按规定开展实地查验，并提出处理意见。</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5.主管税务机关应根据增值税一般纳税人类型及生产经营变化情况，依照相关规定对其增值税专用发票的最高开票限额进行合理核定和动态调整：</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——实行纳税辅导期管理的小型商贸批发纳税人，领用增值税专用发票的最高开票限额不得超过10万元；</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——对新办一般纳税人首次申请增值税专用发票（增值税税控系统）最高开票限额审批的，领用增值税专用发票的最高开票限额原则上不超过10万元；</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对纳税信用等级A级企业、上市公司、大型国有企业的新办分支机构以及被主管税务机关认定为纳税信誉好的纳税人，有大额交易意向并能够提供相关合同、协议、运输工具等证明资料的，主管税务机关可根据纳税人生产经营需要依法进行核定；</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——对连续三个月以上（含三个月）月申报销售收入低于3万元的一般纳税人，应依法核减其专用发票版次用量；</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——其他增值税一般纳税人增值税专用发票最高开票限额根据纳税人实际经营情况核定。</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6.增值税专用发票（增值税税控系统）最高开票限额审批后，提醒纳税人持增值税税控系统专用设备到纳税服务部门办理发行或变更事宜。</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7.纳税人对报送资料的真实性和合法性承担责任。</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8.最多跑一次是在资料完整且符合法定受理条件的前提下，最多只需要到税务机关跑一次。</w:t>
      </w:r>
    </w:p>
    <w:p>
      <w:pPr>
        <w:ind w:firstLine="472"/>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9.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申请人可通过窗口报送、网上提交等方式提交材料。</w:t>
      </w:r>
    </w:p>
    <w:p>
      <w:pPr>
        <w:ind w:firstLine="472"/>
        <w:rPr>
          <w:rFonts w:hint="eastAsia"/>
          <w:color w:val="auto"/>
        </w:rPr>
      </w:pPr>
      <w:r>
        <w:rPr>
          <w:rFonts w:hint="eastAsia"/>
          <w:color w:val="auto"/>
        </w:rPr>
        <w:t>1.窗口接收：各地办税服务厅地址，详见办税地图：</w:t>
      </w:r>
    </w:p>
    <w:p>
      <w:pPr>
        <w:ind w:firstLine="472"/>
        <w:rPr>
          <w:rFonts w:hint="eastAsia"/>
          <w:color w:val="auto"/>
        </w:rPr>
      </w:pPr>
      <w:r>
        <w:rPr>
          <w:rFonts w:hint="eastAsia"/>
          <w:color w:val="auto"/>
        </w:rPr>
        <w:t>https://12366.chinatax.gov.cn/bsfw/bsdt/</w:t>
      </w:r>
    </w:p>
    <w:p>
      <w:pPr>
        <w:ind w:firstLine="472"/>
        <w:rPr>
          <w:rFonts w:hint="eastAsia"/>
          <w:color w:val="auto"/>
        </w:rPr>
      </w:pPr>
      <w:r>
        <w:rPr>
          <w:rFonts w:hint="eastAsia"/>
          <w:color w:val="auto"/>
        </w:rPr>
        <w:t>2.网上接收：登录http://etax.henan.chinatax.gov.cn/web/，国家税务总局河南省电子税务局进行网上申请。</w:t>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5FDC7920"/>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2019-11-01T01:14:23Z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