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27509"/>
      <w:r>
        <w:rPr>
          <w:rFonts w:hint="eastAsia" w:ascii="黑体" w:hAnsi="黑体" w:cs="黑体"/>
          <w:color w:val="auto"/>
        </w:rPr>
        <w:t>2.2.1.3对纳税人延期申报的核准</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对纳税人延期申报的核准</w:t>
      </w:r>
    </w:p>
    <w:p>
      <w:pPr>
        <w:pStyle w:val="3"/>
        <w:ind w:firstLine="552"/>
        <w:rPr>
          <w:color w:val="auto"/>
        </w:rPr>
      </w:pPr>
      <w:r>
        <w:rPr>
          <w:rFonts w:hint="eastAsia"/>
          <w:color w:val="auto"/>
        </w:rPr>
        <w:t>二、事项类别</w:t>
      </w:r>
    </w:p>
    <w:p>
      <w:pPr>
        <w:pStyle w:val="48"/>
        <w:numPr>
          <w:ilvl w:val="0"/>
          <w:numId w:val="3"/>
        </w:numPr>
        <w:ind w:firstLineChars="0"/>
        <w:rPr>
          <w:rFonts w:hint="eastAsia"/>
          <w:color w:val="auto"/>
        </w:rPr>
      </w:pPr>
      <w:r>
        <w:rPr>
          <w:rFonts w:hint="eastAsia"/>
          <w:color w:val="auto"/>
        </w:rPr>
        <w:t>发起方式：人工发起（纳税人）</w:t>
      </w:r>
    </w:p>
    <w:p>
      <w:pPr>
        <w:pStyle w:val="48"/>
        <w:numPr>
          <w:ilvl w:val="0"/>
          <w:numId w:val="3"/>
        </w:numPr>
        <w:ind w:firstLineChars="0"/>
        <w:rPr>
          <w:rFonts w:hint="eastAsia"/>
          <w:color w:val="auto"/>
        </w:rPr>
      </w:pPr>
      <w:r>
        <w:rPr>
          <w:rFonts w:hint="eastAsia"/>
          <w:color w:val="auto"/>
        </w:rPr>
        <w:t>办结方式：限时办结</w:t>
      </w:r>
    </w:p>
    <w:p>
      <w:pPr>
        <w:pStyle w:val="48"/>
        <w:numPr>
          <w:ilvl w:val="0"/>
          <w:numId w:val="3"/>
        </w:numPr>
        <w:ind w:firstLineChars="0"/>
        <w:rPr>
          <w:rFonts w:hint="eastAsia"/>
          <w:color w:val="auto"/>
        </w:rPr>
      </w:pPr>
      <w:r>
        <w:rPr>
          <w:rFonts w:hint="eastAsia"/>
          <w:color w:val="auto"/>
        </w:rPr>
        <w:t>全省通办：否</w:t>
      </w:r>
    </w:p>
    <w:p>
      <w:pPr>
        <w:pStyle w:val="48"/>
        <w:numPr>
          <w:ilvl w:val="0"/>
          <w:numId w:val="3"/>
        </w:numPr>
        <w:ind w:firstLineChars="0"/>
        <w:rPr>
          <w:rFonts w:hint="eastAsia"/>
          <w:color w:val="auto"/>
        </w:rPr>
      </w:pPr>
      <w:r>
        <w:rPr>
          <w:rFonts w:hint="eastAsia"/>
          <w:color w:val="auto"/>
        </w:rPr>
        <w:t>网上办理：是</w:t>
      </w:r>
    </w:p>
    <w:p>
      <w:pPr>
        <w:pStyle w:val="48"/>
        <w:numPr>
          <w:ilvl w:val="0"/>
          <w:numId w:val="3"/>
        </w:numPr>
        <w:ind w:firstLineChars="0"/>
        <w:rPr>
          <w:color w:val="auto"/>
        </w:rPr>
      </w:pPr>
      <w:r>
        <w:rPr>
          <w:rFonts w:hint="eastAsia"/>
          <w:color w:val="auto"/>
        </w:rPr>
        <w:t>适用层级：县(市、区)级</w:t>
      </w:r>
    </w:p>
    <w:p>
      <w:pPr>
        <w:pStyle w:val="48"/>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rFonts w:hint="eastAsia"/>
          <w:color w:val="auto"/>
        </w:rPr>
      </w:pPr>
      <w:r>
        <w:rPr>
          <w:rFonts w:hint="eastAsia"/>
          <w:color w:val="auto"/>
        </w:rPr>
        <w:t>纳税人、扣缴义务人按照规定的期限办理纳税申报，或者报送代扣代缴、代收代缴税款报告表确有困难需要延期的，应当在申请延期的申报期限之内向税务机关提出书面延期申请，经税务机关核准，可以延期申报。纳税人经核准延期办理纳税申报的，其财务会计报表报送期限可以顺延。</w:t>
      </w:r>
    </w:p>
    <w:p>
      <w:pPr>
        <w:ind w:firstLine="472"/>
        <w:rPr>
          <w:color w:val="auto"/>
        </w:rPr>
      </w:pPr>
      <w:r>
        <w:rPr>
          <w:rFonts w:hint="eastAsia"/>
          <w:color w:val="auto"/>
        </w:rPr>
        <w:t>纳税人、扣缴义务人因不可抗力，不能按期办理纳税申报或者报送代扣代缴、代收代缴税款报告表的，可以延期办理。但是，应当在不可抗力情形消除后立即向税务机关报告。税务机关应当查明事实，予以核准。</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1.《中华人民共和国税收征收管理法》第二十七条第一款</w:t>
      </w:r>
    </w:p>
    <w:p>
      <w:pPr>
        <w:ind w:firstLine="472"/>
        <w:rPr>
          <w:rFonts w:hint="eastAsia"/>
          <w:color w:val="auto"/>
          <w:lang w:eastAsia="zh-CN"/>
        </w:rPr>
      </w:pPr>
      <w:r>
        <w:rPr>
          <w:rFonts w:hint="eastAsia"/>
          <w:color w:val="auto"/>
          <w:lang w:eastAsia="zh-CN"/>
        </w:rPr>
        <w:t>“</w:t>
      </w:r>
      <w:r>
        <w:rPr>
          <w:rFonts w:hint="eastAsia"/>
          <w:color w:val="auto"/>
        </w:rPr>
        <w:t>纳税人、扣缴义务人不能按期办理纳税申报或者报送代扣代缴、代收代缴税款报告表的，经税务机关核准，可以延期申报。</w:t>
      </w:r>
      <w:r>
        <w:rPr>
          <w:rFonts w:hint="eastAsia"/>
          <w:color w:val="auto"/>
          <w:lang w:eastAsia="zh-CN"/>
        </w:rPr>
        <w:t>”</w:t>
      </w:r>
    </w:p>
    <w:p>
      <w:pPr>
        <w:ind w:firstLine="472"/>
        <w:rPr>
          <w:rFonts w:hint="eastAsia"/>
          <w:color w:val="auto"/>
        </w:rPr>
      </w:pPr>
      <w:r>
        <w:rPr>
          <w:rFonts w:hint="eastAsia"/>
          <w:color w:val="auto"/>
          <w:lang w:val="en-US" w:eastAsia="zh-CN"/>
        </w:rPr>
        <w:t>2.</w:t>
      </w:r>
      <w:r>
        <w:rPr>
          <w:rFonts w:hint="eastAsia"/>
          <w:color w:val="auto"/>
        </w:rPr>
        <w:t>《中华人民共和国税收征收管理法实施细则》第三十七条</w:t>
      </w:r>
    </w:p>
    <w:p>
      <w:pPr>
        <w:ind w:firstLine="472"/>
        <w:rPr>
          <w:rFonts w:hint="eastAsia"/>
          <w:color w:val="auto"/>
        </w:rPr>
      </w:pPr>
      <w:r>
        <w:rPr>
          <w:rFonts w:hint="eastAsia"/>
          <w:color w:val="auto"/>
          <w:lang w:eastAsia="zh-CN"/>
        </w:rPr>
        <w:t>“</w:t>
      </w:r>
      <w:r>
        <w:rPr>
          <w:rFonts w:hint="eastAsia"/>
          <w:color w:val="auto"/>
        </w:rPr>
        <w:t>纳税人、扣缴义务人按照规定的期限办理纳税申报或者报送代扣代缴、代收代缴税款报告表确有困难，需要延期的，应当在规定的期限内向税务机关提出书面延期申请，经税务机关核准，在核准的期限内办理。</w:t>
      </w:r>
    </w:p>
    <w:p>
      <w:pPr>
        <w:ind w:firstLine="472"/>
        <w:rPr>
          <w:rFonts w:hint="eastAsia" w:eastAsia="宋体"/>
          <w:color w:val="auto"/>
          <w:lang w:eastAsia="zh-CN"/>
        </w:rPr>
      </w:pPr>
      <w:r>
        <w:rPr>
          <w:rFonts w:hint="eastAsia"/>
          <w:color w:val="auto"/>
        </w:rPr>
        <w:t>纳税人、扣缴义务人因不可抗力，不能按期办理纳税申报或者报送代扣代缴、代收代缴税款报告表的，可以延期办理；但是，应当在不可抗力情形消除后立即向税务机关报告。税务机关应当查明事实，予以核准。</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vAlign w:val="center"/>
          </w:tcPr>
          <w:p>
            <w:pPr>
              <w:pStyle w:val="13"/>
              <w:widowControl/>
              <w:spacing w:before="100" w:after="100" w:line="280" w:lineRule="exact"/>
              <w:ind w:firstLine="0" w:firstLineChars="0"/>
              <w:jc w:val="both"/>
              <w:rPr>
                <w:rFonts w:cs="宋体"/>
                <w:color w:val="auto"/>
                <w:kern w:val="0"/>
                <w:sz w:val="18"/>
                <w:szCs w:val="18"/>
              </w:rPr>
            </w:pPr>
            <w:r>
              <w:rPr>
                <w:rFonts w:hint="eastAsia" w:ascii="宋体" w:hAnsi="宋体" w:eastAsia="宋体"/>
                <w:color w:val="auto"/>
                <w:sz w:val="18"/>
                <w:szCs w:val="18"/>
              </w:rPr>
              <w:t>《税务行政许可申请表》</w:t>
            </w:r>
          </w:p>
        </w:tc>
        <w:tc>
          <w:tcPr>
            <w:tcW w:w="709" w:type="dxa"/>
            <w:vAlign w:val="center"/>
          </w:tcPr>
          <w:p>
            <w:pPr>
              <w:pStyle w:val="13"/>
              <w:widowControl/>
              <w:spacing w:before="100" w:after="100"/>
              <w:ind w:firstLine="352" w:firstLineChars="0"/>
              <w:rPr>
                <w:rFonts w:cs="宋体"/>
                <w:color w:val="auto"/>
                <w:kern w:val="0"/>
                <w:sz w:val="18"/>
                <w:szCs w:val="18"/>
              </w:rPr>
            </w:pPr>
            <w:r>
              <w:rPr>
                <w:rStyle w:val="18"/>
                <w:rFonts w:hint="eastAsia" w:ascii="宋体" w:hAnsi="宋体" w:eastAsia="宋体" w:cs="微软雅黑"/>
                <w:color w:val="auto"/>
                <w:sz w:val="18"/>
                <w:szCs w:val="18"/>
              </w:rPr>
              <w:t>1</w:t>
            </w:r>
          </w:p>
        </w:tc>
        <w:tc>
          <w:tcPr>
            <w:tcW w:w="992" w:type="dxa"/>
            <w:vAlign w:val="center"/>
          </w:tcPr>
          <w:p>
            <w:pPr>
              <w:pStyle w:val="13"/>
              <w:widowControl/>
              <w:spacing w:before="100" w:after="100"/>
              <w:ind w:firstLine="352" w:firstLineChars="0"/>
              <w:jc w:val="left"/>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pStyle w:val="13"/>
              <w:widowControl/>
              <w:spacing w:before="100" w:after="100"/>
              <w:jc w:val="center"/>
              <w:rPr>
                <w:rFonts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vAlign w:val="top"/>
          </w:tcPr>
          <w:p>
            <w:pPr>
              <w:pStyle w:val="13"/>
              <w:widowControl/>
              <w:spacing w:before="100" w:after="100"/>
              <w:ind w:firstLine="352" w:firstLineChars="0"/>
              <w:rPr>
                <w:rFonts w:cs="宋体"/>
                <w:color w:val="auto"/>
                <w:kern w:val="0"/>
                <w:sz w:val="18"/>
                <w:szCs w:val="18"/>
              </w:rPr>
            </w:pPr>
            <w:r>
              <w:rPr>
                <w:rStyle w:val="18"/>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《延期申报申请核准表》</w:t>
            </w:r>
          </w:p>
        </w:tc>
        <w:tc>
          <w:tcPr>
            <w:tcW w:w="709" w:type="dxa"/>
            <w:vAlign w:val="center"/>
          </w:tcPr>
          <w:p>
            <w:pPr>
              <w:pStyle w:val="13"/>
              <w:widowControl/>
              <w:spacing w:before="100" w:after="100"/>
              <w:ind w:firstLine="352" w:firstLineChars="0"/>
              <w:rPr>
                <w:rFonts w:cs="宋体"/>
                <w:color w:val="auto"/>
                <w:kern w:val="0"/>
                <w:sz w:val="18"/>
                <w:szCs w:val="18"/>
              </w:rPr>
            </w:pPr>
            <w:r>
              <w:rPr>
                <w:rStyle w:val="18"/>
                <w:rFonts w:hint="eastAsia" w:ascii="宋体" w:hAnsi="宋体" w:eastAsia="宋体" w:cs="微软雅黑"/>
                <w:color w:val="auto"/>
                <w:sz w:val="18"/>
                <w:szCs w:val="18"/>
              </w:rPr>
              <w:t>1</w:t>
            </w:r>
          </w:p>
        </w:tc>
        <w:tc>
          <w:tcPr>
            <w:tcW w:w="992" w:type="dxa"/>
            <w:vAlign w:val="center"/>
          </w:tcPr>
          <w:p>
            <w:pPr>
              <w:pStyle w:val="13"/>
              <w:widowControl/>
              <w:spacing w:before="100" w:after="100"/>
              <w:ind w:firstLine="352" w:firstLineChars="0"/>
              <w:jc w:val="left"/>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pStyle w:val="13"/>
              <w:widowControl/>
              <w:spacing w:before="100" w:after="100"/>
              <w:jc w:val="center"/>
              <w:rPr>
                <w:rFonts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vAlign w:val="top"/>
          </w:tcPr>
          <w:p>
            <w:pPr>
              <w:pStyle w:val="13"/>
              <w:widowControl/>
              <w:spacing w:before="100" w:after="100"/>
              <w:ind w:firstLine="352" w:firstLineChars="0"/>
              <w:rPr>
                <w:rFonts w:cs="宋体"/>
                <w:color w:val="auto"/>
                <w:kern w:val="0"/>
                <w:sz w:val="18"/>
                <w:szCs w:val="18"/>
              </w:rPr>
            </w:pPr>
            <w:r>
              <w:rPr>
                <w:rStyle w:val="18"/>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3</w:t>
            </w:r>
          </w:p>
        </w:tc>
        <w:tc>
          <w:tcPr>
            <w:tcW w:w="2551" w:type="dxa"/>
            <w:vAlign w:val="center"/>
          </w:tcPr>
          <w:p>
            <w:pPr>
              <w:pStyle w:val="13"/>
              <w:widowControl/>
              <w:snapToGrid w:val="0"/>
              <w:spacing w:beforeAutospacing="0"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纳税人确有困难不能正常申报的情况说明</w:t>
            </w:r>
          </w:p>
        </w:tc>
        <w:tc>
          <w:tcPr>
            <w:tcW w:w="709" w:type="dxa"/>
            <w:vAlign w:val="center"/>
          </w:tcPr>
          <w:p>
            <w:pPr>
              <w:pStyle w:val="13"/>
              <w:widowControl/>
              <w:spacing w:before="100" w:after="100"/>
              <w:ind w:firstLine="352" w:firstLineChars="0"/>
              <w:rPr>
                <w:rFonts w:cs="宋体"/>
                <w:color w:val="auto"/>
                <w:kern w:val="0"/>
                <w:sz w:val="18"/>
                <w:szCs w:val="18"/>
              </w:rPr>
            </w:pPr>
            <w:r>
              <w:rPr>
                <w:rStyle w:val="18"/>
                <w:rFonts w:hint="eastAsia" w:ascii="宋体" w:hAnsi="宋体" w:eastAsia="宋体" w:cs="微软雅黑"/>
                <w:color w:val="auto"/>
                <w:sz w:val="18"/>
                <w:szCs w:val="18"/>
              </w:rPr>
              <w:t>1</w:t>
            </w:r>
          </w:p>
        </w:tc>
        <w:tc>
          <w:tcPr>
            <w:tcW w:w="992" w:type="dxa"/>
            <w:vAlign w:val="center"/>
          </w:tcPr>
          <w:p>
            <w:pPr>
              <w:pStyle w:val="13"/>
              <w:widowControl/>
              <w:spacing w:before="100" w:after="100"/>
              <w:ind w:firstLine="0" w:firstLineChars="0"/>
              <w:jc w:val="left"/>
              <w:rPr>
                <w:rFonts w:hint="eastAsia"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100" w:after="100"/>
              <w:ind w:firstLine="0" w:firstLineChars="0"/>
              <w:rPr>
                <w:rFonts w:cs="宋体"/>
                <w:color w:val="auto"/>
                <w:kern w:val="0"/>
                <w:sz w:val="18"/>
                <w:szCs w:val="18"/>
              </w:rPr>
            </w:pPr>
          </w:p>
        </w:tc>
        <w:tc>
          <w:tcPr>
            <w:tcW w:w="1134" w:type="dxa"/>
            <w:vAlign w:val="center"/>
          </w:tcPr>
          <w:p>
            <w:pPr>
              <w:pStyle w:val="13"/>
              <w:widowControl/>
              <w:snapToGrid w:val="0"/>
              <w:spacing w:before="0" w:beforeAutospacing="0" w:after="0" w:afterAutospacing="0"/>
              <w:ind w:firstLine="0" w:firstLineChars="0"/>
              <w:jc w:val="center"/>
              <w:rPr>
                <w:rFonts w:hint="eastAsia"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vAlign w:val="top"/>
          </w:tcPr>
          <w:p>
            <w:pPr>
              <w:pStyle w:val="13"/>
              <w:widowControl/>
              <w:spacing w:before="100" w:after="100"/>
              <w:ind w:firstLine="352" w:firstLineChars="0"/>
              <w:rPr>
                <w:rFonts w:hint="eastAsia" w:cs="宋体"/>
                <w:color w:val="auto"/>
                <w:kern w:val="0"/>
                <w:sz w:val="18"/>
                <w:szCs w:val="18"/>
              </w:rPr>
            </w:pPr>
            <w:r>
              <w:rPr>
                <w:rStyle w:val="18"/>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4</w:t>
            </w:r>
          </w:p>
        </w:tc>
        <w:tc>
          <w:tcPr>
            <w:tcW w:w="2551" w:type="dxa"/>
            <w:vAlign w:val="center"/>
          </w:tcPr>
          <w:p>
            <w:pPr>
              <w:pStyle w:val="13"/>
              <w:widowControl/>
              <w:snapToGrid w:val="0"/>
              <w:spacing w:beforeAutospacing="0"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经办人身份证件</w:t>
            </w:r>
          </w:p>
        </w:tc>
        <w:tc>
          <w:tcPr>
            <w:tcW w:w="709" w:type="dxa"/>
            <w:vAlign w:val="center"/>
          </w:tcPr>
          <w:p>
            <w:pPr>
              <w:pStyle w:val="13"/>
              <w:widowControl/>
              <w:spacing w:before="100" w:after="100"/>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100" w:after="100"/>
              <w:ind w:firstLine="0" w:firstLineChars="0"/>
              <w:jc w:val="left"/>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napToGrid w:val="0"/>
              <w:spacing w:beforeAutospacing="0" w:afterAutospacing="0"/>
              <w:ind w:firstLine="0" w:firstLineChars="0"/>
              <w:rPr>
                <w:rFonts w:cs="宋体"/>
                <w:color w:val="auto"/>
                <w:kern w:val="0"/>
                <w:sz w:val="18"/>
                <w:szCs w:val="18"/>
              </w:rPr>
            </w:pPr>
            <w:r>
              <w:rPr>
                <w:rFonts w:hint="eastAsia" w:ascii="宋体" w:hAnsi="宋体" w:eastAsia="宋体" w:cs="微软雅黑"/>
                <w:color w:val="auto"/>
                <w:sz w:val="18"/>
                <w:szCs w:val="18"/>
              </w:rPr>
              <w:t>经办人办理的情形需提供</w:t>
            </w:r>
          </w:p>
        </w:tc>
        <w:tc>
          <w:tcPr>
            <w:tcW w:w="1134" w:type="dxa"/>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vAlign w:val="center"/>
          </w:tcPr>
          <w:p>
            <w:pPr>
              <w:pStyle w:val="13"/>
              <w:widowControl/>
              <w:spacing w:before="100" w:after="100"/>
              <w:ind w:firstLine="352" w:firstLineChars="0"/>
              <w:rPr>
                <w:rFonts w:hint="eastAsia" w:cs="宋体"/>
                <w:color w:val="auto"/>
                <w:kern w:val="0"/>
                <w:sz w:val="18"/>
                <w:szCs w:val="18"/>
              </w:rPr>
            </w:pPr>
            <w:r>
              <w:rPr>
                <w:rStyle w:val="18"/>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5</w:t>
            </w:r>
          </w:p>
        </w:tc>
        <w:tc>
          <w:tcPr>
            <w:tcW w:w="2551" w:type="dxa"/>
            <w:vAlign w:val="center"/>
          </w:tcPr>
          <w:p>
            <w:pPr>
              <w:pStyle w:val="13"/>
              <w:widowControl/>
              <w:snapToGrid w:val="0"/>
              <w:spacing w:beforeAutospacing="0"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代理人身份证件</w:t>
            </w:r>
          </w:p>
        </w:tc>
        <w:tc>
          <w:tcPr>
            <w:tcW w:w="709" w:type="dxa"/>
            <w:vAlign w:val="center"/>
          </w:tcPr>
          <w:p>
            <w:pPr>
              <w:pStyle w:val="13"/>
              <w:widowControl/>
              <w:spacing w:before="100" w:after="100"/>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100" w:after="100"/>
              <w:ind w:firstLine="0" w:firstLineChars="0"/>
              <w:jc w:val="left"/>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vAlign w:val="center"/>
          </w:tcPr>
          <w:p>
            <w:pPr>
              <w:pStyle w:val="13"/>
              <w:widowControl/>
              <w:snapToGrid w:val="0"/>
              <w:spacing w:beforeAutospacing="0" w:afterAutospacing="0"/>
              <w:ind w:firstLine="0" w:firstLineChars="0"/>
              <w:rPr>
                <w:rFonts w:cs="宋体"/>
                <w:color w:val="auto"/>
                <w:kern w:val="0"/>
                <w:sz w:val="18"/>
                <w:szCs w:val="18"/>
              </w:rPr>
            </w:pPr>
            <w:r>
              <w:rPr>
                <w:rFonts w:hint="eastAsia" w:ascii="宋体" w:hAnsi="宋体" w:eastAsia="宋体" w:cs="微软雅黑"/>
                <w:color w:val="auto"/>
                <w:sz w:val="18"/>
                <w:szCs w:val="18"/>
              </w:rPr>
              <w:t>代理人代为办理的情形需提供</w:t>
            </w:r>
          </w:p>
        </w:tc>
        <w:tc>
          <w:tcPr>
            <w:tcW w:w="1134" w:type="dxa"/>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vAlign w:val="center"/>
          </w:tcPr>
          <w:p>
            <w:pPr>
              <w:pStyle w:val="13"/>
              <w:widowControl/>
              <w:spacing w:before="100" w:after="100"/>
              <w:ind w:firstLine="352" w:firstLineChars="0"/>
              <w:rPr>
                <w:rFonts w:hint="eastAsia" w:cs="宋体"/>
                <w:color w:val="auto"/>
                <w:kern w:val="0"/>
                <w:sz w:val="18"/>
                <w:szCs w:val="18"/>
              </w:rPr>
            </w:pPr>
            <w:r>
              <w:rPr>
                <w:rStyle w:val="18"/>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pStyle w:val="13"/>
              <w:widowControl/>
              <w:spacing w:before="100" w:after="100"/>
              <w:ind w:firstLine="352" w:firstLineChars="0"/>
              <w:rPr>
                <w:rFonts w:cs="宋体"/>
                <w:color w:val="auto"/>
                <w:kern w:val="0"/>
                <w:sz w:val="18"/>
                <w:szCs w:val="18"/>
              </w:rPr>
            </w:pPr>
            <w:r>
              <w:rPr>
                <w:rFonts w:hint="eastAsia" w:ascii="宋体" w:hAnsi="宋体" w:eastAsia="宋体" w:cs="微软雅黑"/>
                <w:color w:val="auto"/>
                <w:sz w:val="18"/>
                <w:szCs w:val="18"/>
              </w:rPr>
              <w:t>6</w:t>
            </w:r>
          </w:p>
        </w:tc>
        <w:tc>
          <w:tcPr>
            <w:tcW w:w="2551" w:type="dxa"/>
            <w:tcBorders>
              <w:bottom w:val="single" w:color="auto" w:sz="12" w:space="0"/>
            </w:tcBorders>
            <w:vAlign w:val="center"/>
          </w:tcPr>
          <w:p>
            <w:pPr>
              <w:pStyle w:val="13"/>
              <w:widowControl/>
              <w:snapToGrid w:val="0"/>
              <w:spacing w:beforeAutospacing="0"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代理</w:t>
            </w:r>
            <w:r>
              <w:rPr>
                <w:rFonts w:ascii="宋体" w:hAnsi="宋体" w:eastAsia="宋体" w:cs="微软雅黑"/>
                <w:color w:val="auto"/>
                <w:sz w:val="18"/>
                <w:szCs w:val="18"/>
              </w:rPr>
              <w:t>委托书</w:t>
            </w:r>
          </w:p>
        </w:tc>
        <w:tc>
          <w:tcPr>
            <w:tcW w:w="709" w:type="dxa"/>
            <w:tcBorders>
              <w:bottom w:val="single" w:color="auto" w:sz="12" w:space="0"/>
            </w:tcBorders>
            <w:vAlign w:val="center"/>
          </w:tcPr>
          <w:p>
            <w:pPr>
              <w:pStyle w:val="13"/>
              <w:widowControl/>
              <w:spacing w:before="100" w:after="100"/>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tcBorders>
              <w:bottom w:val="single" w:color="auto" w:sz="12" w:space="0"/>
            </w:tcBorders>
            <w:vAlign w:val="center"/>
          </w:tcPr>
          <w:p>
            <w:pPr>
              <w:pStyle w:val="13"/>
              <w:widowControl/>
              <w:spacing w:before="100" w:after="100"/>
              <w:ind w:firstLine="0" w:firstLineChars="0"/>
              <w:jc w:val="left"/>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tcBorders>
              <w:bottom w:val="single" w:color="auto" w:sz="12" w:space="0"/>
            </w:tcBorders>
            <w:vAlign w:val="center"/>
          </w:tcPr>
          <w:p>
            <w:pPr>
              <w:pStyle w:val="13"/>
              <w:widowControl/>
              <w:snapToGrid w:val="0"/>
              <w:spacing w:beforeAutospacing="0" w:afterAutospacing="0"/>
              <w:ind w:firstLine="0" w:firstLineChars="0"/>
              <w:rPr>
                <w:rFonts w:cs="宋体"/>
                <w:color w:val="auto"/>
                <w:kern w:val="0"/>
                <w:sz w:val="18"/>
                <w:szCs w:val="18"/>
              </w:rPr>
            </w:pPr>
            <w:r>
              <w:rPr>
                <w:rFonts w:hint="eastAsia" w:ascii="宋体" w:hAnsi="宋体" w:eastAsia="宋体" w:cs="微软雅黑"/>
                <w:color w:val="auto"/>
                <w:sz w:val="18"/>
                <w:szCs w:val="18"/>
              </w:rPr>
              <w:t>代理人代为办理的情形需提供</w:t>
            </w:r>
          </w:p>
        </w:tc>
        <w:tc>
          <w:tcPr>
            <w:tcW w:w="1134" w:type="dxa"/>
            <w:tcBorders>
              <w:bottom w:val="single" w:color="auto" w:sz="12" w:space="0"/>
            </w:tcBorders>
            <w:vAlign w:val="center"/>
          </w:tcPr>
          <w:p>
            <w:pPr>
              <w:pStyle w:val="13"/>
              <w:widowControl/>
              <w:snapToGrid w:val="0"/>
              <w:spacing w:before="0" w:beforeAutospacing="0" w:after="0" w:afterAutospacing="0" w:line="240" w:lineRule="auto"/>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tcBorders>
              <w:bottom w:val="single" w:color="auto" w:sz="12" w:space="0"/>
            </w:tcBorders>
            <w:vAlign w:val="center"/>
          </w:tcPr>
          <w:p>
            <w:pPr>
              <w:pStyle w:val="13"/>
              <w:widowControl/>
              <w:spacing w:before="100" w:after="100"/>
              <w:ind w:firstLine="352" w:firstLineChars="0"/>
              <w:rPr>
                <w:rFonts w:hint="eastAsia" w:cs="宋体"/>
                <w:color w:val="auto"/>
                <w:kern w:val="0"/>
                <w:sz w:val="18"/>
                <w:szCs w:val="18"/>
              </w:rPr>
            </w:pPr>
            <w:r>
              <w:rPr>
                <w:rStyle w:val="18"/>
                <w:rFonts w:hint="eastAsia" w:ascii="宋体" w:hAnsi="宋体" w:eastAsia="宋体" w:cs="微软雅黑"/>
                <w:b w:val="0"/>
                <w:color w:val="auto"/>
                <w:sz w:val="18"/>
                <w:szCs w:val="18"/>
              </w:rPr>
              <w:t>是</w:t>
            </w:r>
          </w:p>
        </w:tc>
      </w:tr>
    </w:tbl>
    <w:p>
      <w:pPr>
        <w:pStyle w:val="3"/>
        <w:numPr>
          <w:ilvl w:val="0"/>
          <w:numId w:val="4"/>
        </w:numPr>
        <w:ind w:firstLine="552"/>
        <w:rPr>
          <w:rFonts w:hint="eastAsia"/>
          <w:color w:val="auto"/>
        </w:rPr>
      </w:pPr>
      <w:r>
        <w:rPr>
          <w:rFonts w:hint="eastAsia"/>
          <w:color w:val="auto"/>
        </w:rPr>
        <w:t>办理流程</w:t>
      </w:r>
    </w:p>
    <w:p>
      <w:pPr>
        <w:numPr>
          <w:ilvl w:val="0"/>
          <w:numId w:val="0"/>
        </w:numPr>
        <w:spacing w:line="240" w:lineRule="auto"/>
        <w:jc w:val="center"/>
        <w:rPr>
          <w:color w:val="auto"/>
        </w:rPr>
      </w:pPr>
    </w:p>
    <w:p>
      <w:pPr>
        <w:spacing w:line="240" w:lineRule="auto"/>
        <w:ind w:left="0" w:firstLine="0" w:firstLineChars="0"/>
        <w:jc w:val="center"/>
        <w:rPr>
          <w:color w:val="auto"/>
        </w:rPr>
      </w:pPr>
      <w:r>
        <w:rPr>
          <w:color w:val="auto"/>
        </w:rPr>
        <w:object>
          <v:shape id="_x0000_i1150" o:spt="75" type="#_x0000_t75" style="height:168.35pt;width:441.85pt;" o:ole="t" filled="f" o:preferrelative="t" stroked="f" coordsize="21600,21600">
            <v:path/>
            <v:fill on="f" focussize="0,0"/>
            <v:stroke on="f"/>
            <v:imagedata r:id="rId7" o:title=""/>
            <o:lock v:ext="edit" aspectratio="t"/>
            <w10:wrap type="none"/>
            <w10:anchorlock/>
          </v:shape>
          <o:OLEObject Type="Embed" ProgID="Visio.Drawing.11" ShapeID="_x0000_i1150" DrawAspect="Content" ObjectID="_1468075725" r:id="rId6">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资料齐全、符合法定形式的，税务机关受理后5个工作日办结。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color w:val="auto"/>
        </w:rPr>
        <w:t>1.</w:t>
      </w:r>
      <w:r>
        <w:rPr>
          <w:rFonts w:hint="eastAsia"/>
          <w:color w:val="auto"/>
        </w:rPr>
        <w:t>A13005《税务行政许可申请表》(A13005《税务行政许可申请表》（填写样例）)</w:t>
      </w:r>
    </w:p>
    <w:p>
      <w:pPr>
        <w:ind w:firstLine="472"/>
        <w:rPr>
          <w:rFonts w:hint="eastAsia" w:eastAsia="宋体"/>
          <w:color w:val="auto"/>
          <w:lang w:val="en-US" w:eastAsia="zh-CN"/>
        </w:rPr>
      </w:pPr>
      <w:r>
        <w:rPr>
          <w:rFonts w:hint="eastAsia"/>
          <w:color w:val="auto"/>
        </w:rPr>
        <w:t>2</w:t>
      </w:r>
      <w:r>
        <w:rPr>
          <w:rFonts w:hint="eastAsia"/>
          <w:color w:val="auto"/>
          <w:lang w:eastAsia="zh-CN"/>
        </w:rPr>
        <w:t>.</w:t>
      </w:r>
      <w:r>
        <w:rPr>
          <w:rFonts w:hint="eastAsia"/>
          <w:color w:val="auto"/>
        </w:rPr>
        <w:t>A06550《延期申报申请核准表》(A06550《延期申报申请核准表》（填写样例）)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税务机关应当依法对被许可人从事税务行政许可事项的活动进行监督检查，可以依法查阅或者要求被许可人报送有关材料，被许可人应当如实提供有关情况和材料。发现被许可人不再具备法定条件时，应当责令限期改正；发现其有《中华人民共和国行政许可法》第六十九条规定情形及其他违法行为的，依法进行处理处罚。</w:t>
      </w:r>
    </w:p>
    <w:p>
      <w:pPr>
        <w:ind w:firstLine="472"/>
        <w:rPr>
          <w:rFonts w:hint="eastAsia"/>
          <w:color w:val="auto"/>
        </w:rPr>
      </w:pPr>
      <w:r>
        <w:rPr>
          <w:rFonts w:hint="eastAsia"/>
          <w:color w:val="auto"/>
        </w:rPr>
        <w:t>2.纳税人在结算过程中，预缴税额大于实际应纳税额的，税务机关结算退税但不向纳税人计退利息。预缴税额小于应纳税额的，在结算补税时不加收滞纳金。纳税人在法定纳税期内按照上期实际缴纳的税额或者税务机关核定的数额预缴税款，在核准的延期内办理税款结算。</w:t>
      </w:r>
    </w:p>
    <w:p>
      <w:pPr>
        <w:ind w:firstLine="472"/>
        <w:rPr>
          <w:rFonts w:hint="eastAsia"/>
          <w:color w:val="auto"/>
        </w:rPr>
      </w:pPr>
      <w:r>
        <w:rPr>
          <w:rFonts w:hint="eastAsia"/>
          <w:color w:val="auto"/>
        </w:rPr>
        <w:t>3.税务机关在审核延期申报时，要结合纳税人本期经营情况来确定预缴税额，对于经营情况变动大的，应合理核定预缴税额。</w:t>
      </w:r>
    </w:p>
    <w:p>
      <w:pPr>
        <w:ind w:firstLine="472"/>
        <w:rPr>
          <w:color w:val="auto"/>
        </w:rPr>
      </w:pPr>
      <w:r>
        <w:rPr>
          <w:rFonts w:hint="eastAsia"/>
          <w:color w:val="auto"/>
        </w:rPr>
        <w:t>4.纳税服务部门应在收到税务行政许可决定之日起7个工作日内，在办税服务厅或其他办税场所以及税务机关门户网站上公开税务许政许可决定。</w:t>
      </w:r>
    </w:p>
    <w:p>
      <w:pPr>
        <w:ind w:firstLine="472"/>
        <w:rPr>
          <w:color w:val="auto"/>
        </w:rPr>
      </w:pPr>
      <w:r>
        <w:rPr>
          <w:rFonts w:hint="eastAsia"/>
          <w:color w:val="auto"/>
          <w:lang w:val="en-US" w:eastAsia="zh-CN"/>
        </w:rPr>
        <w:t>5</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lang w:eastAsia="zh-CN"/>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申请人可通过窗口报送、网上提交等方式提交材料。</w:t>
      </w:r>
    </w:p>
    <w:p>
      <w:pPr>
        <w:ind w:firstLine="472"/>
        <w:rPr>
          <w:rFonts w:hint="eastAsia"/>
          <w:color w:val="auto"/>
        </w:rPr>
      </w:pPr>
      <w:r>
        <w:rPr>
          <w:rFonts w:hint="eastAsia"/>
          <w:color w:val="auto"/>
        </w:rPr>
        <w:t>1.窗口接收：各地办税服务厅地址，详见办税地图：</w:t>
      </w:r>
    </w:p>
    <w:p>
      <w:pPr>
        <w:ind w:firstLine="472"/>
        <w:rPr>
          <w:rFonts w:hint="eastAsia"/>
          <w:color w:val="auto"/>
        </w:rPr>
      </w:pPr>
      <w:r>
        <w:rPr>
          <w:rFonts w:hint="eastAsia"/>
          <w:color w:val="auto"/>
        </w:rPr>
        <w:t>https://12366.chinatax.gov.cn/bsfw/bsdt/</w:t>
      </w:r>
    </w:p>
    <w:p>
      <w:pPr>
        <w:ind w:firstLine="472"/>
        <w:rPr>
          <w:color w:val="auto"/>
        </w:rPr>
      </w:pPr>
      <w:r>
        <w:rPr>
          <w:rFonts w:hint="eastAsia"/>
          <w:color w:val="auto"/>
        </w:rPr>
        <w:t>2.网上接收：登录http://etax.henan.chinatax.gov.cn/web/，国家税务总局河南省电子税务局进行网上申请。</w:t>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52AD566"/>
    <w:multiLevelType w:val="singleLevel"/>
    <w:tmpl w:val="452AD566"/>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C657337"/>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6">
    <w:name w:val="Document Map"/>
    <w:basedOn w:val="1"/>
    <w:link w:val="53"/>
    <w:uiPriority w:val="0"/>
    <w:rPr>
      <w:sz w:val="18"/>
      <w:szCs w:val="18"/>
    </w:rPr>
  </w:style>
  <w:style w:type="paragraph" w:styleId="7">
    <w:name w:val="annotation text"/>
    <w:basedOn w:val="1"/>
    <w:link w:val="79"/>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2019-11-01T01:14:01Z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