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52"/>
        <w:rPr>
          <w:rFonts w:hint="eastAsia" w:ascii="黑体" w:hAnsi="黑体"/>
          <w:color w:val="auto"/>
        </w:rPr>
      </w:pPr>
      <w:bookmarkStart w:id="2" w:name="_GoBack"/>
      <w:bookmarkEnd w:id="2"/>
      <w:bookmarkStart w:id="0" w:name="_Toc13082"/>
      <w:r>
        <w:rPr>
          <w:rFonts w:hint="eastAsia" w:ascii="黑体" w:hAnsi="黑体"/>
          <w:color w:val="auto"/>
          <w:lang w:val="en-US" w:eastAsia="zh-CN"/>
        </w:rPr>
        <w:t>1.3.22.14</w:t>
      </w:r>
      <w:r>
        <w:rPr>
          <w:rFonts w:hint="eastAsia" w:ascii="黑体" w:hAnsi="黑体"/>
          <w:color w:val="auto"/>
        </w:rPr>
        <w:t>非居民企业间接转让财产事项报告</w:t>
      </w:r>
      <w:bookmarkEnd w:id="0"/>
    </w:p>
    <w:p>
      <w:pPr>
        <w:pStyle w:val="3"/>
        <w:ind w:firstLine="552"/>
        <w:rPr>
          <w:color w:val="auto"/>
        </w:rPr>
      </w:pPr>
      <w:r>
        <w:rPr>
          <w:color w:val="auto"/>
        </w:rPr>
        <w:t>一、事项名称</w:t>
      </w:r>
    </w:p>
    <w:p>
      <w:pPr>
        <w:ind w:firstLine="472"/>
        <w:contextualSpacing/>
        <w:rPr>
          <w:rFonts w:hint="eastAsia" w:ascii="宋体" w:hAnsi="宋体" w:eastAsia="宋体" w:cs="Times New Roman"/>
          <w:color w:val="auto"/>
          <w:sz w:val="24"/>
          <w:szCs w:val="22"/>
        </w:rPr>
      </w:pPr>
      <w:r>
        <w:rPr>
          <w:rFonts w:hint="eastAsia" w:ascii="宋体" w:hAnsi="宋体" w:eastAsia="宋体" w:cs="Times New Roman"/>
          <w:color w:val="auto"/>
          <w:sz w:val="24"/>
          <w:szCs w:val="22"/>
        </w:rPr>
        <w:t>非居民企业间接转让财产事项报告</w:t>
      </w:r>
    </w:p>
    <w:p>
      <w:pPr>
        <w:pStyle w:val="3"/>
        <w:ind w:firstLine="552"/>
        <w:rPr>
          <w:color w:val="auto"/>
        </w:rPr>
      </w:pPr>
      <w:r>
        <w:rPr>
          <w:color w:val="auto"/>
        </w:rPr>
        <w:t>二、事项类别</w:t>
      </w:r>
    </w:p>
    <w:p>
      <w:pPr>
        <w:pStyle w:val="49"/>
        <w:numPr>
          <w:ilvl w:val="0"/>
          <w:numId w:val="3"/>
        </w:numPr>
        <w:ind w:left="0" w:firstLine="480"/>
        <w:contextualSpacing/>
        <w:rPr>
          <w:color w:val="auto"/>
        </w:rPr>
      </w:pPr>
      <w:r>
        <w:rPr>
          <w:rFonts w:hint="eastAsia"/>
          <w:color w:val="auto"/>
        </w:rPr>
        <w:t>发起方式：</w:t>
      </w:r>
      <w:r>
        <w:rPr>
          <w:rFonts w:hint="eastAsia"/>
          <w:color w:val="auto"/>
          <w:lang w:bidi="ar"/>
        </w:rPr>
        <w:t>人工发起（纳税人）</w:t>
      </w:r>
    </w:p>
    <w:p>
      <w:pPr>
        <w:pStyle w:val="49"/>
        <w:numPr>
          <w:ilvl w:val="0"/>
          <w:numId w:val="3"/>
        </w:numPr>
        <w:ind w:left="0" w:firstLine="480"/>
        <w:contextualSpacing/>
        <w:rPr>
          <w:color w:val="auto"/>
        </w:rPr>
      </w:pPr>
      <w:r>
        <w:rPr>
          <w:rFonts w:hint="eastAsia"/>
          <w:color w:val="auto"/>
        </w:rPr>
        <w:t>办结方式：限</w:t>
      </w:r>
      <w:r>
        <w:rPr>
          <w:color w:val="auto"/>
        </w:rPr>
        <w:t>时办结</w:t>
      </w:r>
    </w:p>
    <w:p>
      <w:pPr>
        <w:pStyle w:val="49"/>
        <w:numPr>
          <w:ilvl w:val="0"/>
          <w:numId w:val="3"/>
        </w:numPr>
        <w:ind w:left="0" w:firstLine="480"/>
        <w:contextualSpacing/>
        <w:rPr>
          <w:color w:val="auto"/>
        </w:rPr>
      </w:pPr>
      <w:r>
        <w:rPr>
          <w:rFonts w:hint="eastAsia"/>
          <w:color w:val="auto"/>
        </w:rPr>
        <w:t>全省通办：否</w:t>
      </w:r>
    </w:p>
    <w:p>
      <w:pPr>
        <w:pStyle w:val="49"/>
        <w:numPr>
          <w:ilvl w:val="0"/>
          <w:numId w:val="3"/>
        </w:numPr>
        <w:ind w:left="0" w:firstLine="480"/>
        <w:contextualSpacing/>
        <w:rPr>
          <w:color w:val="auto"/>
        </w:rPr>
      </w:pPr>
      <w:r>
        <w:rPr>
          <w:rFonts w:hint="eastAsia"/>
          <w:color w:val="auto"/>
        </w:rPr>
        <w:t>网上办理：否</w:t>
      </w:r>
    </w:p>
    <w:p>
      <w:pPr>
        <w:pStyle w:val="49"/>
        <w:numPr>
          <w:ilvl w:val="0"/>
          <w:numId w:val="3"/>
        </w:numPr>
        <w:ind w:left="0" w:firstLine="480"/>
        <w:contextualSpacing/>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80"/>
        <w:rPr>
          <w:color w:val="auto"/>
        </w:rPr>
      </w:pPr>
      <w:r>
        <w:rPr>
          <w:rFonts w:hint="eastAsia"/>
          <w:color w:val="auto"/>
        </w:rPr>
        <w:t>非居民企业通过实施不具有合理商业目的的安排，间接转让中国居民企业股权等财产（以下称中国应税财产），规避企业所得税纳税义务的，应按照《企业所得税法》第四十七条的规定，重新定性该间接转让交易，确认为直接转让中国居民企业股权等财产。</w:t>
      </w:r>
    </w:p>
    <w:p>
      <w:pPr>
        <w:ind w:firstLine="480"/>
        <w:contextualSpacing/>
        <w:rPr>
          <w:color w:val="auto"/>
          <w:kern w:val="20"/>
          <w:szCs w:val="21"/>
        </w:rPr>
      </w:pPr>
      <w:r>
        <w:rPr>
          <w:rFonts w:hint="eastAsia"/>
          <w:color w:val="auto"/>
        </w:rPr>
        <w:t>间接转让中国应税财产的交易双方和被间接转让股权的中国居民企业，可以向主管税务机关报告股权转让事项，并提供相关资料。</w:t>
      </w:r>
    </w:p>
    <w:p>
      <w:pPr>
        <w:pStyle w:val="3"/>
        <w:ind w:firstLine="552"/>
        <w:rPr>
          <w:color w:val="auto"/>
        </w:rPr>
      </w:pPr>
      <w:r>
        <w:rPr>
          <w:rFonts w:hint="eastAsia"/>
          <w:color w:val="auto"/>
        </w:rPr>
        <w:t>四、设定依据</w:t>
      </w:r>
    </w:p>
    <w:p>
      <w:pPr>
        <w:ind w:firstLine="480"/>
        <w:contextualSpacing/>
        <w:rPr>
          <w:rFonts w:hint="eastAsia"/>
          <w:color w:val="auto"/>
        </w:rPr>
      </w:pPr>
      <w:r>
        <w:rPr>
          <w:rFonts w:hint="eastAsia"/>
          <w:color w:val="auto"/>
          <w:lang w:val="en-US" w:eastAsia="zh-CN"/>
        </w:rPr>
        <w:t>1.</w:t>
      </w:r>
      <w:r>
        <w:rPr>
          <w:rFonts w:hint="eastAsia"/>
          <w:color w:val="auto"/>
        </w:rPr>
        <w:t>《国家税务总局关于非居民企业间接转让财产企业所得税若干问题的公告》(</w:t>
      </w:r>
      <w:bookmarkStart w:id="1" w:name="_Hlk12480007"/>
      <w:r>
        <w:rPr>
          <w:rFonts w:hint="eastAsia"/>
          <w:color w:val="auto"/>
        </w:rPr>
        <w:t>国家税务总局公告</w:t>
      </w:r>
      <w:r>
        <w:rPr>
          <w:rFonts w:hint="eastAsia"/>
          <w:color w:val="auto"/>
          <w:lang w:eastAsia="zh-CN"/>
        </w:rPr>
        <w:t>2015</w:t>
      </w:r>
      <w:r>
        <w:rPr>
          <w:rFonts w:hint="eastAsia"/>
          <w:color w:val="auto"/>
        </w:rPr>
        <w:t>年第</w:t>
      </w:r>
      <w:r>
        <w:rPr>
          <w:rFonts w:hint="eastAsia"/>
          <w:color w:val="auto"/>
          <w:lang w:eastAsia="zh-CN"/>
        </w:rPr>
        <w:t>7</w:t>
      </w:r>
      <w:r>
        <w:rPr>
          <w:rFonts w:hint="eastAsia"/>
          <w:color w:val="auto"/>
        </w:rPr>
        <w:t>号</w:t>
      </w:r>
      <w:bookmarkEnd w:id="1"/>
      <w:r>
        <w:rPr>
          <w:rFonts w:hint="eastAsia"/>
          <w:color w:val="auto"/>
        </w:rPr>
        <w:t>)第九条、第十条</w:t>
      </w:r>
    </w:p>
    <w:p>
      <w:pPr>
        <w:ind w:firstLine="480"/>
        <w:contextualSpacing/>
        <w:rPr>
          <w:rFonts w:hint="default"/>
          <w:color w:val="auto"/>
        </w:rPr>
      </w:pPr>
      <w:r>
        <w:rPr>
          <w:rFonts w:hint="eastAsia"/>
          <w:color w:val="auto"/>
        </w:rPr>
        <w:t>　</w:t>
      </w:r>
      <w:r>
        <w:rPr>
          <w:rFonts w:hint="eastAsia"/>
          <w:color w:val="auto"/>
          <w:lang w:eastAsia="zh-CN"/>
        </w:rPr>
        <w:t>“第九条</w:t>
      </w:r>
      <w:r>
        <w:rPr>
          <w:rFonts w:hint="eastAsia"/>
          <w:color w:val="auto"/>
        </w:rPr>
        <w:t>间接转让中国应税财产的交易双方及被间接转让股权的中国居民企业可以向主管税务机关报告股权转让事项，并提交以下资料：</w:t>
      </w:r>
      <w:r>
        <w:rPr>
          <w:rFonts w:hint="eastAsia"/>
          <w:color w:val="auto"/>
        </w:rPr>
        <w:br w:type="textWrapping"/>
      </w:r>
      <w:r>
        <w:rPr>
          <w:rFonts w:hint="eastAsia"/>
          <w:color w:val="auto"/>
        </w:rPr>
        <w:t>　　（一）股权转让合同或协议（为外文文本的需同时附送中文译本，下同）；</w:t>
      </w:r>
      <w:r>
        <w:rPr>
          <w:rFonts w:hint="eastAsia"/>
          <w:color w:val="auto"/>
        </w:rPr>
        <w:br w:type="textWrapping"/>
      </w:r>
      <w:r>
        <w:rPr>
          <w:rFonts w:hint="eastAsia"/>
          <w:color w:val="auto"/>
        </w:rPr>
        <w:t>　　（二）股权转让前后的企业股权架构图；</w:t>
      </w:r>
      <w:r>
        <w:rPr>
          <w:rFonts w:hint="eastAsia"/>
          <w:color w:val="auto"/>
        </w:rPr>
        <w:br w:type="textWrapping"/>
      </w:r>
      <w:r>
        <w:rPr>
          <w:rFonts w:hint="eastAsia"/>
          <w:color w:val="auto"/>
        </w:rPr>
        <w:t>　　（三）境外企业及直接或间接持有中国应税财产的下属企业上两个年度财务、会计报表；</w:t>
      </w:r>
      <w:r>
        <w:rPr>
          <w:rFonts w:hint="eastAsia"/>
          <w:color w:val="auto"/>
        </w:rPr>
        <w:br w:type="textWrapping"/>
      </w:r>
      <w:r>
        <w:rPr>
          <w:rFonts w:hint="eastAsia"/>
          <w:color w:val="auto"/>
        </w:rPr>
        <w:t>　　（四）间接转让中国应税财产交易不适用本公告第一条的理由。</w:t>
      </w:r>
      <w:r>
        <w:rPr>
          <w:rFonts w:hint="eastAsia"/>
          <w:color w:val="auto"/>
          <w:lang w:eastAsia="zh-CN"/>
        </w:rPr>
        <w:t>”</w:t>
      </w:r>
      <w:r>
        <w:rPr>
          <w:rFonts w:hint="eastAsia"/>
          <w:color w:val="auto"/>
        </w:rPr>
        <w:t>　</w:t>
      </w:r>
      <w:r>
        <w:rPr>
          <w:rFonts w:hint="eastAsia"/>
          <w:color w:val="auto"/>
          <w:lang w:eastAsia="zh-CN"/>
        </w:rPr>
        <w:t>第十条</w:t>
      </w:r>
      <w:r>
        <w:rPr>
          <w:rFonts w:hint="eastAsia"/>
          <w:color w:val="auto"/>
        </w:rPr>
        <w:t>　间接转让中国应税财产的交易双方和筹划方，以及被间接转让股权的中国居民企业，应按照主管税务机关要求提供以下资料：</w:t>
      </w:r>
      <w:r>
        <w:rPr>
          <w:rFonts w:hint="eastAsia"/>
          <w:color w:val="auto"/>
        </w:rPr>
        <w:br w:type="textWrapping"/>
      </w:r>
      <w:r>
        <w:rPr>
          <w:rFonts w:hint="eastAsia"/>
          <w:color w:val="auto"/>
        </w:rPr>
        <w:t>　　（一）本公告第九条规定的资料（已提交的除外）；</w:t>
      </w:r>
      <w:r>
        <w:rPr>
          <w:rFonts w:hint="eastAsia"/>
          <w:color w:val="auto"/>
        </w:rPr>
        <w:br w:type="textWrapping"/>
      </w:r>
      <w:r>
        <w:rPr>
          <w:rFonts w:hint="eastAsia"/>
          <w:color w:val="auto"/>
        </w:rPr>
        <w:t>　　（二）有关间接转让中国应税财产交易整体安排的决策或执行过程信息；</w:t>
      </w:r>
      <w:r>
        <w:rPr>
          <w:rFonts w:hint="eastAsia"/>
          <w:color w:val="auto"/>
        </w:rPr>
        <w:br w:type="textWrapping"/>
      </w:r>
      <w:r>
        <w:rPr>
          <w:rFonts w:hint="eastAsia"/>
          <w:color w:val="auto"/>
        </w:rPr>
        <w:t>　　（三）境外企业及直接或间接持有中国应税财产的下属企业在生产经营、人员、账务、财产等方面的信息，以及内外部审计情况；</w:t>
      </w:r>
      <w:r>
        <w:rPr>
          <w:rFonts w:hint="eastAsia"/>
          <w:color w:val="auto"/>
        </w:rPr>
        <w:br w:type="textWrapping"/>
      </w:r>
      <w:r>
        <w:rPr>
          <w:rFonts w:hint="eastAsia"/>
          <w:color w:val="auto"/>
        </w:rPr>
        <w:t>　　（四）用以确定境外股权转让价款的资产评估报告及其他作价依据；</w:t>
      </w:r>
      <w:r>
        <w:rPr>
          <w:rFonts w:hint="eastAsia"/>
          <w:color w:val="auto"/>
        </w:rPr>
        <w:br w:type="textWrapping"/>
      </w:r>
      <w:r>
        <w:rPr>
          <w:rFonts w:hint="eastAsia"/>
          <w:color w:val="auto"/>
        </w:rPr>
        <w:t>　　（五）间接转让中国应税财产交易在境外应缴纳所得税情况；</w:t>
      </w:r>
      <w:r>
        <w:rPr>
          <w:rFonts w:hint="eastAsia"/>
          <w:color w:val="auto"/>
        </w:rPr>
        <w:br w:type="textWrapping"/>
      </w:r>
      <w:r>
        <w:rPr>
          <w:rFonts w:hint="eastAsia"/>
          <w:color w:val="auto"/>
        </w:rPr>
        <w:t>　　（六）与适用公告第五条和第六条有关的证据信息；</w:t>
      </w:r>
      <w:r>
        <w:rPr>
          <w:rFonts w:hint="eastAsia"/>
          <w:color w:val="auto"/>
        </w:rPr>
        <w:br w:type="textWrapping"/>
      </w:r>
      <w:r>
        <w:rPr>
          <w:rFonts w:hint="eastAsia"/>
          <w:color w:val="auto"/>
        </w:rPr>
        <w:t>　　（七）其他相关资料。</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38"/>
        <w:gridCol w:w="2764"/>
        <w:gridCol w:w="499"/>
        <w:gridCol w:w="968"/>
        <w:gridCol w:w="1179"/>
        <w:gridCol w:w="1323"/>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38"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76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49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68"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7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323"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638" w:type="dxa"/>
            <w:shd w:val="clear" w:color="auto" w:fill="auto"/>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1</w:t>
            </w:r>
          </w:p>
        </w:tc>
        <w:tc>
          <w:tcPr>
            <w:tcW w:w="2764" w:type="dxa"/>
            <w:shd w:val="clear" w:color="auto" w:fill="auto"/>
            <w:vAlign w:val="center"/>
          </w:tcPr>
          <w:p>
            <w:pPr>
              <w:widowControl/>
              <w:spacing w:line="280" w:lineRule="exact"/>
              <w:ind w:firstLine="0" w:firstLineChars="0"/>
              <w:contextualSpacing/>
              <w:jc w:val="left"/>
              <w:rPr>
                <w:rFonts w:cs="宋体"/>
                <w:color w:val="auto"/>
                <w:kern w:val="0"/>
                <w:sz w:val="18"/>
                <w:szCs w:val="18"/>
              </w:rPr>
            </w:pPr>
            <w:r>
              <w:rPr>
                <w:rFonts w:hint="eastAsia" w:cs="宋体"/>
                <w:color w:val="auto"/>
                <w:kern w:val="0"/>
                <w:sz w:val="18"/>
                <w:szCs w:val="18"/>
              </w:rPr>
              <w:t>股权转让合同或协议（为外文文本的需同时附送中文译本，下同）</w:t>
            </w:r>
          </w:p>
        </w:tc>
        <w:tc>
          <w:tcPr>
            <w:tcW w:w="499" w:type="dxa"/>
            <w:shd w:val="clear" w:color="auto" w:fill="auto"/>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1</w:t>
            </w:r>
          </w:p>
        </w:tc>
        <w:tc>
          <w:tcPr>
            <w:tcW w:w="968" w:type="dxa"/>
            <w:shd w:val="clear" w:color="auto" w:fill="auto"/>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必报</w:t>
            </w:r>
          </w:p>
        </w:tc>
        <w:tc>
          <w:tcPr>
            <w:tcW w:w="1179" w:type="dxa"/>
            <w:shd w:val="clear" w:color="auto" w:fill="auto"/>
            <w:vAlign w:val="center"/>
          </w:tcPr>
          <w:p>
            <w:pPr>
              <w:widowControl/>
              <w:spacing w:line="280" w:lineRule="exact"/>
              <w:ind w:firstLine="0" w:firstLineChars="0"/>
              <w:contextualSpacing/>
              <w:jc w:val="center"/>
              <w:rPr>
                <w:rFonts w:cs="宋体"/>
                <w:color w:val="auto"/>
                <w:kern w:val="0"/>
                <w:sz w:val="18"/>
                <w:szCs w:val="18"/>
              </w:rPr>
            </w:pPr>
          </w:p>
        </w:tc>
        <w:tc>
          <w:tcPr>
            <w:tcW w:w="1323"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638" w:type="dxa"/>
            <w:shd w:val="clear" w:color="auto" w:fill="auto"/>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2</w:t>
            </w:r>
          </w:p>
        </w:tc>
        <w:tc>
          <w:tcPr>
            <w:tcW w:w="2764" w:type="dxa"/>
            <w:shd w:val="clear" w:color="auto" w:fill="auto"/>
            <w:vAlign w:val="center"/>
          </w:tcPr>
          <w:p>
            <w:pPr>
              <w:widowControl/>
              <w:spacing w:line="280" w:lineRule="exact"/>
              <w:ind w:firstLine="0" w:firstLineChars="0"/>
              <w:contextualSpacing/>
              <w:jc w:val="left"/>
              <w:rPr>
                <w:rFonts w:cs="宋体"/>
                <w:color w:val="auto"/>
                <w:kern w:val="0"/>
                <w:sz w:val="18"/>
                <w:szCs w:val="18"/>
              </w:rPr>
            </w:pPr>
            <w:r>
              <w:rPr>
                <w:rFonts w:hint="eastAsia" w:cs="宋体"/>
                <w:color w:val="auto"/>
                <w:kern w:val="0"/>
                <w:sz w:val="18"/>
                <w:szCs w:val="18"/>
              </w:rPr>
              <w:t>股权转让前后的企业股权架构图</w:t>
            </w:r>
          </w:p>
        </w:tc>
        <w:tc>
          <w:tcPr>
            <w:tcW w:w="499" w:type="dxa"/>
            <w:shd w:val="clear" w:color="auto" w:fill="auto"/>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1</w:t>
            </w:r>
          </w:p>
        </w:tc>
        <w:tc>
          <w:tcPr>
            <w:tcW w:w="968" w:type="dxa"/>
            <w:shd w:val="clear" w:color="auto" w:fill="auto"/>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必报</w:t>
            </w:r>
          </w:p>
        </w:tc>
        <w:tc>
          <w:tcPr>
            <w:tcW w:w="1179" w:type="dxa"/>
            <w:shd w:val="clear" w:color="auto" w:fill="auto"/>
            <w:vAlign w:val="center"/>
          </w:tcPr>
          <w:p>
            <w:pPr>
              <w:widowControl/>
              <w:spacing w:line="280" w:lineRule="exact"/>
              <w:ind w:firstLine="0" w:firstLineChars="0"/>
              <w:contextualSpacing/>
              <w:jc w:val="center"/>
              <w:rPr>
                <w:rFonts w:cs="宋体"/>
                <w:color w:val="auto"/>
                <w:kern w:val="0"/>
                <w:sz w:val="18"/>
                <w:szCs w:val="18"/>
              </w:rPr>
            </w:pPr>
          </w:p>
        </w:tc>
        <w:tc>
          <w:tcPr>
            <w:tcW w:w="1323"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税务机关留存</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638" w:type="dxa"/>
            <w:shd w:val="clear" w:color="auto" w:fill="auto"/>
            <w:vAlign w:val="center"/>
          </w:tcPr>
          <w:p>
            <w:pPr>
              <w:widowControl/>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3</w:t>
            </w:r>
          </w:p>
        </w:tc>
        <w:tc>
          <w:tcPr>
            <w:tcW w:w="2764" w:type="dxa"/>
            <w:shd w:val="clear" w:color="auto" w:fill="auto"/>
            <w:vAlign w:val="center"/>
          </w:tcPr>
          <w:p>
            <w:pPr>
              <w:widowControl/>
              <w:spacing w:line="280" w:lineRule="exact"/>
              <w:ind w:firstLine="0" w:firstLineChars="0"/>
              <w:contextualSpacing/>
              <w:jc w:val="left"/>
              <w:rPr>
                <w:rFonts w:hint="eastAsia" w:cs="宋体"/>
                <w:color w:val="auto"/>
                <w:kern w:val="0"/>
                <w:sz w:val="18"/>
                <w:szCs w:val="18"/>
              </w:rPr>
            </w:pPr>
            <w:r>
              <w:rPr>
                <w:rFonts w:hint="eastAsia" w:cs="宋体"/>
                <w:color w:val="auto"/>
                <w:kern w:val="0"/>
                <w:sz w:val="18"/>
                <w:szCs w:val="18"/>
              </w:rPr>
              <w:t>境外企业及直接或间接持有中国应税财产的下属企业上两个年度财务、会计报表</w:t>
            </w:r>
          </w:p>
        </w:tc>
        <w:tc>
          <w:tcPr>
            <w:tcW w:w="499" w:type="dxa"/>
            <w:shd w:val="clear" w:color="auto" w:fill="auto"/>
            <w:vAlign w:val="center"/>
          </w:tcPr>
          <w:p>
            <w:pPr>
              <w:widowControl/>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1</w:t>
            </w:r>
          </w:p>
        </w:tc>
        <w:tc>
          <w:tcPr>
            <w:tcW w:w="968" w:type="dxa"/>
            <w:shd w:val="clear" w:color="auto" w:fill="auto"/>
            <w:vAlign w:val="center"/>
          </w:tcPr>
          <w:p>
            <w:pPr>
              <w:widowControl/>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必报</w:t>
            </w:r>
          </w:p>
        </w:tc>
        <w:tc>
          <w:tcPr>
            <w:tcW w:w="1179" w:type="dxa"/>
            <w:shd w:val="clear" w:color="auto" w:fill="auto"/>
            <w:vAlign w:val="center"/>
          </w:tcPr>
          <w:p>
            <w:pPr>
              <w:widowControl/>
              <w:spacing w:line="280" w:lineRule="exact"/>
              <w:ind w:firstLine="0" w:firstLineChars="0"/>
              <w:contextualSpacing/>
              <w:jc w:val="center"/>
              <w:rPr>
                <w:rFonts w:cs="宋体"/>
                <w:color w:val="auto"/>
                <w:kern w:val="0"/>
                <w:sz w:val="18"/>
                <w:szCs w:val="18"/>
              </w:rPr>
            </w:pPr>
          </w:p>
        </w:tc>
        <w:tc>
          <w:tcPr>
            <w:tcW w:w="1323" w:type="dxa"/>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638" w:type="dxa"/>
            <w:shd w:val="clear" w:color="auto" w:fill="auto"/>
            <w:vAlign w:val="center"/>
          </w:tcPr>
          <w:p>
            <w:pPr>
              <w:widowControl/>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4</w:t>
            </w:r>
          </w:p>
        </w:tc>
        <w:tc>
          <w:tcPr>
            <w:tcW w:w="2764" w:type="dxa"/>
            <w:shd w:val="clear" w:color="auto" w:fill="auto"/>
            <w:vAlign w:val="center"/>
          </w:tcPr>
          <w:p>
            <w:pPr>
              <w:widowControl/>
              <w:spacing w:line="280" w:lineRule="exact"/>
              <w:ind w:firstLine="0" w:firstLineChars="0"/>
              <w:contextualSpacing/>
              <w:jc w:val="left"/>
              <w:rPr>
                <w:rFonts w:hint="eastAsia" w:cs="宋体"/>
                <w:color w:val="auto"/>
                <w:kern w:val="0"/>
                <w:sz w:val="18"/>
                <w:szCs w:val="18"/>
              </w:rPr>
            </w:pPr>
            <w:r>
              <w:rPr>
                <w:rFonts w:hint="eastAsia" w:cs="宋体"/>
                <w:color w:val="auto"/>
                <w:kern w:val="0"/>
                <w:sz w:val="18"/>
                <w:szCs w:val="18"/>
              </w:rPr>
              <w:t>对间接转让中国应税财产交易是否具有合理商业目的、是否规避企业所得税纳税义务的情况说明</w:t>
            </w:r>
          </w:p>
        </w:tc>
        <w:tc>
          <w:tcPr>
            <w:tcW w:w="499" w:type="dxa"/>
            <w:shd w:val="clear" w:color="auto" w:fill="auto"/>
            <w:vAlign w:val="center"/>
          </w:tcPr>
          <w:p>
            <w:pPr>
              <w:widowControl/>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1</w:t>
            </w:r>
          </w:p>
        </w:tc>
        <w:tc>
          <w:tcPr>
            <w:tcW w:w="968" w:type="dxa"/>
            <w:shd w:val="clear" w:color="auto" w:fill="auto"/>
            <w:vAlign w:val="center"/>
          </w:tcPr>
          <w:p>
            <w:pPr>
              <w:widowControl/>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必报</w:t>
            </w:r>
          </w:p>
        </w:tc>
        <w:tc>
          <w:tcPr>
            <w:tcW w:w="1179" w:type="dxa"/>
            <w:shd w:val="clear" w:color="auto" w:fill="auto"/>
            <w:vAlign w:val="center"/>
          </w:tcPr>
          <w:p>
            <w:pPr>
              <w:widowControl/>
              <w:spacing w:line="280" w:lineRule="exact"/>
              <w:ind w:firstLine="0" w:firstLineChars="0"/>
              <w:contextualSpacing/>
              <w:jc w:val="center"/>
              <w:rPr>
                <w:rFonts w:cs="宋体"/>
                <w:color w:val="auto"/>
                <w:kern w:val="0"/>
                <w:sz w:val="18"/>
                <w:szCs w:val="18"/>
              </w:rPr>
            </w:pPr>
          </w:p>
        </w:tc>
        <w:tc>
          <w:tcPr>
            <w:tcW w:w="1323"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638" w:type="dxa"/>
            <w:shd w:val="clear" w:color="auto" w:fill="auto"/>
            <w:vAlign w:val="center"/>
          </w:tcPr>
          <w:p>
            <w:pPr>
              <w:widowControl/>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5</w:t>
            </w:r>
          </w:p>
        </w:tc>
        <w:tc>
          <w:tcPr>
            <w:tcW w:w="2764" w:type="dxa"/>
            <w:shd w:val="clear" w:color="auto" w:fill="auto"/>
            <w:vAlign w:val="center"/>
          </w:tcPr>
          <w:p>
            <w:pPr>
              <w:widowControl/>
              <w:spacing w:line="280" w:lineRule="exact"/>
              <w:ind w:firstLine="0" w:firstLineChars="0"/>
              <w:contextualSpacing/>
              <w:jc w:val="left"/>
              <w:rPr>
                <w:rFonts w:hint="eastAsia" w:eastAsia="宋体" w:cs="宋体"/>
                <w:color w:val="auto"/>
                <w:kern w:val="0"/>
                <w:sz w:val="18"/>
                <w:szCs w:val="18"/>
                <w:lang w:eastAsia="zh-CN"/>
              </w:rPr>
            </w:pPr>
            <w:r>
              <w:rPr>
                <w:rFonts w:hint="eastAsia" w:cs="宋体"/>
                <w:color w:val="auto"/>
                <w:kern w:val="0"/>
                <w:sz w:val="18"/>
                <w:szCs w:val="18"/>
                <w:lang w:bidi="ar"/>
              </w:rPr>
              <w:t>股权转让合同或协议的中文译本</w:t>
            </w:r>
          </w:p>
          <w:p>
            <w:pPr>
              <w:widowControl/>
              <w:spacing w:line="280" w:lineRule="exact"/>
              <w:ind w:firstLine="0" w:firstLineChars="0"/>
              <w:contextualSpacing/>
              <w:jc w:val="left"/>
              <w:rPr>
                <w:rFonts w:hint="eastAsia" w:cs="宋体"/>
                <w:color w:val="auto"/>
                <w:kern w:val="0"/>
                <w:sz w:val="18"/>
                <w:szCs w:val="18"/>
              </w:rPr>
            </w:pPr>
          </w:p>
        </w:tc>
        <w:tc>
          <w:tcPr>
            <w:tcW w:w="499" w:type="dxa"/>
            <w:shd w:val="clear" w:color="auto" w:fill="auto"/>
            <w:vAlign w:val="center"/>
          </w:tcPr>
          <w:p>
            <w:pPr>
              <w:widowControl/>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1</w:t>
            </w:r>
          </w:p>
        </w:tc>
        <w:tc>
          <w:tcPr>
            <w:tcW w:w="968" w:type="dxa"/>
            <w:shd w:val="clear" w:color="auto" w:fill="auto"/>
            <w:vAlign w:val="center"/>
          </w:tcPr>
          <w:p>
            <w:pPr>
              <w:widowControl/>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条件报送</w:t>
            </w:r>
          </w:p>
        </w:tc>
        <w:tc>
          <w:tcPr>
            <w:tcW w:w="1179" w:type="dxa"/>
            <w:shd w:val="clear" w:color="auto" w:fill="auto"/>
            <w:vAlign w:val="center"/>
          </w:tcPr>
          <w:p>
            <w:pPr>
              <w:widowControl/>
              <w:spacing w:line="280" w:lineRule="exact"/>
              <w:ind w:firstLine="0" w:firstLineChars="0"/>
              <w:contextualSpacing/>
              <w:jc w:val="left"/>
              <w:rPr>
                <w:rFonts w:cs="宋体"/>
                <w:color w:val="auto"/>
                <w:kern w:val="0"/>
                <w:sz w:val="18"/>
                <w:szCs w:val="18"/>
              </w:rPr>
            </w:pPr>
            <w:r>
              <w:rPr>
                <w:rFonts w:hint="eastAsia" w:cs="宋体"/>
                <w:color w:val="auto"/>
                <w:kern w:val="0"/>
                <w:sz w:val="18"/>
                <w:szCs w:val="18"/>
                <w:lang w:bidi="ar"/>
              </w:rPr>
              <w:t>股权转让合同或协议的中文译本的报送条件为当股权转让合同或协议为外文文本时。</w:t>
            </w:r>
          </w:p>
        </w:tc>
        <w:tc>
          <w:tcPr>
            <w:tcW w:w="1323"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p>
        </w:tc>
      </w:tr>
    </w:tbl>
    <w:p>
      <w:pPr>
        <w:pStyle w:val="3"/>
        <w:pageBreakBefore w:val="0"/>
        <w:widowControl w:val="0"/>
        <w:numPr>
          <w:ilvl w:val="0"/>
          <w:numId w:val="5"/>
        </w:numPr>
        <w:kinsoku/>
        <w:wordWrap/>
        <w:overflowPunct/>
        <w:topLinePunct w:val="0"/>
        <w:autoSpaceDE/>
        <w:autoSpaceDN/>
        <w:bidi w:val="0"/>
        <w:adjustRightInd/>
        <w:snapToGrid/>
        <w:spacing w:line="240" w:lineRule="auto"/>
        <w:ind w:firstLine="552"/>
        <w:textAlignment w:val="auto"/>
        <w:rPr>
          <w:color w:val="auto"/>
        </w:rPr>
      </w:pPr>
      <w:r>
        <w:rPr>
          <w:color w:val="auto"/>
        </w:rPr>
        <w:t>办理流程</w:t>
      </w:r>
    </w:p>
    <w:p>
      <w:pPr>
        <w:pageBreakBefore w:val="0"/>
        <w:widowControl w:val="0"/>
        <w:numPr>
          <w:ilvl w:val="0"/>
          <w:numId w:val="0"/>
        </w:numPr>
        <w:kinsoku/>
        <w:wordWrap/>
        <w:overflowPunct/>
        <w:topLinePunct w:val="0"/>
        <w:autoSpaceDE/>
        <w:autoSpaceDN/>
        <w:bidi w:val="0"/>
        <w:adjustRightInd/>
        <w:snapToGrid/>
        <w:spacing w:line="240" w:lineRule="auto"/>
        <w:textAlignment w:val="auto"/>
        <w:rPr>
          <w:color w:val="auto"/>
        </w:rPr>
      </w:pPr>
      <w:r>
        <w:rPr>
          <w:color w:val="auto"/>
        </w:rPr>
        <w:drawing>
          <wp:inline distT="0" distB="0" distL="114300" distR="114300">
            <wp:extent cx="4623435" cy="1372870"/>
            <wp:effectExtent l="0" t="0" r="5715" b="17780"/>
            <wp:docPr id="22" name="图片 22" descr="360截图20190921103005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360截图20190921103005851"/>
                    <pic:cNvPicPr>
                      <a:picLocks noChangeAspect="1"/>
                    </pic:cNvPicPr>
                  </pic:nvPicPr>
                  <pic:blipFill>
                    <a:blip r:embed="rId10"/>
                    <a:stretch>
                      <a:fillRect/>
                    </a:stretch>
                  </pic:blipFill>
                  <pic:spPr>
                    <a:xfrm>
                      <a:off x="0" y="0"/>
                      <a:ext cx="4623435" cy="1372870"/>
                    </a:xfrm>
                    <a:prstGeom prst="rect">
                      <a:avLst/>
                    </a:prstGeom>
                  </pic:spPr>
                </pic:pic>
              </a:graphicData>
            </a:graphic>
          </wp:inline>
        </w:drawing>
      </w:r>
    </w:p>
    <w:p>
      <w:pPr>
        <w:pStyle w:val="3"/>
        <w:ind w:left="0" w:leftChars="0" w:firstLine="552" w:firstLineChars="200"/>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w:t>
      </w:r>
      <w:r>
        <w:rPr>
          <w:rFonts w:hint="eastAsia"/>
          <w:color w:val="auto"/>
          <w:lang w:eastAsia="zh-CN"/>
        </w:rPr>
        <w:t>限时</w:t>
      </w:r>
      <w:r>
        <w:rPr>
          <w:rFonts w:hint="eastAsia"/>
          <w:color w:val="auto"/>
        </w:rPr>
        <w:t>办结。</w:t>
      </w:r>
    </w:p>
    <w:p>
      <w:pPr>
        <w:pStyle w:val="3"/>
        <w:ind w:firstLine="552"/>
        <w:rPr>
          <w:color w:val="auto"/>
        </w:rPr>
      </w:pPr>
      <w:r>
        <w:rPr>
          <w:rFonts w:hint="eastAsia"/>
          <w:color w:val="auto"/>
        </w:rPr>
        <w:t>八、表证单书</w:t>
      </w:r>
    </w:p>
    <w:p>
      <w:pPr>
        <w:ind w:firstLine="708" w:firstLineChars="300"/>
        <w:rPr>
          <w:rFonts w:hint="eastAsia" w:eastAsia="宋体"/>
          <w:color w:val="auto"/>
          <w:lang w:eastAsia="zh-CN"/>
        </w:rPr>
      </w:pPr>
      <w:r>
        <w:rPr>
          <w:rFonts w:hint="eastAsia"/>
          <w:color w:val="auto"/>
          <w:lang w:eastAsia="zh-CN"/>
        </w:rPr>
        <w:t>无</w:t>
      </w:r>
    </w:p>
    <w:p>
      <w:pPr>
        <w:pStyle w:val="3"/>
        <w:ind w:firstLine="552"/>
        <w:rPr>
          <w:color w:val="auto"/>
        </w:rPr>
      </w:pPr>
      <w:r>
        <w:rPr>
          <w:rFonts w:hint="eastAsia"/>
          <w:color w:val="auto"/>
        </w:rPr>
        <w:t>九、注意事项</w:t>
      </w:r>
    </w:p>
    <w:p>
      <w:pPr>
        <w:ind w:firstLine="480"/>
        <w:contextualSpacing/>
        <w:rPr>
          <w:rFonts w:hint="eastAsia"/>
          <w:color w:val="auto"/>
        </w:rPr>
      </w:pPr>
      <w:r>
        <w:rPr>
          <w:rFonts w:hint="eastAsia"/>
          <w:color w:val="auto"/>
          <w:lang w:val="en-US" w:eastAsia="zh-CN"/>
        </w:rPr>
        <w:t>1.</w:t>
      </w:r>
      <w:r>
        <w:rPr>
          <w:rFonts w:hint="eastAsia"/>
          <w:color w:val="auto"/>
        </w:rPr>
        <w:t>办结后，纳税服务部门应当于1个工作日内将资料转县（市、区）局国际税收管理部门进行后续管理。</w:t>
      </w:r>
    </w:p>
    <w:p>
      <w:pPr>
        <w:rPr>
          <w:rFonts w:hint="eastAsia"/>
          <w:color w:val="auto"/>
        </w:rPr>
      </w:pPr>
      <w:r>
        <w:rPr>
          <w:rFonts w:hint="eastAsia"/>
          <w:color w:val="auto"/>
          <w:lang w:val="en-US" w:eastAsia="zh-CN"/>
        </w:rPr>
        <w:t>2.</w:t>
      </w:r>
      <w:r>
        <w:rPr>
          <w:rFonts w:hint="eastAsia"/>
          <w:color w:val="auto"/>
        </w:rPr>
        <w:t>纳税人对报送资料的真实性和合法性承担责任。</w:t>
      </w:r>
    </w:p>
    <w:p>
      <w:pPr>
        <w:ind w:firstLine="472"/>
        <w:rPr>
          <w:rFonts w:hint="eastAsia"/>
          <w:color w:val="auto"/>
          <w:lang w:val="en-US" w:eastAsia="zh-CN"/>
        </w:rPr>
      </w:pPr>
      <w:r>
        <w:rPr>
          <w:rFonts w:hint="eastAsia"/>
          <w:color w:val="auto"/>
          <w:lang w:val="en-US" w:eastAsia="zh-CN"/>
        </w:rPr>
        <w:t>3</w:t>
      </w:r>
      <w:r>
        <w:rPr>
          <w:rFonts w:hint="eastAsia"/>
          <w:color w:val="auto"/>
        </w:rPr>
        <w:t>.最多跑一次是在资料完整且符合法定受理条件的前提下，最多只需要到税务机关跑一次。</w:t>
      </w:r>
    </w:p>
    <w:p>
      <w:pPr>
        <w:ind w:firstLine="472"/>
        <w:rPr>
          <w:rFonts w:hint="default" w:eastAsia="宋体"/>
          <w:color w:val="auto"/>
          <w:lang w:val="en-US" w:eastAsia="zh-CN"/>
        </w:rPr>
      </w:pPr>
      <w:r>
        <w:rPr>
          <w:rFonts w:hint="eastAsia"/>
          <w:color w:val="auto"/>
          <w:lang w:val="en-US" w:eastAsia="zh-CN"/>
        </w:rPr>
        <w:t>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left="0" w:leftChars="0" w:firstLine="552" w:firstLineChars="200"/>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1389A9"/>
    <w:multiLevelType w:val="singleLevel"/>
    <w:tmpl w:val="CC1389A9"/>
    <w:lvl w:ilvl="0" w:tentative="0">
      <w:start w:val="6"/>
      <w:numFmt w:val="chineseCounting"/>
      <w:suff w:val="nothing"/>
      <w:lvlText w:val="%1、"/>
      <w:lvlJc w:val="left"/>
      <w:rPr>
        <w:rFonts w:hint="eastAsia"/>
      </w:rPr>
    </w:lvl>
  </w:abstractNum>
  <w:abstractNum w:abstractNumId="1">
    <w:nsid w:val="03FB57D4"/>
    <w:multiLevelType w:val="multilevel"/>
    <w:tmpl w:val="03FB57D4"/>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2">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3">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7B76618"/>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2019-10-31T04:50:04Z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