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7882"/>
      <w:r>
        <w:rPr>
          <w:rFonts w:hint="eastAsia" w:ascii="黑体" w:hAnsi="黑体" w:cs="黑体"/>
          <w:color w:val="auto"/>
        </w:rPr>
        <w:t>2.1.11出口退（免）税分类管理评定申请</w:t>
      </w:r>
      <w:bookmarkEnd w:id="0"/>
    </w:p>
    <w:p>
      <w:pPr>
        <w:pStyle w:val="3"/>
        <w:ind w:firstLine="552"/>
        <w:rPr>
          <w:rFonts w:hint="default"/>
          <w:color w:val="auto"/>
        </w:rPr>
      </w:pPr>
      <w:r>
        <w:rPr>
          <w:color w:val="auto"/>
        </w:rPr>
        <w:t>【事项名称】</w:t>
      </w:r>
    </w:p>
    <w:p>
      <w:pPr>
        <w:wordWrap w:val="0"/>
        <w:spacing w:line="360" w:lineRule="auto"/>
        <w:ind w:firstLine="480"/>
        <w:rPr>
          <w:rFonts w:hint="default" w:ascii="宋体" w:hAnsi="宋体" w:cs="Times New Roman"/>
          <w:color w:val="auto"/>
          <w:kern w:val="0"/>
        </w:rPr>
      </w:pPr>
      <w:r>
        <w:rPr>
          <w:rFonts w:ascii="宋体" w:hAnsi="宋体" w:cs="Times New Roman"/>
          <w:color w:val="auto"/>
          <w:kern w:val="0"/>
        </w:rPr>
        <w:t>出口退（免）税分类管理</w:t>
      </w:r>
      <w:r>
        <w:rPr>
          <w:rFonts w:hint="default" w:ascii="宋体" w:hAnsi="宋体" w:cs="Times New Roman"/>
          <w:color w:val="auto"/>
          <w:kern w:val="0"/>
        </w:rPr>
        <w:t>评定申请</w:t>
      </w:r>
    </w:p>
    <w:p>
      <w:pPr>
        <w:pStyle w:val="3"/>
        <w:ind w:firstLine="552"/>
        <w:rPr>
          <w:rFonts w:hint="default"/>
          <w:color w:val="auto"/>
        </w:rPr>
      </w:pPr>
      <w:r>
        <w:rPr>
          <w:color w:val="auto"/>
        </w:rPr>
        <w:t>【</w:t>
      </w:r>
      <w:r>
        <w:rPr>
          <w:rFonts w:hint="eastAsia"/>
          <w:color w:val="auto"/>
          <w:lang w:val="en-US" w:eastAsia="zh-CN"/>
        </w:rPr>
        <w:t>办理条件</w:t>
      </w:r>
      <w:r>
        <w:rPr>
          <w:color w:val="auto"/>
        </w:rPr>
        <w:t>】</w:t>
      </w:r>
    </w:p>
    <w:p>
      <w:pPr>
        <w:wordWrap w:val="0"/>
        <w:spacing w:line="360" w:lineRule="auto"/>
        <w:ind w:firstLine="480"/>
        <w:rPr>
          <w:rFonts w:hint="default" w:ascii="宋体" w:hAnsi="宋体" w:cs="Times New Roman"/>
          <w:color w:val="auto"/>
          <w:kern w:val="0"/>
        </w:rPr>
      </w:pPr>
      <w:r>
        <w:rPr>
          <w:rFonts w:ascii="宋体" w:hAnsi="宋体" w:cs="Times New Roman"/>
          <w:color w:val="auto"/>
          <w:kern w:val="0"/>
        </w:rPr>
        <w:t>出口退（免）税分类管理</w:t>
      </w:r>
      <w:r>
        <w:rPr>
          <w:rFonts w:hint="default" w:ascii="宋体" w:hAnsi="宋体" w:cs="Times New Roman"/>
          <w:color w:val="auto"/>
          <w:kern w:val="0"/>
        </w:rPr>
        <w:t>评定申请事项是指</w:t>
      </w:r>
      <w:r>
        <w:rPr>
          <w:rFonts w:ascii="宋体" w:hAnsi="宋体" w:cs="Times New Roman"/>
          <w:color w:val="auto"/>
          <w:kern w:val="0"/>
        </w:rPr>
        <w:t>符合一类</w:t>
      </w:r>
      <w:r>
        <w:rPr>
          <w:rFonts w:hint="default" w:ascii="宋体" w:hAnsi="宋体" w:cs="Times New Roman"/>
          <w:color w:val="auto"/>
          <w:kern w:val="0"/>
        </w:rPr>
        <w:t>出口</w:t>
      </w:r>
      <w:r>
        <w:rPr>
          <w:rFonts w:ascii="宋体" w:hAnsi="宋体" w:cs="Times New Roman"/>
          <w:color w:val="auto"/>
          <w:kern w:val="0"/>
        </w:rPr>
        <w:t>企业评定条件</w:t>
      </w:r>
      <w:r>
        <w:rPr>
          <w:rFonts w:hint="default" w:ascii="宋体" w:hAnsi="宋体" w:cs="Times New Roman"/>
          <w:color w:val="auto"/>
          <w:kern w:val="0"/>
        </w:rPr>
        <w:t>的纳税人</w:t>
      </w:r>
      <w:r>
        <w:rPr>
          <w:rFonts w:ascii="宋体" w:hAnsi="宋体" w:cs="Times New Roman"/>
          <w:color w:val="auto"/>
          <w:kern w:val="0"/>
        </w:rPr>
        <w:t>，应于企业纳税信用级别评价结果确定的当月向主管税务机关</w:t>
      </w:r>
      <w:r>
        <w:rPr>
          <w:rFonts w:hint="default" w:ascii="宋体" w:hAnsi="宋体" w:cs="Times New Roman"/>
          <w:color w:val="auto"/>
          <w:kern w:val="0"/>
        </w:rPr>
        <w:t>报送相关资料</w:t>
      </w:r>
      <w:r>
        <w:rPr>
          <w:rFonts w:ascii="宋体" w:hAnsi="宋体" w:cs="Times New Roman"/>
          <w:color w:val="auto"/>
          <w:kern w:val="0"/>
        </w:rPr>
        <w:t>申请评定为一类出口企业</w:t>
      </w:r>
      <w:r>
        <w:rPr>
          <w:rFonts w:hint="default" w:ascii="宋体" w:hAnsi="宋体" w:cs="Times New Roman"/>
          <w:color w:val="auto"/>
          <w:kern w:val="0"/>
        </w:rPr>
        <w:t>；</w:t>
      </w:r>
      <w:r>
        <w:rPr>
          <w:rFonts w:ascii="宋体" w:hAnsi="宋体" w:cs="Times New Roman"/>
          <w:color w:val="auto"/>
          <w:kern w:val="0"/>
        </w:rPr>
        <w:t>出口企业因纳税信用级别、海关企业信用管理类别、外汇管理的分类管理等级等发生变化，或者对分类管理类别评定结果有异议的，可以书面向负责评定出口企业管理类别的税务机关提出重新评定出口退（免）税</w:t>
      </w:r>
      <w:r>
        <w:rPr>
          <w:rFonts w:hint="default" w:ascii="宋体" w:hAnsi="宋体" w:cs="Times New Roman"/>
          <w:color w:val="auto"/>
          <w:kern w:val="0"/>
        </w:rPr>
        <w:t>分类</w:t>
      </w:r>
      <w:r>
        <w:rPr>
          <w:rFonts w:ascii="宋体" w:hAnsi="宋体" w:cs="Times New Roman"/>
          <w:color w:val="auto"/>
          <w:kern w:val="0"/>
        </w:rPr>
        <w:t>管理类别。</w:t>
      </w:r>
    </w:p>
    <w:p>
      <w:pPr>
        <w:pStyle w:val="3"/>
        <w:ind w:firstLine="552"/>
        <w:rPr>
          <w:rFonts w:hint="default"/>
          <w:color w:val="auto"/>
        </w:rPr>
      </w:pPr>
      <w:r>
        <w:rPr>
          <w:color w:val="auto"/>
        </w:rPr>
        <w:t>【设定依据】</w:t>
      </w:r>
    </w:p>
    <w:p>
      <w:pPr>
        <w:wordWrap w:val="0"/>
        <w:spacing w:line="360" w:lineRule="auto"/>
        <w:ind w:firstLine="480"/>
        <w:rPr>
          <w:rFonts w:ascii="宋体" w:hAnsi="宋体" w:cs="Times New Roman"/>
          <w:color w:val="auto"/>
          <w:kern w:val="0"/>
        </w:rPr>
      </w:pPr>
      <w:r>
        <w:rPr>
          <w:rFonts w:ascii="宋体" w:hAnsi="宋体" w:cs="Times New Roman"/>
          <w:color w:val="auto"/>
          <w:kern w:val="0"/>
        </w:rPr>
        <w:t>《国家税务总局关于发布修订后的&lt;出口退（免）税企业分类管理办法&gt;的公告》（国家税务总局公告</w:t>
      </w:r>
      <w:r>
        <w:rPr>
          <w:rFonts w:hint="eastAsia" w:ascii="Times New Roman" w:hAnsi="Times New Roman" w:cs="Times New Roman"/>
          <w:caps w:val="0"/>
          <w:smallCaps w:val="0"/>
          <w:strike w:val="0"/>
          <w:dstrike w:val="0"/>
          <w:vanish w:val="0"/>
          <w:color w:val="auto"/>
          <w:kern w:val="0"/>
          <w:lang w:eastAsia="zh-CN"/>
        </w:rPr>
        <w:t>2016</w:t>
      </w:r>
      <w:r>
        <w:rPr>
          <w:rFonts w:ascii="宋体" w:hAnsi="宋体" w:cs="Times New Roman"/>
          <w:color w:val="auto"/>
          <w:kern w:val="0"/>
        </w:rPr>
        <w:t>年第</w:t>
      </w:r>
      <w:r>
        <w:rPr>
          <w:rFonts w:hint="eastAsia" w:ascii="Times New Roman" w:hAnsi="Times New Roman" w:cs="Times New Roman"/>
          <w:caps w:val="0"/>
          <w:smallCaps w:val="0"/>
          <w:strike w:val="0"/>
          <w:dstrike w:val="0"/>
          <w:vanish w:val="0"/>
          <w:color w:val="auto"/>
          <w:kern w:val="0"/>
          <w:lang w:eastAsia="zh-CN"/>
        </w:rPr>
        <w:t>46</w:t>
      </w:r>
      <w:r>
        <w:rPr>
          <w:rFonts w:ascii="宋体" w:hAnsi="宋体" w:cs="Times New Roman"/>
          <w:color w:val="auto"/>
          <w:kern w:val="0"/>
        </w:rPr>
        <w:t>号）第十条</w:t>
      </w:r>
    </w:p>
    <w:p>
      <w:pPr>
        <w:wordWrap w:val="0"/>
        <w:spacing w:line="360" w:lineRule="auto"/>
        <w:ind w:firstLine="480"/>
        <w:rPr>
          <w:rFonts w:hint="eastAsia" w:ascii="宋体" w:hAnsi="宋体" w:eastAsia="宋体" w:cs="Times New Roman"/>
          <w:color w:val="auto"/>
          <w:kern w:val="0"/>
          <w:lang w:val="en-US" w:eastAsia="zh-CN"/>
        </w:rPr>
      </w:pPr>
      <w:r>
        <w:rPr>
          <w:rFonts w:hint="default" w:ascii="宋体" w:hAnsi="宋体" w:cs="Times New Roman"/>
          <w:color w:val="auto"/>
          <w:kern w:val="0"/>
          <w:lang w:val="en-US" w:eastAsia="zh-CN"/>
        </w:rPr>
        <w:t>“</w:t>
      </w:r>
      <w:r>
        <w:rPr>
          <w:rFonts w:hint="eastAsia" w:ascii="宋体" w:hAnsi="宋体" w:cs="Times New Roman"/>
          <w:color w:val="auto"/>
          <w:kern w:val="0"/>
        </w:rPr>
        <w:t>申请出口企业管理类别评定为一类的出口企业，应于企业纳税信用级别评价结果确定的当月向主管国税机关报送《生产型出口企业生产能力情况报告》（仅生产企业填报，样式见附件1）、《出口退（免）税企业内部风险控制体系建设情况报告》（样式见附件2）。</w:t>
      </w:r>
      <w:r>
        <w:rPr>
          <w:rFonts w:hint="default" w:ascii="宋体" w:hAnsi="宋体" w:cs="Times New Roman"/>
          <w:color w:val="auto"/>
          <w:kern w:val="0"/>
          <w:lang w:val="en-US" w:eastAsia="zh-CN"/>
        </w:rPr>
        <w:t>”</w:t>
      </w:r>
    </w:p>
    <w:p>
      <w:pPr>
        <w:pStyle w:val="3"/>
        <w:ind w:firstLine="552"/>
        <w:rPr>
          <w:rFonts w:hint="default"/>
          <w:color w:val="auto"/>
        </w:rPr>
      </w:pPr>
      <w:r>
        <w:rPr>
          <w:color w:val="auto"/>
        </w:rPr>
        <w:t>【办理材料】</w:t>
      </w:r>
    </w:p>
    <w:p>
      <w:pPr>
        <w:wordWrap w:val="0"/>
        <w:spacing w:line="360" w:lineRule="auto"/>
        <w:ind w:firstLine="480"/>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1.</w:t>
      </w:r>
      <w:r>
        <w:rPr>
          <w:rFonts w:hint="default" w:ascii="宋体" w:hAnsi="宋体" w:cs="Times New Roman"/>
          <w:color w:val="auto"/>
          <w:kern w:val="0"/>
        </w:rPr>
        <w:t>一类出口企业评定申请</w:t>
      </w:r>
      <w:r>
        <w:rPr>
          <w:rFonts w:ascii="宋体" w:hAnsi="宋体" w:cs="Times New Roman"/>
          <w:color w:val="auto"/>
          <w:kern w:val="0"/>
        </w:rPr>
        <w:t>：</w:t>
      </w:r>
    </w:p>
    <w:tbl>
      <w:tblPr>
        <w:tblStyle w:val="15"/>
        <w:tblW w:w="8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2835"/>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序号</w:t>
            </w:r>
          </w:p>
        </w:tc>
        <w:tc>
          <w:tcPr>
            <w:tcW w:w="4536" w:type="dxa"/>
            <w:gridSpan w:val="2"/>
            <w:shd w:val="clear" w:color="auto" w:fill="D9D9D9"/>
            <w:vAlign w:val="center"/>
          </w:tcPr>
          <w:p>
            <w:pPr>
              <w:tabs>
                <w:tab w:val="left" w:pos="3600"/>
              </w:tabs>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数量</w:t>
            </w:r>
          </w:p>
        </w:tc>
        <w:tc>
          <w:tcPr>
            <w:tcW w:w="2267"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hidden/>
        </w:trPr>
        <w:tc>
          <w:tcPr>
            <w:tcW w:w="679" w:type="dxa"/>
            <w:vAlign w:val="center"/>
          </w:tcPr>
          <w:p>
            <w:pPr>
              <w:wordWrap w:val="0"/>
              <w:spacing w:line="240" w:lineRule="auto"/>
              <w:ind w:firstLine="0" w:firstLineChars="0"/>
              <w:jc w:val="center"/>
              <w:rPr>
                <w:rFonts w:hint="eastAsia" w:ascii="黑体" w:hAnsi="黑体" w:eastAsia="黑体" w:cs="Times New Roman"/>
                <w:color w:val="auto"/>
                <w:kern w:val="0"/>
                <w:sz w:val="18"/>
                <w:szCs w:val="18"/>
                <w:lang w:eastAsia="zh-CN"/>
              </w:rPr>
            </w:pPr>
            <w:r>
              <w:rPr>
                <w:rFonts w:hint="eastAsia" w:ascii="Times New Roman" w:hAnsi="Times New Roman" w:eastAsia="黑体" w:cs="Times New Roman"/>
                <w:caps w:val="0"/>
                <w:smallCaps w:val="0"/>
                <w:strike w:val="0"/>
                <w:dstrike w:val="0"/>
                <w:vanish w:val="0"/>
                <w:color w:val="auto"/>
                <w:kern w:val="0"/>
                <w:sz w:val="18"/>
                <w:szCs w:val="18"/>
                <w:lang w:eastAsia="zh-CN"/>
              </w:rPr>
              <w:t>1</w:t>
            </w:r>
          </w:p>
        </w:tc>
        <w:tc>
          <w:tcPr>
            <w:tcW w:w="4536" w:type="dxa"/>
            <w:gridSpan w:val="2"/>
            <w:vAlign w:val="center"/>
          </w:tcPr>
          <w:p>
            <w:pPr>
              <w:tabs>
                <w:tab w:val="left" w:pos="3600"/>
              </w:tabs>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《出口退（免）税企业内部风险控制体系建设情况报告》</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Microsoft Himalaya"/>
                <w:color w:val="auto"/>
                <w:kern w:val="0"/>
                <w:sz w:val="21"/>
                <w:szCs w:val="21"/>
              </w:rPr>
            </w:pPr>
            <w:r>
              <w:rPr>
                <w:rFonts w:hint="default" w:ascii="黑体" w:hAnsi="黑体" w:eastAsia="黑体" w:cs="Times New Roman"/>
                <w:color w:val="auto"/>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数量</w:t>
            </w:r>
          </w:p>
        </w:tc>
        <w:tc>
          <w:tcPr>
            <w:tcW w:w="2267"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2380" w:type="dxa"/>
            <w:gridSpan w:val="2"/>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申请评定为一类出口企业</w:t>
            </w:r>
            <w:r>
              <w:rPr>
                <w:rFonts w:hint="default" w:ascii="黑体" w:hAnsi="黑体" w:eastAsia="黑体" w:cs="Times New Roman"/>
                <w:color w:val="auto"/>
                <w:kern w:val="0"/>
                <w:sz w:val="18"/>
                <w:szCs w:val="18"/>
              </w:rPr>
              <w:t>的生产企业</w:t>
            </w:r>
          </w:p>
        </w:tc>
        <w:tc>
          <w:tcPr>
            <w:tcW w:w="2835"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《生产型出口企业生产能力情况报告》</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bl>
    <w:p>
      <w:pPr>
        <w:wordWrap w:val="0"/>
        <w:spacing w:line="480" w:lineRule="auto"/>
        <w:ind w:firstLine="480"/>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2.</w:t>
      </w:r>
      <w:r>
        <w:rPr>
          <w:rFonts w:ascii="宋体" w:hAnsi="宋体" w:cs="Times New Roman"/>
          <w:color w:val="auto"/>
          <w:kern w:val="0"/>
        </w:rPr>
        <w:t>出口退（免）税分类管理复评：</w:t>
      </w:r>
    </w:p>
    <w:tbl>
      <w:tblPr>
        <w:tblStyle w:val="15"/>
        <w:tblW w:w="8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701"/>
        <w:gridCol w:w="2835"/>
        <w:gridCol w:w="680"/>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679"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序号</w:t>
            </w:r>
          </w:p>
        </w:tc>
        <w:tc>
          <w:tcPr>
            <w:tcW w:w="4536"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数量</w:t>
            </w:r>
          </w:p>
        </w:tc>
        <w:tc>
          <w:tcPr>
            <w:tcW w:w="2267"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ascii="黑体" w:hAnsi="黑体" w:eastAsia="黑体" w:cs="Times New Roman"/>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hidden/>
        </w:trPr>
        <w:tc>
          <w:tcPr>
            <w:tcW w:w="679" w:type="dxa"/>
            <w:vAlign w:val="center"/>
          </w:tcPr>
          <w:p>
            <w:pPr>
              <w:wordWrap w:val="0"/>
              <w:spacing w:line="240" w:lineRule="auto"/>
              <w:ind w:firstLine="0" w:firstLineChars="0"/>
              <w:jc w:val="center"/>
              <w:rPr>
                <w:rFonts w:hint="eastAsia" w:ascii="黑体" w:hAnsi="黑体" w:eastAsia="黑体" w:cs="Times New Roman"/>
                <w:color w:val="auto"/>
                <w:kern w:val="0"/>
                <w:sz w:val="18"/>
                <w:szCs w:val="18"/>
                <w:lang w:eastAsia="zh-CN"/>
              </w:rPr>
            </w:pPr>
            <w:r>
              <w:rPr>
                <w:rFonts w:hint="eastAsia" w:ascii="Times New Roman" w:hAnsi="Times New Roman" w:eastAsia="黑体" w:cs="Times New Roman"/>
                <w:caps w:val="0"/>
                <w:smallCaps w:val="0"/>
                <w:strike w:val="0"/>
                <w:dstrike w:val="0"/>
                <w:vanish w:val="0"/>
                <w:color w:val="auto"/>
                <w:kern w:val="0"/>
                <w:sz w:val="18"/>
                <w:szCs w:val="18"/>
                <w:lang w:eastAsia="zh-CN"/>
              </w:rPr>
              <w:t>1</w:t>
            </w:r>
          </w:p>
        </w:tc>
        <w:tc>
          <w:tcPr>
            <w:tcW w:w="4536" w:type="dxa"/>
            <w:gridSpan w:val="2"/>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重新评定管理类别书面申请</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162" w:type="dxa"/>
            <w:gridSpan w:val="5"/>
            <w:shd w:val="clear" w:color="auto" w:fill="D9D9D9"/>
            <w:vAlign w:val="center"/>
          </w:tcPr>
          <w:p>
            <w:pPr>
              <w:wordWrap w:val="0"/>
              <w:spacing w:line="240" w:lineRule="auto"/>
              <w:ind w:firstLine="0" w:firstLineChars="0"/>
              <w:jc w:val="center"/>
              <w:rPr>
                <w:rFonts w:hint="default" w:ascii="黑体" w:hAnsi="黑体" w:eastAsia="黑体" w:cs="Microsoft Himalaya"/>
                <w:color w:val="auto"/>
                <w:kern w:val="0"/>
                <w:sz w:val="21"/>
                <w:szCs w:val="21"/>
              </w:rPr>
            </w:pPr>
            <w:r>
              <w:rPr>
                <w:rFonts w:hint="default" w:ascii="黑体" w:hAnsi="黑体" w:eastAsia="黑体" w:cs="Times New Roman"/>
                <w:color w:val="auto"/>
                <w:kern w:val="0"/>
                <w:sz w:val="21"/>
                <w:szCs w:val="21"/>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380" w:type="dxa"/>
            <w:gridSpan w:val="2"/>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适用情形</w:t>
            </w:r>
          </w:p>
        </w:tc>
        <w:tc>
          <w:tcPr>
            <w:tcW w:w="2835"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材料名称</w:t>
            </w:r>
          </w:p>
        </w:tc>
        <w:tc>
          <w:tcPr>
            <w:tcW w:w="680"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数量</w:t>
            </w:r>
          </w:p>
        </w:tc>
        <w:tc>
          <w:tcPr>
            <w:tcW w:w="2267" w:type="dxa"/>
            <w:shd w:val="clear" w:color="auto" w:fill="D9D9D9"/>
            <w:vAlign w:val="center"/>
          </w:tcPr>
          <w:p>
            <w:pPr>
              <w:wordWrap w:val="0"/>
              <w:spacing w:line="240" w:lineRule="auto"/>
              <w:ind w:firstLine="0" w:firstLineChars="0"/>
              <w:jc w:val="center"/>
              <w:rPr>
                <w:rFonts w:hint="default" w:ascii="黑体" w:hAnsi="黑体" w:eastAsia="黑体" w:cs="Times New Roman"/>
                <w:color w:val="auto"/>
                <w:kern w:val="0"/>
                <w:sz w:val="21"/>
                <w:szCs w:val="21"/>
              </w:rPr>
            </w:pPr>
            <w:r>
              <w:rPr>
                <w:rFonts w:hint="default" w:ascii="黑体" w:hAnsi="黑体" w:eastAsia="黑体" w:cs="Times New Roman"/>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jc w:val="center"/>
        </w:trPr>
        <w:tc>
          <w:tcPr>
            <w:tcW w:w="2380" w:type="dxa"/>
            <w:gridSpan w:val="2"/>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申请复评为一类出口企业的</w:t>
            </w:r>
            <w:r>
              <w:rPr>
                <w:rFonts w:hint="default" w:ascii="黑体" w:hAnsi="黑体" w:eastAsia="黑体" w:cs="Times New Roman"/>
                <w:color w:val="auto"/>
                <w:kern w:val="0"/>
                <w:sz w:val="18"/>
                <w:szCs w:val="18"/>
              </w:rPr>
              <w:t>外贸企业</w:t>
            </w:r>
          </w:p>
        </w:tc>
        <w:tc>
          <w:tcPr>
            <w:tcW w:w="2835"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《出口退（免）税企业内部风险控制体系建设情况报告》</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exact"/>
          <w:jc w:val="center"/>
        </w:trPr>
        <w:tc>
          <w:tcPr>
            <w:tcW w:w="2380" w:type="dxa"/>
            <w:gridSpan w:val="2"/>
            <w:vMerge w:val="restart"/>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申请复评为一类出口企业的</w:t>
            </w:r>
            <w:r>
              <w:rPr>
                <w:rFonts w:hint="default" w:ascii="黑体" w:hAnsi="黑体" w:eastAsia="黑体" w:cs="Times New Roman"/>
                <w:color w:val="auto"/>
                <w:kern w:val="0"/>
                <w:sz w:val="18"/>
                <w:szCs w:val="18"/>
              </w:rPr>
              <w:t>生产企业</w:t>
            </w:r>
          </w:p>
        </w:tc>
        <w:tc>
          <w:tcPr>
            <w:tcW w:w="2835"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《出口退（免）税企业内部风险控制体系建设情况报告》</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hint="default"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exact"/>
          <w:jc w:val="center"/>
        </w:trPr>
        <w:tc>
          <w:tcPr>
            <w:tcW w:w="2380" w:type="dxa"/>
            <w:gridSpan w:val="2"/>
            <w:vMerge w:val="continue"/>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c>
          <w:tcPr>
            <w:tcW w:w="2835"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ascii="黑体" w:hAnsi="黑体" w:eastAsia="黑体" w:cs="Times New Roman"/>
                <w:color w:val="auto"/>
                <w:kern w:val="0"/>
                <w:sz w:val="18"/>
                <w:szCs w:val="18"/>
              </w:rPr>
              <w:t>《生产型出口企业生产能力情况报告》</w:t>
            </w:r>
          </w:p>
        </w:tc>
        <w:tc>
          <w:tcPr>
            <w:tcW w:w="680"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r>
              <w:rPr>
                <w:rFonts w:hint="eastAsia" w:ascii="Times New Roman" w:hAnsi="Times New Roman" w:eastAsia="黑体" w:cs="Times New Roman"/>
                <w:caps w:val="0"/>
                <w:smallCaps w:val="0"/>
                <w:strike w:val="0"/>
                <w:dstrike w:val="0"/>
                <w:vanish w:val="0"/>
                <w:color w:val="auto"/>
                <w:kern w:val="0"/>
                <w:sz w:val="18"/>
                <w:szCs w:val="18"/>
                <w:lang w:eastAsia="zh-CN"/>
              </w:rPr>
              <w:t>1</w:t>
            </w:r>
            <w:r>
              <w:rPr>
                <w:rFonts w:ascii="黑体" w:hAnsi="黑体" w:eastAsia="黑体" w:cs="Times New Roman"/>
                <w:color w:val="auto"/>
                <w:kern w:val="0"/>
                <w:sz w:val="18"/>
                <w:szCs w:val="18"/>
              </w:rPr>
              <w:t>份</w:t>
            </w:r>
          </w:p>
        </w:tc>
        <w:tc>
          <w:tcPr>
            <w:tcW w:w="2267" w:type="dxa"/>
            <w:vAlign w:val="center"/>
          </w:tcPr>
          <w:p>
            <w:pPr>
              <w:wordWrap w:val="0"/>
              <w:spacing w:line="240" w:lineRule="auto"/>
              <w:ind w:firstLine="0" w:firstLineChars="0"/>
              <w:jc w:val="center"/>
              <w:rPr>
                <w:rFonts w:hint="default" w:ascii="黑体" w:hAnsi="黑体" w:eastAsia="黑体" w:cs="Times New Roman"/>
                <w:color w:val="auto"/>
                <w:kern w:val="0"/>
                <w:sz w:val="18"/>
                <w:szCs w:val="18"/>
              </w:rPr>
            </w:pPr>
          </w:p>
        </w:tc>
      </w:tr>
    </w:tbl>
    <w:p>
      <w:pPr>
        <w:pStyle w:val="3"/>
        <w:ind w:firstLine="552"/>
        <w:rPr>
          <w:rFonts w:hint="default"/>
          <w:color w:val="auto"/>
        </w:rPr>
      </w:pPr>
      <w:r>
        <w:rPr>
          <w:color w:val="auto"/>
        </w:rPr>
        <w:t>【办理地点】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default"/>
          <w:color w:val="auto"/>
        </w:rPr>
      </w:pPr>
      <w:r>
        <w:rPr>
          <w:color w:val="auto"/>
        </w:rPr>
        <w:t>【办理机构】</w:t>
      </w:r>
    </w:p>
    <w:p>
      <w:pPr>
        <w:wordWrap w:val="0"/>
        <w:spacing w:line="360" w:lineRule="auto"/>
        <w:ind w:firstLine="480"/>
        <w:rPr>
          <w:rFonts w:hint="default" w:ascii="宋体" w:hAnsi="宋体" w:cs="Times New Roman"/>
          <w:color w:val="auto"/>
          <w:kern w:val="0"/>
        </w:rPr>
      </w:pPr>
      <w:r>
        <w:rPr>
          <w:rFonts w:ascii="宋体" w:hAnsi="宋体" w:cs="Times New Roman"/>
          <w:color w:val="auto"/>
          <w:kern w:val="0"/>
        </w:rPr>
        <w:t>主管税务机关</w:t>
      </w:r>
    </w:p>
    <w:p>
      <w:pPr>
        <w:pStyle w:val="3"/>
        <w:ind w:firstLine="552"/>
        <w:rPr>
          <w:rFonts w:hint="default"/>
          <w:color w:val="auto"/>
        </w:rPr>
      </w:pPr>
      <w:r>
        <w:rPr>
          <w:color w:val="auto"/>
        </w:rPr>
        <w:t>【收费标准】</w:t>
      </w:r>
    </w:p>
    <w:p>
      <w:pPr>
        <w:wordWrap w:val="0"/>
        <w:spacing w:line="360" w:lineRule="auto"/>
        <w:ind w:firstLine="480"/>
        <w:rPr>
          <w:rFonts w:hint="default" w:ascii="宋体" w:hAnsi="宋体" w:cs="Times New Roman"/>
          <w:color w:val="auto"/>
          <w:kern w:val="0"/>
        </w:rPr>
      </w:pPr>
      <w:r>
        <w:rPr>
          <w:rFonts w:ascii="宋体" w:hAnsi="宋体" w:cs="Times New Roman"/>
          <w:color w:val="auto"/>
          <w:kern w:val="0"/>
        </w:rPr>
        <w:t>不收费</w:t>
      </w:r>
    </w:p>
    <w:p>
      <w:pPr>
        <w:pStyle w:val="3"/>
        <w:ind w:firstLine="552"/>
        <w:rPr>
          <w:rFonts w:hint="default"/>
          <w:color w:val="auto"/>
        </w:rPr>
      </w:pPr>
      <w:r>
        <w:rPr>
          <w:color w:val="auto"/>
        </w:rPr>
        <w:t>【办理时</w:t>
      </w:r>
      <w:r>
        <w:rPr>
          <w:rFonts w:hint="eastAsia"/>
          <w:color w:val="auto"/>
          <w:lang w:val="en-US" w:eastAsia="zh-CN"/>
        </w:rPr>
        <w:t>限</w:t>
      </w:r>
      <w:r>
        <w:rPr>
          <w:color w:val="auto"/>
        </w:rPr>
        <w:t>】</w:t>
      </w:r>
    </w:p>
    <w:p>
      <w:pPr>
        <w:wordWrap w:val="0"/>
        <w:spacing w:line="240" w:lineRule="auto"/>
        <w:ind w:firstLine="510" w:firstLineChars="0"/>
        <w:jc w:val="left"/>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20</w:t>
      </w:r>
      <w:r>
        <w:rPr>
          <w:rFonts w:ascii="宋体" w:hAnsi="宋体" w:cs="Times New Roman"/>
          <w:color w:val="auto"/>
          <w:kern w:val="0"/>
        </w:rPr>
        <w:t>个工作日内办结</w:t>
      </w:r>
    </w:p>
    <w:p>
      <w:pPr>
        <w:pStyle w:val="3"/>
        <w:ind w:firstLine="552"/>
        <w:rPr>
          <w:color w:val="auto"/>
        </w:rPr>
      </w:pPr>
      <w:r>
        <w:rPr>
          <w:color w:val="auto"/>
        </w:rPr>
        <w:t>【</w:t>
      </w:r>
      <w:r>
        <w:rPr>
          <w:rFonts w:hint="eastAsia"/>
          <w:color w:val="auto"/>
        </w:rPr>
        <w:t>办理时间</w:t>
      </w:r>
      <w:r>
        <w:rPr>
          <w:color w:val="auto"/>
        </w:rPr>
        <w:t>】</w:t>
      </w:r>
    </w:p>
    <w:p>
      <w:pPr>
        <w:ind w:firstLine="472"/>
        <w:rPr>
          <w:color w:val="auto"/>
        </w:rPr>
      </w:pPr>
      <w:r>
        <w:rPr>
          <w:rFonts w:hint="eastAsia"/>
          <w:color w:val="auto"/>
        </w:rPr>
        <w:t>各地办税服务厅办理时间，详见办税地图：</w:t>
      </w:r>
    </w:p>
    <w:p>
      <w:pPr>
        <w:ind w:firstLine="472"/>
        <w:rPr>
          <w:rFonts w:ascii="宋体" w:hAnsi="宋体" w:eastAsia="黑体" w:cs="Times New Roman"/>
          <w:color w:val="auto"/>
          <w:kern w:val="0"/>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rFonts w:hint="default"/>
          <w:color w:val="auto"/>
        </w:rPr>
      </w:pPr>
      <w:r>
        <w:rPr>
          <w:color w:val="auto"/>
        </w:rPr>
        <w:t>【联系电话】</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wordWrap w:val="0"/>
        <w:spacing w:line="360" w:lineRule="auto"/>
        <w:ind w:firstLine="480"/>
        <w:jc w:val="left"/>
        <w:rPr>
          <w:rFonts w:hint="default" w:ascii="宋体" w:hAnsi="宋体" w:eastAsia="黑体" w:cs="Times New Roman"/>
          <w:color w:val="auto"/>
          <w:kern w:val="0"/>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r>
        <w:rPr>
          <w:rFonts w:ascii="宋体" w:hAnsi="宋体" w:eastAsia="黑体" w:cs="Times New Roman"/>
          <w:color w:val="auto"/>
          <w:kern w:val="0"/>
        </w:rPr>
        <w:t>【办理流程】</w:t>
      </w:r>
    </w:p>
    <w:p>
      <w:pPr>
        <w:wordWrap w:val="0"/>
        <w:spacing w:line="360" w:lineRule="auto"/>
        <w:ind w:firstLine="0" w:firstLineChars="0"/>
        <w:rPr>
          <w:rFonts w:hint="default" w:ascii="宋体" w:hAnsi="宋体" w:eastAsia="黑体" w:cs="Times New Roman"/>
          <w:color w:val="auto"/>
        </w:rPr>
      </w:pPr>
      <w:r>
        <w:rPr>
          <w:rFonts w:ascii="宋体" w:hAnsi="宋体" w:eastAsia="黑体" w:cs="Times New Roman"/>
          <w:b/>
          <w:color w:val="auto"/>
          <w:kern w:val="0"/>
        </w:rPr>
        <w:drawing>
          <wp:inline distT="0" distB="0" distL="114300" distR="114300">
            <wp:extent cx="5184140" cy="1378585"/>
            <wp:effectExtent l="0" t="0" r="16510" b="12065"/>
            <wp:docPr id="108" name="图片 5" descr="出口退免税流程图(分类管理复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5" descr="出口退免税流程图(分类管理复评）"/>
                    <pic:cNvPicPr>
                      <a:picLocks noChangeAspect="1"/>
                    </pic:cNvPicPr>
                  </pic:nvPicPr>
                  <pic:blipFill>
                    <a:blip r:embed="rId10" cstate="print"/>
                    <a:srcRect/>
                    <a:stretch>
                      <a:fillRect/>
                    </a:stretch>
                  </pic:blipFill>
                  <pic:spPr>
                    <a:xfrm>
                      <a:off x="0" y="0"/>
                      <a:ext cx="5184140" cy="1378585"/>
                    </a:xfrm>
                    <a:prstGeom prst="rect">
                      <a:avLst/>
                    </a:prstGeom>
                    <a:noFill/>
                    <a:ln>
                      <a:noFill/>
                    </a:ln>
                  </pic:spPr>
                </pic:pic>
              </a:graphicData>
            </a:graphic>
          </wp:inline>
        </w:drawing>
      </w:r>
    </w:p>
    <w:p>
      <w:pPr>
        <w:pStyle w:val="3"/>
        <w:ind w:firstLine="552"/>
        <w:rPr>
          <w:rFonts w:hint="default"/>
          <w:color w:val="auto"/>
        </w:rPr>
      </w:pPr>
      <w:r>
        <w:rPr>
          <w:color w:val="auto"/>
        </w:rPr>
        <w:t>【纳税人注意事项】</w:t>
      </w:r>
    </w:p>
    <w:p>
      <w:pPr>
        <w:wordWrap w:val="0"/>
        <w:spacing w:line="360" w:lineRule="auto"/>
        <w:ind w:firstLine="480"/>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1.</w:t>
      </w:r>
      <w:r>
        <w:rPr>
          <w:rFonts w:ascii="宋体" w:hAnsi="宋体" w:cs="Times New Roman"/>
          <w:color w:val="auto"/>
          <w:kern w:val="0"/>
        </w:rPr>
        <w:t>纳税人对报送材料的真实性和合法性承担责任。</w:t>
      </w:r>
    </w:p>
    <w:p>
      <w:pPr>
        <w:wordWrap w:val="0"/>
        <w:spacing w:line="360" w:lineRule="auto"/>
        <w:ind w:firstLine="480"/>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2.</w:t>
      </w:r>
      <w:r>
        <w:rPr>
          <w:rFonts w:hint="default" w:ascii="宋体" w:hAnsi="宋体" w:cs="Times New Roman"/>
          <w:color w:val="auto"/>
          <w:kern w:val="0"/>
        </w:rPr>
        <w:t>文书表单可在省（自治区、直辖市和计划单列市）税务局网站“下载中心”栏目查询下载或到办税服务厅领取</w:t>
      </w:r>
      <w:r>
        <w:rPr>
          <w:rFonts w:ascii="宋体" w:hAnsi="宋体" w:cs="Times New Roman"/>
          <w:color w:val="auto"/>
          <w:kern w:val="0"/>
        </w:rPr>
        <w:t>。</w:t>
      </w:r>
    </w:p>
    <w:p>
      <w:pPr>
        <w:wordWrap w:val="0"/>
        <w:spacing w:line="360" w:lineRule="auto"/>
        <w:ind w:firstLine="480"/>
        <w:rPr>
          <w:rFonts w:hint="default"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3.</w:t>
      </w:r>
      <w:r>
        <w:rPr>
          <w:rFonts w:hint="default" w:ascii="宋体" w:hAnsi="宋体" w:cs="Times New Roman"/>
          <w:color w:val="auto"/>
          <w:kern w:val="0"/>
        </w:rPr>
        <w:t>纳税人使用符合电子签名法规定条件的电子签名，与手写签名或者盖章具有同等法律效力。</w:t>
      </w:r>
    </w:p>
    <w:p>
      <w:pPr>
        <w:wordWrap w:val="0"/>
        <w:spacing w:line="360" w:lineRule="auto"/>
        <w:ind w:firstLine="480"/>
        <w:rPr>
          <w:rFonts w:ascii="宋体" w:hAnsi="宋体" w:cs="Times New Roman"/>
          <w:color w:val="auto"/>
          <w:kern w:val="0"/>
        </w:rPr>
      </w:pPr>
      <w:r>
        <w:rPr>
          <w:rFonts w:hint="eastAsia" w:ascii="Times New Roman" w:hAnsi="Times New Roman" w:cs="Times New Roman"/>
          <w:caps w:val="0"/>
          <w:smallCaps w:val="0"/>
          <w:strike w:val="0"/>
          <w:dstrike w:val="0"/>
          <w:vanish w:val="0"/>
          <w:color w:val="auto"/>
          <w:kern w:val="0"/>
          <w:lang w:eastAsia="zh-CN"/>
        </w:rPr>
        <w:t>4.</w:t>
      </w:r>
      <w:r>
        <w:rPr>
          <w:rFonts w:ascii="宋体" w:hAnsi="宋体" w:cs="Times New Roman"/>
          <w:color w:val="auto"/>
          <w:kern w:val="0"/>
        </w:rPr>
        <w:t>纳税人提供的各项资料为复印件的，均须注明“与原件一致”并签章。</w:t>
      </w:r>
    </w:p>
    <w:p>
      <w:pPr>
        <w:ind w:firstLine="472"/>
        <w:jc w:val="left"/>
        <w:rPr>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rPr>
          <w:rFonts w:hint="eastAsia" w:ascii="宋体" w:hAnsi="宋体" w:cs="Times New Roman"/>
          <w:color w:val="auto"/>
          <w:kern w:val="0"/>
        </w:rPr>
      </w:pPr>
      <w:r>
        <w:rPr>
          <w:rFonts w:hint="eastAsia" w:ascii="宋体" w:hAnsi="宋体" w:cs="Times New Roman"/>
          <w:color w:val="auto"/>
          <w:kern w:val="0"/>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B587B97"/>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2019-10-31T04:54:59Z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