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710"/>
      <w:r>
        <w:rPr>
          <w:rFonts w:hint="eastAsia" w:ascii="黑体" w:hAnsi="黑体" w:cs="黑体"/>
          <w:color w:val="auto"/>
        </w:rPr>
        <w:t>1.3.17.1</w:t>
      </w:r>
      <w:r>
        <w:rPr>
          <w:rFonts w:hint="eastAsia"/>
          <w:color w:val="auto"/>
        </w:rPr>
        <w:t>文化事业建设费申报</w:t>
      </w:r>
      <w:bookmarkEnd w:id="0"/>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一、事项名称</w:t>
      </w:r>
    </w:p>
    <w:p>
      <w:pPr>
        <w:ind w:firstLine="472"/>
        <w:rPr>
          <w:rFonts w:hint="eastAsia"/>
          <w:color w:val="auto"/>
        </w:rPr>
      </w:pPr>
      <w:r>
        <w:rPr>
          <w:rFonts w:hint="eastAsia"/>
          <w:color w:val="auto"/>
        </w:rPr>
        <w:t>文化事业建设费申报</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在中华人民共和国境内提供广告服务的广告媒介单位和户外广告经营单位，以及提供娱乐服务的单位和个人，按照提供广告服务或娱乐服务取得的计费销售额缴纳文化事业建设费，文化事业建设费的费率为3%。</w:t>
      </w:r>
    </w:p>
    <w:p>
      <w:pPr>
        <w:ind w:firstLine="472"/>
        <w:rPr>
          <w:color w:val="auto"/>
        </w:rPr>
      </w:pPr>
      <w:r>
        <w:rPr>
          <w:rFonts w:hint="eastAsia"/>
          <w:color w:val="auto"/>
        </w:rPr>
        <w:t>1.广告服务的计费销售额，指的是缴纳义务人提供广告服务取得的全部含税价款和价外费用，减除支付给其他广告公司或广告发布者的含税广告发布费后的余额。缴纳义务人减除价款的，应当取得增值税专用发票或国家税务总局规定的其他合法有效凭证，否则，不得减除。娱乐服务计费销售额，指的是缴纳义务人提供娱乐服务取得的全部含税价款和价外费用。</w:t>
      </w:r>
    </w:p>
    <w:p>
      <w:pPr>
        <w:ind w:firstLine="472"/>
        <w:rPr>
          <w:color w:val="auto"/>
        </w:rPr>
      </w:pPr>
      <w:r>
        <w:rPr>
          <w:rFonts w:hint="eastAsia"/>
          <w:color w:val="auto"/>
        </w:rPr>
        <w:t>2.文化事业建设费的缴纳义务发生时间、缴纳地点、缴纳期限，与缴纳义务人的增值税纳税义务发生时间和纳税地点相同。</w:t>
      </w:r>
    </w:p>
    <w:p>
      <w:pPr>
        <w:ind w:firstLine="472"/>
        <w:rPr>
          <w:color w:val="auto"/>
        </w:rPr>
      </w:pPr>
      <w:r>
        <w:rPr>
          <w:rFonts w:hint="eastAsia"/>
          <w:color w:val="auto"/>
        </w:rPr>
        <w:t>3.广告业增值税小规模纳税人月销售额不超过2万元（按季纳税6万元，下同）的企业和非企业性单位提供的应税服务，免缴文化事业建设费。</w:t>
      </w:r>
    </w:p>
    <w:p>
      <w:pPr>
        <w:ind w:firstLine="472"/>
        <w:rPr>
          <w:color w:val="auto"/>
        </w:rPr>
      </w:pPr>
      <w:r>
        <w:rPr>
          <w:rFonts w:hint="eastAsia"/>
          <w:color w:val="auto"/>
        </w:rPr>
        <w:t>4.娱乐业缴纳义务人未达增值税起征点的，免征文化事业建设费。</w:t>
      </w:r>
    </w:p>
    <w:p>
      <w:pPr>
        <w:ind w:firstLine="472"/>
        <w:rPr>
          <w:bCs/>
          <w:color w:val="auto"/>
        </w:rPr>
      </w:pPr>
      <w:r>
        <w:rPr>
          <w:rFonts w:hint="eastAsia"/>
          <w:color w:val="auto"/>
        </w:rPr>
        <w:t>5.自2019年7月1日至2024年12月31日，对归属中央收入的文化事业建设费，按照缴纳义务人应缴费额的50％减征。</w:t>
      </w:r>
    </w:p>
    <w:p>
      <w:pPr>
        <w:pStyle w:val="3"/>
        <w:ind w:firstLine="552"/>
        <w:rPr>
          <w:rFonts w:eastAsia="黑体"/>
          <w:color w:val="auto"/>
          <w:sz w:val="28"/>
        </w:rPr>
      </w:pPr>
      <w:r>
        <w:rPr>
          <w:rFonts w:hint="eastAsia" w:eastAsia="黑体"/>
          <w:color w:val="auto"/>
          <w:sz w:val="28"/>
          <w:lang w:val="en-US" w:eastAsia="zh-CN"/>
        </w:rPr>
        <w:t>四</w:t>
      </w:r>
      <w:r>
        <w:rPr>
          <w:rFonts w:hint="eastAsia" w:eastAsia="黑体"/>
          <w:color w:val="auto"/>
          <w:sz w:val="28"/>
        </w:rPr>
        <w:t>、</w:t>
      </w:r>
      <w:r>
        <w:rPr>
          <w:rFonts w:hint="eastAsia" w:eastAsia="黑体"/>
          <w:color w:val="auto"/>
          <w:sz w:val="28"/>
          <w:lang w:val="en-US" w:eastAsia="zh-CN"/>
        </w:rPr>
        <w:t>设定</w:t>
      </w:r>
      <w:r>
        <w:rPr>
          <w:rFonts w:hint="eastAsia" w:eastAsia="黑体"/>
          <w:color w:val="auto"/>
          <w:sz w:val="28"/>
        </w:rPr>
        <w:t>依据</w:t>
      </w:r>
    </w:p>
    <w:p>
      <w:pPr>
        <w:ind w:firstLine="472"/>
        <w:rPr>
          <w:rFonts w:hint="eastAsia"/>
          <w:color w:val="auto"/>
        </w:rPr>
      </w:pPr>
      <w:r>
        <w:rPr>
          <w:rFonts w:hint="eastAsia"/>
          <w:color w:val="auto"/>
        </w:rPr>
        <w:t>1.《国务院关于进一步完善文化经济政策的若干规定》（国发〔</w:t>
      </w:r>
      <w:r>
        <w:rPr>
          <w:rFonts w:hint="eastAsia"/>
          <w:color w:val="auto"/>
          <w:lang w:eastAsia="zh-CN"/>
        </w:rPr>
        <w:t>1996</w:t>
      </w:r>
      <w:r>
        <w:rPr>
          <w:rFonts w:hint="eastAsia"/>
          <w:color w:val="auto"/>
        </w:rPr>
        <w:t>〕</w:t>
      </w:r>
      <w:r>
        <w:rPr>
          <w:rFonts w:hint="eastAsia"/>
          <w:color w:val="auto"/>
          <w:lang w:eastAsia="zh-CN"/>
        </w:rPr>
        <w:t>37</w:t>
      </w:r>
      <w:r>
        <w:rPr>
          <w:rFonts w:hint="eastAsia"/>
          <w:color w:val="auto"/>
        </w:rPr>
        <w:t>号）第一条</w:t>
      </w:r>
    </w:p>
    <w:p>
      <w:pPr>
        <w:ind w:firstLine="472"/>
        <w:rPr>
          <w:rFonts w:hint="eastAsia"/>
          <w:color w:val="auto"/>
        </w:rPr>
      </w:pPr>
      <w:r>
        <w:rPr>
          <w:rFonts w:hint="eastAsia"/>
          <w:color w:val="auto"/>
          <w:lang w:eastAsia="zh-CN"/>
        </w:rPr>
        <w:t>“</w:t>
      </w:r>
      <w:r>
        <w:rPr>
          <w:rFonts w:hint="eastAsia"/>
          <w:color w:val="auto"/>
        </w:rPr>
        <w:t>开征文化事业建设费为引导和调控文化事业的发展，从1997年1月16起，在全国范围内开征文化事业建设费（地方已开征的不重复征收）。</w:t>
      </w:r>
    </w:p>
    <w:p>
      <w:pPr>
        <w:numPr>
          <w:ilvl w:val="0"/>
          <w:numId w:val="4"/>
        </w:numPr>
        <w:ind w:firstLine="472"/>
        <w:rPr>
          <w:rFonts w:hint="eastAsia"/>
          <w:color w:val="auto"/>
        </w:rPr>
      </w:pPr>
      <w:r>
        <w:rPr>
          <w:rFonts w:hint="eastAsia"/>
          <w:color w:val="auto"/>
        </w:rPr>
        <w:t>各种营业性的歌厅、舞厅、卡拉OK歌舞厅、音乐茶座和高尔夫球、台球、保龄球等娱乐场所，按营业收入的3％缴纳文化事业建设费。</w:t>
      </w:r>
      <w:r>
        <w:rPr>
          <w:rFonts w:hint="eastAsia"/>
          <w:color w:val="auto"/>
        </w:rPr>
        <w:br w:type="textWrapping"/>
      </w:r>
      <w:r>
        <w:rPr>
          <w:rFonts w:hint="eastAsia"/>
          <w:color w:val="auto"/>
        </w:rPr>
        <w:t>广播电台、电视台和报纸、刊物等广告媒介单位以及户外广告经营单位，按经营收入的3％缴纳文化事业建设费。</w:t>
      </w:r>
    </w:p>
    <w:p>
      <w:pPr>
        <w:numPr>
          <w:ilvl w:val="0"/>
          <w:numId w:val="4"/>
        </w:numPr>
        <w:ind w:firstLine="472"/>
        <w:rPr>
          <w:color w:val="auto"/>
        </w:rPr>
      </w:pPr>
      <w:r>
        <w:rPr>
          <w:rFonts w:hint="eastAsia"/>
          <w:color w:val="auto"/>
        </w:rPr>
        <w:t>文化事业建设费由地方税务机关在征收娱乐业、广告业的营业税时一并征收。中央和国家机关所属单位缴纳的文化事业建设费，由地方税务机关征收后全额上缴中央金库。地方缴纳的文化事业建设费，全额缴入省级金库。</w:t>
      </w:r>
    </w:p>
    <w:p>
      <w:pPr>
        <w:numPr>
          <w:ilvl w:val="0"/>
          <w:numId w:val="4"/>
        </w:numPr>
        <w:ind w:firstLine="472"/>
        <w:rPr>
          <w:color w:val="auto"/>
        </w:rPr>
      </w:pPr>
      <w:r>
        <w:rPr>
          <w:rFonts w:hint="eastAsia"/>
          <w:color w:val="auto"/>
        </w:rPr>
        <w:t>文化事业建设费纳入财政预算管理，分另抽中央和省级建立专项资金，用于文化事业建设。文化事业建设费的具体管理和使用办法，由财政部门会同有关主管部门制定。</w:t>
      </w:r>
      <w:r>
        <w:rPr>
          <w:rFonts w:hint="eastAsia"/>
          <w:color w:val="auto"/>
          <w:lang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《文化事业建设费申报表》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《应税服务减除项目清单》</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992" w:type="dxa"/>
            <w:shd w:val="clear" w:color="auto" w:fill="auto"/>
            <w:vAlign w:val="center"/>
          </w:tcPr>
          <w:p>
            <w:pPr>
              <w:widowControl/>
              <w:spacing w:line="280" w:lineRule="exact"/>
              <w:ind w:firstLine="0" w:firstLineChars="0"/>
              <w:jc w:val="center"/>
              <w:rPr>
                <w:rFonts w:hint="default" w:cs="宋体"/>
                <w:color w:val="auto"/>
                <w:kern w:val="0"/>
                <w:sz w:val="18"/>
                <w:szCs w:val="18"/>
                <w:lang w:val="en-US"/>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文化事业建设费缴费人申报时填列按规定允许减除计算价款项目明细使用。</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1" w:firstLineChars="0"/>
        <w:rPr>
          <w:rFonts w:hint="eastAsia"/>
          <w:color w:val="auto"/>
          <w:lang w:val="en-US" w:eastAsia="zh-CN"/>
        </w:rPr>
      </w:pP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六</w:t>
      </w:r>
      <w:r>
        <w:rPr>
          <w:rFonts w:eastAsia="黑体" w:asciiTheme="majorHAnsi" w:hAnsiTheme="majorHAnsi" w:cstheme="majorBidi"/>
          <w:bCs/>
          <w:color w:val="auto"/>
          <w:kern w:val="2"/>
          <w:sz w:val="28"/>
          <w:szCs w:val="32"/>
          <w:lang w:val="en-US" w:eastAsia="zh-CN" w:bidi="ar-SA"/>
        </w:rPr>
        <w:t>、办理流程</w:t>
      </w:r>
    </w:p>
    <w:p>
      <w:pPr>
        <w:spacing w:line="240" w:lineRule="auto"/>
        <w:ind w:firstLine="0" w:firstLineChars="0"/>
        <w:rPr>
          <w:color w:val="auto"/>
        </w:rPr>
      </w:pPr>
      <w:r>
        <w:rPr>
          <w:color w:val="auto"/>
        </w:rPr>
        <w:object>
          <v:shape id="_x0000_i1101" o:spt="75" type="#_x0000_t75" style="height:134.6pt;width:469.45pt;" o:ole="t" filled="f" o:preferrelative="t" stroked="f" coordsize="21600,21600">
            <v:path/>
            <v:fill on="f" focussize="0,0"/>
            <v:stroke on="f"/>
            <v:imagedata r:id="rId11" o:title=""/>
            <o:lock v:ext="edit" aspectratio="t"/>
            <w10:wrap type="none"/>
            <w10:anchorlock/>
          </v:shape>
          <o:OLEObject Type="Embed" ProgID="Visio.Drawing.11" ShapeID="_x0000_i1101" DrawAspect="Content" ObjectID="_1468075725" r:id="rId10">
            <o:LockedField>false</o:LockedField>
          </o:OLEObject>
        </w:objec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ind w:firstLine="472"/>
        <w:rPr>
          <w:rFonts w:hint="eastAsia"/>
          <w:color w:val="auto"/>
        </w:rPr>
      </w:pPr>
      <w:r>
        <w:rPr>
          <w:rFonts w:hint="eastAsia"/>
          <w:color w:val="auto"/>
        </w:rPr>
        <w:t>1.《文化事业建设费申报表》</w:t>
      </w:r>
    </w:p>
    <w:p>
      <w:pPr>
        <w:ind w:firstLine="472"/>
        <w:rPr>
          <w:rFonts w:hint="eastAsia"/>
          <w:color w:val="auto"/>
        </w:rPr>
      </w:pPr>
      <w:r>
        <w:rPr>
          <w:rFonts w:hint="eastAsia"/>
          <w:color w:val="auto"/>
          <w:lang w:val="en-US" w:eastAsia="zh-CN"/>
        </w:rPr>
        <w:t>2</w:t>
      </w:r>
      <w:r>
        <w:rPr>
          <w:rFonts w:hint="eastAsia"/>
          <w:color w:val="auto"/>
        </w:rPr>
        <w:t>.《应税服务减除项目清单》</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ind w:firstLine="472"/>
        <w:rPr>
          <w:bCs/>
          <w:color w:val="auto"/>
        </w:rPr>
      </w:pPr>
      <w:r>
        <w:rPr>
          <w:rFonts w:hint="eastAsia"/>
          <w:color w:val="auto"/>
        </w:rPr>
        <w:t>1.税务</w:t>
      </w:r>
      <w:r>
        <w:rPr>
          <w:color w:val="auto"/>
        </w:rPr>
        <w:t>机关</w:t>
      </w:r>
      <w:r>
        <w:rPr>
          <w:rFonts w:hint="eastAsia"/>
          <w:color w:val="auto"/>
        </w:rPr>
        <w:t>根据应补费额判断是否需要缴款开票；对于应补费额大于零的，办理“缴款开票”业务。</w:t>
      </w:r>
    </w:p>
    <w:p>
      <w:pPr>
        <w:ind w:firstLine="472"/>
        <w:rPr>
          <w:bCs/>
          <w:color w:val="auto"/>
        </w:rPr>
      </w:pPr>
      <w:r>
        <w:rPr>
          <w:rFonts w:hint="eastAsia"/>
          <w:color w:val="auto"/>
        </w:rPr>
        <w:t>2.缴费人既有应退费款又有欠缴费款的，可以办理抵缴欠费业务。</w:t>
      </w:r>
    </w:p>
    <w:p>
      <w:pPr>
        <w:ind w:firstLine="472"/>
        <w:rPr>
          <w:color w:val="auto"/>
        </w:rPr>
      </w:pPr>
      <w:r>
        <w:rPr>
          <w:rFonts w:hint="eastAsia"/>
          <w:color w:val="auto"/>
          <w:lang w:val="en-US" w:eastAsia="zh-CN"/>
        </w:rPr>
        <w:t>3</w:t>
      </w:r>
      <w:r>
        <w:rPr>
          <w:rFonts w:hint="eastAsia"/>
          <w:color w:val="auto"/>
        </w:rPr>
        <w:t>.缴费人对报送资料的真实性和合法性承担责任。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F67E567"/>
    <w:multiLevelType w:val="singleLevel"/>
    <w:tmpl w:val="4F67E567"/>
    <w:lvl w:ilvl="0" w:tentative="0">
      <w:start w:val="1"/>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2F87790B"/>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2019-10-31T06:26:58Z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