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3164"/>
      <w:r>
        <w:rPr>
          <w:rFonts w:hint="eastAsia" w:ascii="黑体" w:hAnsi="黑体"/>
          <w:color w:val="auto"/>
        </w:rPr>
        <w:t>1.3.21.1财务报表报送与信息采集（企业会计准则）</w:t>
      </w:r>
      <w:bookmarkEnd w:id="0"/>
    </w:p>
    <w:p>
      <w:pPr>
        <w:pStyle w:val="3"/>
        <w:rPr>
          <w:rFonts w:hint="eastAsia" w:ascii="黑体" w:hAnsi="黑体" w:eastAsia="黑体" w:cs="黑体"/>
          <w:color w:val="auto"/>
          <w:sz w:val="28"/>
          <w:szCs w:val="28"/>
        </w:rPr>
      </w:pPr>
      <w:r>
        <w:rPr>
          <w:rFonts w:hint="eastAsia" w:ascii="黑体" w:hAnsi="黑体" w:eastAsia="黑体" w:cs="黑体"/>
          <w:color w:val="auto"/>
          <w:sz w:val="28"/>
          <w:szCs w:val="28"/>
        </w:rPr>
        <w:t>一、事项名称</w:t>
      </w:r>
    </w:p>
    <w:p>
      <w:pPr>
        <w:ind w:firstLine="472"/>
        <w:rPr>
          <w:rFonts w:hint="eastAsia"/>
          <w:color w:val="auto"/>
        </w:rPr>
      </w:pPr>
      <w:r>
        <w:rPr>
          <w:rFonts w:hint="eastAsia"/>
          <w:color w:val="auto"/>
        </w:rPr>
        <w:t>财务报表报送与信息采集（企业会计准则</w:t>
      </w:r>
      <w:r>
        <w:rPr>
          <w:color w:val="auto"/>
        </w:rPr>
        <w:t>）</w:t>
      </w:r>
    </w:p>
    <w:p>
      <w:pPr>
        <w:pStyle w:val="3"/>
        <w:rPr>
          <w:rFonts w:hint="eastAsia" w:ascii="黑体" w:hAnsi="黑体" w:eastAsia="黑体" w:cs="黑体"/>
          <w:color w:val="auto"/>
          <w:sz w:val="28"/>
          <w:szCs w:val="28"/>
        </w:rPr>
      </w:pPr>
      <w:r>
        <w:rPr>
          <w:rFonts w:hint="eastAsia" w:ascii="黑体" w:hAnsi="黑体" w:eastAsia="黑体" w:cs="黑体"/>
          <w:color w:val="auto"/>
          <w:sz w:val="28"/>
          <w:szCs w:val="28"/>
        </w:rPr>
        <w:t>二、事项类别</w:t>
      </w:r>
    </w:p>
    <w:p>
      <w:pPr>
        <w:pStyle w:val="50"/>
        <w:numPr>
          <w:ilvl w:val="0"/>
          <w:numId w:val="3"/>
        </w:numPr>
        <w:ind w:left="0" w:firstLine="472"/>
        <w:rPr>
          <w:color w:val="auto"/>
        </w:rPr>
      </w:pPr>
      <w:r>
        <w:rPr>
          <w:rFonts w:hint="eastAsia"/>
          <w:color w:val="auto"/>
        </w:rPr>
        <w:t>发起方式：人工发起（纳税人）</w:t>
      </w:r>
    </w:p>
    <w:p>
      <w:pPr>
        <w:pStyle w:val="50"/>
        <w:numPr>
          <w:ilvl w:val="0"/>
          <w:numId w:val="3"/>
        </w:numPr>
        <w:ind w:left="0" w:firstLine="472"/>
        <w:rPr>
          <w:color w:val="auto"/>
        </w:rPr>
      </w:pPr>
      <w:r>
        <w:rPr>
          <w:rFonts w:hint="eastAsia"/>
          <w:color w:val="auto"/>
        </w:rPr>
        <w:t>办结方式：即办</w:t>
      </w:r>
    </w:p>
    <w:p>
      <w:pPr>
        <w:pStyle w:val="50"/>
        <w:numPr>
          <w:ilvl w:val="0"/>
          <w:numId w:val="3"/>
        </w:numPr>
        <w:ind w:left="0" w:firstLine="472"/>
        <w:rPr>
          <w:color w:val="auto"/>
        </w:rPr>
      </w:pPr>
      <w:r>
        <w:rPr>
          <w:rFonts w:hint="eastAsia"/>
          <w:color w:val="auto"/>
        </w:rPr>
        <w:t>全省通办：是</w:t>
      </w:r>
    </w:p>
    <w:p>
      <w:pPr>
        <w:pStyle w:val="50"/>
        <w:numPr>
          <w:ilvl w:val="0"/>
          <w:numId w:val="3"/>
        </w:numPr>
        <w:ind w:left="0" w:firstLine="472"/>
        <w:rPr>
          <w:color w:val="auto"/>
        </w:rPr>
      </w:pPr>
      <w:r>
        <w:rPr>
          <w:rFonts w:hint="eastAsia"/>
          <w:color w:val="auto"/>
        </w:rPr>
        <w:t>网上办理：是</w:t>
      </w:r>
    </w:p>
    <w:p>
      <w:pPr>
        <w:pStyle w:val="50"/>
        <w:numPr>
          <w:ilvl w:val="0"/>
          <w:numId w:val="3"/>
        </w:numPr>
        <w:ind w:left="0" w:firstLine="472"/>
        <w:rPr>
          <w:color w:val="auto"/>
        </w:rPr>
      </w:pPr>
      <w:r>
        <w:rPr>
          <w:rFonts w:hint="eastAsia"/>
          <w:color w:val="auto"/>
        </w:rPr>
        <w:t>适用层级：县(市、区)级</w:t>
      </w:r>
    </w:p>
    <w:p>
      <w:pPr>
        <w:pStyle w:val="48"/>
        <w:numPr>
          <w:ilvl w:val="0"/>
          <w:numId w:val="4"/>
        </w:numPr>
        <w:ind w:firstLineChars="0"/>
        <w:rPr>
          <w:color w:val="auto"/>
        </w:rPr>
      </w:pPr>
      <w:r>
        <w:rPr>
          <w:rFonts w:hint="eastAsia"/>
          <w:color w:val="auto"/>
        </w:rPr>
        <w:t>最多跑一次：是</w:t>
      </w:r>
    </w:p>
    <w:p>
      <w:pPr>
        <w:pStyle w:val="3"/>
        <w:rPr>
          <w:rFonts w:hint="eastAsia" w:ascii="黑体" w:hAnsi="黑体" w:eastAsia="黑体" w:cs="黑体"/>
          <w:color w:val="auto"/>
          <w:sz w:val="28"/>
          <w:szCs w:val="28"/>
        </w:rPr>
      </w:pPr>
      <w:r>
        <w:rPr>
          <w:rFonts w:hint="eastAsia" w:ascii="黑体" w:hAnsi="黑体" w:eastAsia="黑体" w:cs="黑体"/>
          <w:color w:val="auto"/>
          <w:sz w:val="28"/>
          <w:szCs w:val="28"/>
        </w:rPr>
        <w:t>三、办理条件</w:t>
      </w:r>
    </w:p>
    <w:p>
      <w:pPr>
        <w:ind w:firstLine="472"/>
        <w:rPr>
          <w:rFonts w:hint="eastAsia"/>
          <w:color w:val="auto"/>
          <w:kern w:val="20"/>
          <w:szCs w:val="21"/>
        </w:rPr>
      </w:pPr>
      <w:r>
        <w:rPr>
          <w:rFonts w:hint="eastAsia"/>
          <w:color w:val="auto"/>
          <w:kern w:val="20"/>
          <w:szCs w:val="21"/>
        </w:rPr>
        <w:t>纳税人应当按照国家相关法律、法规的规定编制和报送财务会计报表，不得编制提供虚假的财务会计报表。纳税人的法定代表人或负责人对报送的财务会计报表的真实性和完整性负责。</w:t>
      </w:r>
    </w:p>
    <w:p>
      <w:pPr>
        <w:ind w:firstLine="472"/>
        <w:rPr>
          <w:rFonts w:hint="eastAsia"/>
          <w:color w:val="auto"/>
          <w:kern w:val="20"/>
          <w:szCs w:val="21"/>
        </w:rPr>
      </w:pPr>
      <w:r>
        <w:rPr>
          <w:rFonts w:hint="eastAsia"/>
          <w:color w:val="auto"/>
          <w:kern w:val="20"/>
          <w:szCs w:val="21"/>
        </w:rPr>
        <w:t>1.纳税人无论有无应税收入、所得和其他应税项目，或者在减免税期间，均必须按其所适用的会计制度编制财务报表，并按规定的时限向主管税务机关报送；其所适用的会计制度规定需要编报相关附表以及会计报表附注、财务情况说明书、审计报告的，应当随同财务会计报表一并报送。</w:t>
      </w:r>
    </w:p>
    <w:p>
      <w:pPr>
        <w:ind w:firstLine="472"/>
        <w:rPr>
          <w:rFonts w:hint="eastAsia"/>
          <w:color w:val="auto"/>
          <w:kern w:val="20"/>
          <w:szCs w:val="21"/>
        </w:rPr>
      </w:pPr>
      <w:r>
        <w:rPr>
          <w:rFonts w:hint="eastAsia"/>
          <w:color w:val="auto"/>
          <w:kern w:val="20"/>
          <w:szCs w:val="21"/>
        </w:rPr>
        <w:t>2.纳税人财务会计报表报送期间原则上按季度和年度报送，全国千户集团总部及其成员企业按月报送。</w:t>
      </w:r>
    </w:p>
    <w:p>
      <w:pPr>
        <w:ind w:firstLine="472"/>
        <w:rPr>
          <w:rFonts w:hint="eastAsia"/>
          <w:color w:val="auto"/>
          <w:kern w:val="20"/>
          <w:szCs w:val="21"/>
        </w:rPr>
      </w:pPr>
      <w:r>
        <w:rPr>
          <w:rFonts w:hint="eastAsia"/>
          <w:color w:val="auto"/>
          <w:kern w:val="20"/>
          <w:szCs w:val="21"/>
        </w:rPr>
        <w:t>3.执行企业会计准则的非金融企业中，未执行新金融准则、新收入准则和新租赁准则的企业应当按照企业会计准则和《财政部关于修订印发2019年度一般企业财务报表格式的通知》（财会〔2019〕6号）附件1的要求编制财务报表；已执行新金融准则、新收入准则和新租赁准则的企业应当按照企业会计准则和《财政部关于修订印发2019年度一般企业财务报表格式的通知》（财会〔2019〕6号）附件2的要求编制财务报表；已执行新金融准则但未执行新收入准则和新租赁准则的企业，或已执行新金融准则和新收入准则但未执行新租赁准则的企业，应当结合《财政部关于修订印发2019年度一般企业财务报表格式的通知》（财会〔2019〕6号）附件1和附件2的要求对财务报表项目进行相应调整。</w:t>
      </w:r>
    </w:p>
    <w:p>
      <w:pPr>
        <w:ind w:firstLine="472"/>
        <w:rPr>
          <w:rFonts w:hint="eastAsia"/>
          <w:color w:val="auto"/>
          <w:kern w:val="20"/>
          <w:szCs w:val="21"/>
        </w:rPr>
      </w:pPr>
      <w:r>
        <w:rPr>
          <w:rFonts w:hint="eastAsia"/>
          <w:color w:val="auto"/>
          <w:kern w:val="20"/>
          <w:szCs w:val="21"/>
        </w:rPr>
        <w:t>4.执行企业会计准则的金融企业应当按照《财政部关于修订印发2018年度金融企业财务报表格式的通知》（财会〔2018〕36号）的要求编制财务报表，并结合《财政部关于修订印发2019年度一般企业财务报表格式的通知》（财会〔2019〕6号）附件的格式对金融企业专用项目之外的相关财务报表项目进行相应调整。未执行新金融工具准则的金融企业中，政策性银行、信托投资公司、租赁公司、财务公司、典当公司参照商业银行财务报表格式报送；担保公司参照保险公司财务报表格式报送；资产管理公司、基金公司、期货公司参照证券公司财务报表格式报送。</w:t>
      </w:r>
    </w:p>
    <w:p>
      <w:pPr>
        <w:ind w:firstLine="472"/>
        <w:rPr>
          <w:color w:val="auto"/>
        </w:rPr>
      </w:pPr>
      <w:r>
        <w:rPr>
          <w:rFonts w:hint="eastAsia"/>
          <w:color w:val="auto"/>
          <w:kern w:val="20"/>
          <w:szCs w:val="21"/>
        </w:rPr>
        <w:t>5.全国千户集团总部及其成员企业应按照《国家税务总局关于规范全国千户集团及其成员企业纳税申报时附报财务会计报表有关事项的公告》（国家税务总局公告2016年第67号）在企业所得税预缴纳税申报时附报本级财务会计报表，以及税务机关根据实际需要要求附报的其他纳税资料，境外成员企业可暂不附报。年度终了，应在企业所得税年度纳税申报时，附报本级年度财务会计报表，以及税务机关根据实际需要要求附报的其他纳税资料。</w:t>
      </w:r>
    </w:p>
    <w:p>
      <w:pPr>
        <w:pStyle w:val="3"/>
        <w:rPr>
          <w:rFonts w:hint="eastAsia" w:ascii="黑体" w:hAnsi="黑体" w:eastAsia="黑体" w:cs="黑体"/>
          <w:color w:val="auto"/>
          <w:sz w:val="28"/>
          <w:szCs w:val="28"/>
        </w:rPr>
      </w:pPr>
      <w:r>
        <w:rPr>
          <w:rFonts w:hint="eastAsia" w:ascii="黑体" w:hAnsi="黑体" w:eastAsia="黑体" w:cs="黑体"/>
          <w:color w:val="auto"/>
          <w:sz w:val="28"/>
          <w:szCs w:val="28"/>
        </w:rPr>
        <w:t>四、设定依据</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1.《财政部关于公布若干废止和失效的会计准则制度类规范性文件目录的通知》（财会〔2015〕3号）全文</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rPr>
        <w:t>2.《中华人民共和国税收征收管理法》第二十五条第（一）款</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rPr>
        <w:t>3.《中华人民共和国税收征收管理法实施细则》（中华人民共和国国务院令第362号）第三十四条第（一）款</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rPr>
        <w:t>“纳税人办理纳税申报时，应当如实填写纳税申报表，并根据不同的情况相应报送下列有关证件、资料：</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rPr>
        <w:t>（一）财务会计报表及其说明材料；”</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4.《国家税务总局关于印发〈纳税人财务会计报表报送管理办法〉的通知》（国税发〔2005〕20号）全文</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5.《财政部关于修改〈企业会计准则--基本准则〉的决定》（中华人民共和国财政部令第76号）附列《企业会计准则第30号——财务报表列报》、《企业会计准则第31号——现金流量表》全文</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6.《企业会计准则》（财政部令33号）全文</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7.《财政部关于修改〈企业会计准则--基本准则〉的决定》（中华人民共和国财政部令第76号）全文</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8.《财政部关于印发修订〈企业会计准则第30号财务报表列报〉的通知》（财会〔2014〕7号）附列《企业会计准则第30号——财务报表列报》全文</w:t>
      </w:r>
    </w:p>
    <w:p>
      <w:pPr>
        <w:pStyle w:val="77"/>
        <w:spacing w:line="578" w:lineRule="exact"/>
        <w:ind w:firstLine="472" w:firstLineChars="200"/>
        <w:rPr>
          <w:rFonts w:ascii="宋体" w:hAnsi="宋体"/>
          <w:color w:val="auto"/>
          <w:sz w:val="24"/>
          <w:szCs w:val="24"/>
        </w:rPr>
      </w:pPr>
      <w:r>
        <w:rPr>
          <w:rFonts w:hint="eastAsia" w:ascii="宋体" w:hAnsi="宋体"/>
          <w:color w:val="auto"/>
          <w:sz w:val="24"/>
          <w:szCs w:val="24"/>
        </w:rPr>
        <w:t>9.《财政部关于修订印发</w:t>
      </w:r>
      <w:r>
        <w:rPr>
          <w:rFonts w:ascii="宋体" w:hAnsi="宋体"/>
          <w:color w:val="auto"/>
          <w:sz w:val="24"/>
          <w:szCs w:val="24"/>
        </w:rPr>
        <w:t>2018</w:t>
      </w:r>
      <w:r>
        <w:rPr>
          <w:rFonts w:hint="eastAsia" w:ascii="宋体" w:hAnsi="宋体"/>
          <w:color w:val="auto"/>
          <w:sz w:val="24"/>
          <w:szCs w:val="24"/>
        </w:rPr>
        <w:t>年度金融企业财务报表格式的通知》（财会〔</w:t>
      </w:r>
      <w:r>
        <w:rPr>
          <w:rFonts w:ascii="宋体" w:hAnsi="宋体"/>
          <w:color w:val="auto"/>
          <w:sz w:val="24"/>
          <w:szCs w:val="24"/>
        </w:rPr>
        <w:t>2018</w:t>
      </w:r>
      <w:r>
        <w:rPr>
          <w:rFonts w:hint="eastAsia" w:ascii="宋体" w:hAnsi="宋体"/>
          <w:color w:val="auto"/>
          <w:sz w:val="24"/>
          <w:szCs w:val="24"/>
        </w:rPr>
        <w:t>〕</w:t>
      </w:r>
      <w:r>
        <w:rPr>
          <w:rFonts w:ascii="宋体" w:hAnsi="宋体"/>
          <w:color w:val="auto"/>
          <w:sz w:val="24"/>
          <w:szCs w:val="24"/>
        </w:rPr>
        <w:t>36</w:t>
      </w:r>
      <w:r>
        <w:rPr>
          <w:rFonts w:hint="eastAsia" w:ascii="宋体" w:hAnsi="宋体"/>
          <w:color w:val="auto"/>
          <w:sz w:val="24"/>
          <w:szCs w:val="24"/>
        </w:rPr>
        <w:t>号）全文</w:t>
      </w:r>
    </w:p>
    <w:p>
      <w:pPr>
        <w:pStyle w:val="77"/>
        <w:spacing w:line="578" w:lineRule="exact"/>
        <w:ind w:firstLine="472" w:firstLineChars="200"/>
        <w:rPr>
          <w:rFonts w:hint="eastAsia" w:ascii="宋体" w:hAnsi="宋体"/>
          <w:color w:val="auto"/>
          <w:sz w:val="24"/>
          <w:szCs w:val="24"/>
        </w:rPr>
      </w:pPr>
      <w:r>
        <w:rPr>
          <w:rFonts w:hint="eastAsia" w:ascii="宋体" w:hAnsi="宋体"/>
          <w:color w:val="auto"/>
          <w:sz w:val="24"/>
          <w:szCs w:val="24"/>
        </w:rPr>
        <w:t>10.《财政部关于修订印发</w:t>
      </w:r>
      <w:r>
        <w:rPr>
          <w:rFonts w:ascii="宋体" w:hAnsi="宋体"/>
          <w:color w:val="auto"/>
          <w:sz w:val="24"/>
          <w:szCs w:val="24"/>
        </w:rPr>
        <w:t>2019</w:t>
      </w:r>
      <w:r>
        <w:rPr>
          <w:rFonts w:hint="eastAsia" w:ascii="宋体" w:hAnsi="宋体"/>
          <w:color w:val="auto"/>
          <w:sz w:val="24"/>
          <w:szCs w:val="24"/>
        </w:rPr>
        <w:t>年度一般企业财务报表格式的通知》（财会〔</w:t>
      </w:r>
      <w:r>
        <w:rPr>
          <w:rFonts w:ascii="宋体" w:hAnsi="宋体"/>
          <w:color w:val="auto"/>
          <w:sz w:val="24"/>
          <w:szCs w:val="24"/>
        </w:rPr>
        <w:t>2019</w:t>
      </w:r>
      <w:r>
        <w:rPr>
          <w:rFonts w:hint="eastAsia" w:ascii="宋体" w:hAnsi="宋体"/>
          <w:color w:val="auto"/>
          <w:sz w:val="24"/>
          <w:szCs w:val="24"/>
        </w:rPr>
        <w:t>〕</w:t>
      </w:r>
      <w:r>
        <w:rPr>
          <w:rFonts w:ascii="宋体" w:hAnsi="宋体"/>
          <w:color w:val="auto"/>
          <w:sz w:val="24"/>
          <w:szCs w:val="24"/>
        </w:rPr>
        <w:t>6</w:t>
      </w:r>
      <w:r>
        <w:rPr>
          <w:rFonts w:hint="eastAsia" w:ascii="宋体" w:hAnsi="宋体"/>
          <w:color w:val="auto"/>
          <w:sz w:val="24"/>
          <w:szCs w:val="24"/>
        </w:rPr>
        <w:t>号）全文</w:t>
      </w:r>
    </w:p>
    <w:p>
      <w:pPr>
        <w:pStyle w:val="3"/>
        <w:spacing w:line="578" w:lineRule="exact"/>
        <w:rPr>
          <w:rFonts w:eastAsia="黑体"/>
          <w:color w:val="auto"/>
          <w:sz w:val="28"/>
        </w:rPr>
      </w:pPr>
      <w:r>
        <w:rPr>
          <w:rFonts w:hint="eastAsia" w:eastAsia="黑体"/>
          <w:color w:val="auto"/>
          <w:sz w:val="28"/>
        </w:rPr>
        <w:t>五、</w:t>
      </w:r>
      <w:r>
        <w:rPr>
          <w:rFonts w:eastAsia="黑体"/>
          <w:color w:val="auto"/>
          <w:sz w:val="28"/>
        </w:rPr>
        <w:t>附报资料</w:t>
      </w:r>
    </w:p>
    <w:p>
      <w:pPr>
        <w:pStyle w:val="77"/>
        <w:spacing w:line="578" w:lineRule="exact"/>
        <w:ind w:firstLine="412" w:firstLineChars="200"/>
        <w:rPr>
          <w:rFonts w:hint="eastAsia" w:ascii="宋体" w:hAnsi="宋体"/>
          <w:b/>
          <w:bCs/>
          <w:color w:val="auto"/>
          <w:szCs w:val="21"/>
        </w:rPr>
      </w:pPr>
      <w:r>
        <w:rPr>
          <w:rFonts w:hint="eastAsia" w:ascii="宋体" w:hAnsi="宋体"/>
          <w:b/>
          <w:bCs/>
          <w:color w:val="auto"/>
          <w:szCs w:val="21"/>
        </w:rPr>
        <w:t>财务报表报送与信息采集（未执行新金融准则、新收入准则和新租赁准则的一般企业）报送资料清单</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序号</w:t>
            </w:r>
          </w:p>
        </w:tc>
        <w:tc>
          <w:tcPr>
            <w:tcW w:w="2028"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资料名称</w:t>
            </w:r>
          </w:p>
        </w:tc>
        <w:tc>
          <w:tcPr>
            <w:tcW w:w="850"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份数</w:t>
            </w:r>
          </w:p>
        </w:tc>
        <w:tc>
          <w:tcPr>
            <w:tcW w:w="851"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报送类型</w:t>
            </w:r>
          </w:p>
        </w:tc>
        <w:tc>
          <w:tcPr>
            <w:tcW w:w="1842"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报送条件</w:t>
            </w:r>
          </w:p>
        </w:tc>
        <w:tc>
          <w:tcPr>
            <w:tcW w:w="1318" w:type="dxa"/>
            <w:noWrap w:val="0"/>
            <w:vAlign w:val="center"/>
          </w:tcPr>
          <w:p>
            <w:pPr>
              <w:pStyle w:val="13"/>
              <w:widowControl/>
              <w:adjustRightInd w:val="0"/>
              <w:snapToGrid w:val="0"/>
              <w:spacing w:before="100" w:after="10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noWrap w:val="0"/>
            <w:vAlign w:val="center"/>
          </w:tcPr>
          <w:p>
            <w:pPr>
              <w:pStyle w:val="13"/>
              <w:widowControl/>
              <w:adjustRightInd w:val="0"/>
              <w:snapToGrid w:val="0"/>
              <w:spacing w:before="100" w:after="100"/>
              <w:jc w:val="center"/>
              <w:rPr>
                <w:rStyle w:val="18"/>
                <w:rFonts w:ascii="宋体" w:hAnsi="宋体" w:eastAsia="宋体" w:cs="微软雅黑"/>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1</w:t>
            </w:r>
          </w:p>
        </w:tc>
        <w:tc>
          <w:tcPr>
            <w:tcW w:w="2028" w:type="dxa"/>
            <w:noWrap w:val="0"/>
            <w:vAlign w:val="center"/>
          </w:tcPr>
          <w:p>
            <w:pPr>
              <w:widowControl/>
              <w:spacing w:line="280" w:lineRule="exact"/>
              <w:ind w:firstLine="0" w:firstLineChars="0"/>
              <w:jc w:val="left"/>
              <w:rPr>
                <w:color w:val="auto"/>
                <w:sz w:val="18"/>
                <w:szCs w:val="18"/>
              </w:rPr>
            </w:pPr>
            <w:r>
              <w:rPr>
                <w:rFonts w:hint="eastAsia" w:cs="宋体"/>
                <w:kern w:val="0"/>
                <w:sz w:val="18"/>
                <w:szCs w:val="18"/>
              </w:rPr>
              <w:t>《资产负债表</w:t>
            </w:r>
            <w:r>
              <w:rPr>
                <w:rFonts w:cs="宋体"/>
                <w:kern w:val="0"/>
                <w:sz w:val="18"/>
                <w:szCs w:val="18"/>
              </w:rPr>
              <w:t>（适用于尚</w:t>
            </w:r>
            <w:r>
              <w:rPr>
                <w:rFonts w:hint="eastAsia" w:cs="宋体"/>
                <w:kern w:val="0"/>
                <w:sz w:val="18"/>
                <w:szCs w:val="18"/>
              </w:rPr>
              <w:t>未执行新金融准则、新收入准则和新租赁准则的一般企业</w:t>
            </w:r>
            <w:r>
              <w:rPr>
                <w:rFonts w:cs="宋体"/>
                <w:kern w:val="0"/>
                <w:sz w:val="18"/>
                <w:szCs w:val="18"/>
              </w:rPr>
              <w:t>）</w:t>
            </w:r>
            <w:r>
              <w:rPr>
                <w:rFonts w:hint="eastAsia" w:cs="宋体"/>
                <w:kern w:val="0"/>
                <w:sz w:val="18"/>
                <w:szCs w:val="18"/>
              </w:rPr>
              <w:t>》</w:t>
            </w:r>
          </w:p>
        </w:tc>
        <w:tc>
          <w:tcPr>
            <w:tcW w:w="850" w:type="dxa"/>
            <w:noWrap w:val="0"/>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2</w:t>
            </w:r>
          </w:p>
        </w:tc>
        <w:tc>
          <w:tcPr>
            <w:tcW w:w="2028" w:type="dxa"/>
            <w:noWrap w:val="0"/>
            <w:vAlign w:val="center"/>
          </w:tcPr>
          <w:p>
            <w:pPr>
              <w:widowControl/>
              <w:spacing w:line="280" w:lineRule="exact"/>
              <w:ind w:firstLine="0" w:firstLineChars="0"/>
              <w:jc w:val="left"/>
              <w:rPr>
                <w:rFonts w:cs="宋体"/>
                <w:color w:val="auto"/>
                <w:kern w:val="0"/>
                <w:sz w:val="18"/>
                <w:szCs w:val="18"/>
              </w:rPr>
            </w:pPr>
            <w:r>
              <w:rPr>
                <w:rFonts w:hint="eastAsia" w:cs="宋体"/>
                <w:kern w:val="0"/>
                <w:sz w:val="18"/>
                <w:szCs w:val="18"/>
              </w:rPr>
              <w:t>《利润表</w:t>
            </w:r>
            <w:r>
              <w:rPr>
                <w:rFonts w:cs="宋体"/>
                <w:kern w:val="0"/>
                <w:sz w:val="18"/>
                <w:szCs w:val="18"/>
              </w:rPr>
              <w:t>（适用于尚</w:t>
            </w:r>
            <w:r>
              <w:rPr>
                <w:rFonts w:hint="eastAsia" w:cs="宋体"/>
                <w:kern w:val="0"/>
                <w:sz w:val="18"/>
                <w:szCs w:val="18"/>
              </w:rPr>
              <w:t>未执行新金融准则、新收入准则和新租赁准则的一般企业</w:t>
            </w:r>
            <w:r>
              <w:rPr>
                <w:rFonts w:cs="宋体"/>
                <w:kern w:val="0"/>
                <w:sz w:val="18"/>
                <w:szCs w:val="18"/>
              </w:rPr>
              <w:t>）</w:t>
            </w:r>
            <w:r>
              <w:rPr>
                <w:rFonts w:hint="eastAsia" w:cs="宋体"/>
                <w:kern w:val="0"/>
                <w:sz w:val="18"/>
                <w:szCs w:val="18"/>
              </w:rPr>
              <w:t>》</w:t>
            </w:r>
          </w:p>
        </w:tc>
        <w:tc>
          <w:tcPr>
            <w:tcW w:w="850" w:type="dxa"/>
            <w:noWrap w:val="0"/>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宋体"/>
                <w:color w:val="auto"/>
                <w:sz w:val="18"/>
                <w:szCs w:val="18"/>
              </w:rPr>
            </w:pPr>
            <w:r>
              <w:rPr>
                <w:rFonts w:ascii="宋体" w:hAnsi="宋体" w:eastAsia="宋体" w:cs="宋体"/>
                <w:sz w:val="18"/>
                <w:szCs w:val="18"/>
              </w:rPr>
              <w:t>3</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《现金流量表</w:t>
            </w:r>
            <w:r>
              <w:rPr>
                <w:rFonts w:ascii="宋体" w:hAnsi="宋体" w:eastAsia="宋体" w:cs="宋体"/>
                <w:sz w:val="18"/>
                <w:szCs w:val="18"/>
              </w:rPr>
              <w:t>（</w:t>
            </w:r>
            <w:r>
              <w:rPr>
                <w:rFonts w:hint="eastAsia" w:ascii="宋体" w:hAnsi="宋体" w:eastAsia="宋体" w:cs="宋体"/>
                <w:sz w:val="18"/>
                <w:szCs w:val="18"/>
              </w:rPr>
              <w:t>适用执行企业会计准则的一般企业）》</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4</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宋体"/>
                <w:sz w:val="18"/>
                <w:szCs w:val="18"/>
              </w:rPr>
              <w:t>《所有者权益变动表(适用执行企业会计准则的一般企业）》</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5</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宋体"/>
                <w:sz w:val="18"/>
                <w:szCs w:val="18"/>
              </w:rPr>
              <w:t>《企业会计准则附注》</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条件报送</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宋体"/>
                <w:sz w:val="18"/>
                <w:szCs w:val="18"/>
              </w:rPr>
              <w:t>全国千户集团总部及其成员企业报送</w:t>
            </w: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b/>
                <w:color w:val="auto"/>
                <w:sz w:val="18"/>
                <w:szCs w:val="18"/>
              </w:rPr>
              <w:t>是</w:t>
            </w:r>
          </w:p>
        </w:tc>
      </w:tr>
    </w:tbl>
    <w:p>
      <w:pPr>
        <w:ind w:firstLine="0" w:firstLineChars="0"/>
        <w:rPr>
          <w:rFonts w:eastAsia="黑体"/>
          <w:color w:val="auto"/>
          <w:sz w:val="28"/>
        </w:rPr>
      </w:pPr>
    </w:p>
    <w:p>
      <w:pPr>
        <w:pStyle w:val="77"/>
        <w:spacing w:line="578" w:lineRule="exact"/>
        <w:ind w:firstLine="412" w:firstLineChars="200"/>
        <w:rPr>
          <w:rFonts w:hint="eastAsia" w:ascii="宋体" w:hAnsi="宋体"/>
          <w:b/>
          <w:bCs/>
          <w:color w:val="auto"/>
          <w:szCs w:val="21"/>
        </w:rPr>
      </w:pPr>
      <w:r>
        <w:rPr>
          <w:rFonts w:hint="eastAsia" w:ascii="宋体" w:hAnsi="宋体"/>
          <w:b/>
          <w:bCs/>
          <w:color w:val="auto"/>
          <w:szCs w:val="21"/>
        </w:rPr>
        <w:t>财务报表报送与信息采集（已执行新金融准则、新收入准则和新租赁准则的一般企业）报送资料清单</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序号</w:t>
            </w:r>
          </w:p>
        </w:tc>
        <w:tc>
          <w:tcPr>
            <w:tcW w:w="2028"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资料名称</w:t>
            </w:r>
          </w:p>
        </w:tc>
        <w:tc>
          <w:tcPr>
            <w:tcW w:w="850"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份数</w:t>
            </w:r>
          </w:p>
        </w:tc>
        <w:tc>
          <w:tcPr>
            <w:tcW w:w="851"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报送类型</w:t>
            </w:r>
          </w:p>
        </w:tc>
        <w:tc>
          <w:tcPr>
            <w:tcW w:w="1842"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报送条件</w:t>
            </w:r>
          </w:p>
        </w:tc>
        <w:tc>
          <w:tcPr>
            <w:tcW w:w="1318" w:type="dxa"/>
            <w:noWrap w:val="0"/>
            <w:vAlign w:val="center"/>
          </w:tcPr>
          <w:p>
            <w:pPr>
              <w:pStyle w:val="13"/>
              <w:widowControl/>
              <w:adjustRightInd w:val="0"/>
              <w:snapToGrid w:val="0"/>
              <w:spacing w:before="100" w:after="10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noWrap w:val="0"/>
            <w:vAlign w:val="center"/>
          </w:tcPr>
          <w:p>
            <w:pPr>
              <w:pStyle w:val="13"/>
              <w:widowControl/>
              <w:adjustRightInd w:val="0"/>
              <w:snapToGrid w:val="0"/>
              <w:spacing w:before="100" w:after="100"/>
              <w:jc w:val="center"/>
              <w:rPr>
                <w:rStyle w:val="18"/>
                <w:rFonts w:ascii="宋体" w:hAnsi="宋体" w:eastAsia="宋体" w:cs="微软雅黑"/>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1</w:t>
            </w:r>
          </w:p>
        </w:tc>
        <w:tc>
          <w:tcPr>
            <w:tcW w:w="2028" w:type="dxa"/>
            <w:noWrap w:val="0"/>
            <w:vAlign w:val="center"/>
          </w:tcPr>
          <w:p>
            <w:pPr>
              <w:widowControl/>
              <w:spacing w:line="280" w:lineRule="exact"/>
              <w:ind w:firstLine="0" w:firstLineChars="0"/>
              <w:jc w:val="left"/>
              <w:rPr>
                <w:color w:val="auto"/>
                <w:sz w:val="18"/>
                <w:szCs w:val="18"/>
              </w:rPr>
            </w:pPr>
            <w:r>
              <w:rPr>
                <w:rFonts w:hint="eastAsia" w:cs="宋体"/>
                <w:kern w:val="0"/>
                <w:sz w:val="18"/>
                <w:szCs w:val="18"/>
              </w:rPr>
              <w:t>《资产负债表（</w:t>
            </w:r>
            <w:r>
              <w:rPr>
                <w:rFonts w:cs="宋体"/>
                <w:kern w:val="0"/>
                <w:sz w:val="18"/>
                <w:szCs w:val="18"/>
              </w:rPr>
              <w:t>适用于已执行新金融准则</w:t>
            </w:r>
            <w:r>
              <w:rPr>
                <w:rFonts w:hint="eastAsia" w:cs="宋体"/>
                <w:kern w:val="0"/>
                <w:sz w:val="18"/>
                <w:szCs w:val="18"/>
              </w:rPr>
              <w:t>、</w:t>
            </w:r>
            <w:r>
              <w:rPr>
                <w:rFonts w:cs="宋体"/>
                <w:kern w:val="0"/>
                <w:sz w:val="18"/>
                <w:szCs w:val="18"/>
              </w:rPr>
              <w:t>新收入准则</w:t>
            </w:r>
            <w:r>
              <w:rPr>
                <w:rFonts w:hint="eastAsia" w:cs="宋体"/>
                <w:kern w:val="0"/>
                <w:sz w:val="18"/>
                <w:szCs w:val="18"/>
              </w:rPr>
              <w:t>和新租赁准则</w:t>
            </w:r>
            <w:r>
              <w:rPr>
                <w:rFonts w:cs="宋体"/>
                <w:kern w:val="0"/>
                <w:sz w:val="18"/>
                <w:szCs w:val="18"/>
              </w:rPr>
              <w:t>的</w:t>
            </w:r>
            <w:r>
              <w:rPr>
                <w:rFonts w:hint="eastAsia" w:cs="宋体"/>
                <w:kern w:val="0"/>
                <w:sz w:val="18"/>
                <w:szCs w:val="18"/>
              </w:rPr>
              <w:t>一般</w:t>
            </w:r>
            <w:r>
              <w:rPr>
                <w:rFonts w:cs="宋体"/>
                <w:kern w:val="0"/>
                <w:sz w:val="18"/>
                <w:szCs w:val="18"/>
              </w:rPr>
              <w:t>企业</w:t>
            </w:r>
            <w:r>
              <w:rPr>
                <w:rFonts w:hint="eastAsia" w:cs="宋体"/>
                <w:kern w:val="0"/>
                <w:sz w:val="18"/>
                <w:szCs w:val="18"/>
              </w:rPr>
              <w:t>）》</w:t>
            </w:r>
          </w:p>
        </w:tc>
        <w:tc>
          <w:tcPr>
            <w:tcW w:w="850" w:type="dxa"/>
            <w:noWrap w:val="0"/>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2</w:t>
            </w:r>
          </w:p>
        </w:tc>
        <w:tc>
          <w:tcPr>
            <w:tcW w:w="2028" w:type="dxa"/>
            <w:noWrap w:val="0"/>
            <w:vAlign w:val="center"/>
          </w:tcPr>
          <w:p>
            <w:pPr>
              <w:widowControl/>
              <w:spacing w:line="280" w:lineRule="exact"/>
              <w:ind w:firstLine="0" w:firstLineChars="0"/>
              <w:jc w:val="left"/>
              <w:rPr>
                <w:rFonts w:cs="宋体"/>
                <w:color w:val="auto"/>
                <w:kern w:val="0"/>
                <w:sz w:val="18"/>
                <w:szCs w:val="18"/>
              </w:rPr>
            </w:pPr>
            <w:r>
              <w:rPr>
                <w:rFonts w:hint="eastAsia" w:cs="宋体"/>
                <w:kern w:val="0"/>
                <w:sz w:val="18"/>
                <w:szCs w:val="18"/>
              </w:rPr>
              <w:t>《利润表（</w:t>
            </w:r>
            <w:r>
              <w:rPr>
                <w:rFonts w:cs="宋体"/>
                <w:kern w:val="0"/>
                <w:sz w:val="18"/>
                <w:szCs w:val="18"/>
              </w:rPr>
              <w:t>适用于已执行新金融准则</w:t>
            </w:r>
            <w:r>
              <w:rPr>
                <w:rFonts w:hint="eastAsia" w:cs="宋体"/>
                <w:kern w:val="0"/>
                <w:sz w:val="18"/>
                <w:szCs w:val="18"/>
              </w:rPr>
              <w:t>、</w:t>
            </w:r>
            <w:r>
              <w:rPr>
                <w:rFonts w:cs="宋体"/>
                <w:kern w:val="0"/>
                <w:sz w:val="18"/>
                <w:szCs w:val="18"/>
              </w:rPr>
              <w:t>新收入准则</w:t>
            </w:r>
            <w:r>
              <w:rPr>
                <w:rFonts w:hint="eastAsia" w:cs="宋体"/>
                <w:kern w:val="0"/>
                <w:sz w:val="18"/>
                <w:szCs w:val="18"/>
              </w:rPr>
              <w:t>和新租赁准则</w:t>
            </w:r>
            <w:r>
              <w:rPr>
                <w:rFonts w:cs="宋体"/>
                <w:kern w:val="0"/>
                <w:sz w:val="18"/>
                <w:szCs w:val="18"/>
              </w:rPr>
              <w:t>的</w:t>
            </w:r>
            <w:r>
              <w:rPr>
                <w:rFonts w:hint="eastAsia" w:cs="宋体"/>
                <w:kern w:val="0"/>
                <w:sz w:val="18"/>
                <w:szCs w:val="18"/>
              </w:rPr>
              <w:t>一般</w:t>
            </w:r>
            <w:r>
              <w:rPr>
                <w:rFonts w:cs="宋体"/>
                <w:kern w:val="0"/>
                <w:sz w:val="18"/>
                <w:szCs w:val="18"/>
              </w:rPr>
              <w:t>企业</w:t>
            </w:r>
            <w:r>
              <w:rPr>
                <w:rFonts w:hint="eastAsia" w:cs="宋体"/>
                <w:kern w:val="0"/>
                <w:sz w:val="18"/>
                <w:szCs w:val="18"/>
              </w:rPr>
              <w:t>）》</w:t>
            </w:r>
          </w:p>
        </w:tc>
        <w:tc>
          <w:tcPr>
            <w:tcW w:w="850" w:type="dxa"/>
            <w:noWrap w:val="0"/>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宋体"/>
                <w:color w:val="auto"/>
                <w:sz w:val="18"/>
                <w:szCs w:val="18"/>
              </w:rPr>
            </w:pPr>
            <w:r>
              <w:rPr>
                <w:rFonts w:ascii="宋体" w:hAnsi="宋体" w:eastAsia="宋体" w:cs="宋体"/>
                <w:sz w:val="18"/>
                <w:szCs w:val="18"/>
              </w:rPr>
              <w:t>3</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《现金流量表（</w:t>
            </w:r>
            <w:r>
              <w:rPr>
                <w:rFonts w:ascii="宋体" w:hAnsi="宋体" w:eastAsia="宋体" w:cs="宋体"/>
                <w:sz w:val="18"/>
                <w:szCs w:val="18"/>
              </w:rPr>
              <w:t>（</w:t>
            </w:r>
            <w:r>
              <w:rPr>
                <w:rFonts w:hint="eastAsia" w:ascii="宋体" w:hAnsi="宋体" w:eastAsia="宋体" w:cs="宋体"/>
                <w:sz w:val="18"/>
                <w:szCs w:val="18"/>
              </w:rPr>
              <w:t>适用执行企业会计准则的一般企业）》</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4</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宋体"/>
                <w:sz w:val="18"/>
                <w:szCs w:val="18"/>
              </w:rPr>
              <w:t>《所有者权益变动表</w:t>
            </w:r>
            <w:r>
              <w:rPr>
                <w:rFonts w:ascii="宋体" w:hAnsi="宋体" w:eastAsia="宋体" w:cs="宋体"/>
                <w:sz w:val="18"/>
                <w:szCs w:val="18"/>
              </w:rPr>
              <w:t>（</w:t>
            </w:r>
            <w:r>
              <w:rPr>
                <w:rFonts w:hint="eastAsia" w:ascii="宋体" w:hAnsi="宋体" w:eastAsia="宋体" w:cs="宋体"/>
                <w:sz w:val="18"/>
                <w:szCs w:val="18"/>
              </w:rPr>
              <w:t>适用执行企业会计准则的一般企业）》</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1297"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5</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宋体"/>
                <w:sz w:val="18"/>
                <w:szCs w:val="18"/>
              </w:rPr>
              <w:t>《企业会计准则附注》</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条件报送</w:t>
            </w:r>
          </w:p>
        </w:tc>
        <w:tc>
          <w:tcPr>
            <w:tcW w:w="1842" w:type="dxa"/>
            <w:noWrap w:val="0"/>
            <w:vAlign w:val="center"/>
          </w:tcPr>
          <w:p>
            <w:pPr>
              <w:pStyle w:val="13"/>
              <w:widowControl/>
              <w:spacing w:beforeAutospacing="0" w:afterAutospacing="0" w:line="280" w:lineRule="exact"/>
              <w:rPr>
                <w:rFonts w:ascii="宋体" w:hAnsi="宋体" w:eastAsia="宋体"/>
                <w:color w:val="auto"/>
                <w:sz w:val="18"/>
                <w:szCs w:val="18"/>
              </w:rPr>
            </w:pPr>
            <w:r>
              <w:rPr>
                <w:rFonts w:hint="eastAsia" w:ascii="宋体" w:hAnsi="宋体" w:eastAsia="宋体" w:cs="宋体"/>
                <w:sz w:val="18"/>
                <w:szCs w:val="18"/>
              </w:rPr>
              <w:t>全国千户集团总部及其成员企业报送</w:t>
            </w: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bl>
    <w:p>
      <w:pPr>
        <w:pStyle w:val="77"/>
        <w:spacing w:line="578" w:lineRule="exact"/>
        <w:ind w:firstLine="0"/>
        <w:rPr>
          <w:rFonts w:hint="eastAsia" w:ascii="宋体" w:hAnsi="宋体"/>
          <w:b/>
          <w:bCs/>
          <w:color w:val="auto"/>
          <w:szCs w:val="21"/>
        </w:rPr>
      </w:pPr>
      <w:r>
        <w:rPr>
          <w:rFonts w:hint="eastAsia" w:ascii="宋体" w:hAnsi="宋体"/>
          <w:b/>
          <w:bCs/>
          <w:color w:val="auto"/>
          <w:szCs w:val="21"/>
        </w:rPr>
        <w:t>财务报表报送与信息采集（已执行新金融工具准则的金融企业）报送资料清单</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序号</w:t>
            </w:r>
          </w:p>
        </w:tc>
        <w:tc>
          <w:tcPr>
            <w:tcW w:w="2028"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资料名称</w:t>
            </w:r>
          </w:p>
        </w:tc>
        <w:tc>
          <w:tcPr>
            <w:tcW w:w="850"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份数</w:t>
            </w:r>
          </w:p>
        </w:tc>
        <w:tc>
          <w:tcPr>
            <w:tcW w:w="851"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报送类型</w:t>
            </w:r>
          </w:p>
        </w:tc>
        <w:tc>
          <w:tcPr>
            <w:tcW w:w="1842"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报送条件</w:t>
            </w:r>
          </w:p>
        </w:tc>
        <w:tc>
          <w:tcPr>
            <w:tcW w:w="1318" w:type="dxa"/>
            <w:noWrap w:val="0"/>
            <w:vAlign w:val="center"/>
          </w:tcPr>
          <w:p>
            <w:pPr>
              <w:pStyle w:val="13"/>
              <w:widowControl/>
              <w:adjustRightInd w:val="0"/>
              <w:snapToGrid w:val="0"/>
              <w:spacing w:before="100" w:after="10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noWrap w:val="0"/>
            <w:vAlign w:val="center"/>
          </w:tcPr>
          <w:p>
            <w:pPr>
              <w:pStyle w:val="13"/>
              <w:widowControl/>
              <w:adjustRightInd w:val="0"/>
              <w:snapToGrid w:val="0"/>
              <w:spacing w:before="100" w:after="100"/>
              <w:jc w:val="center"/>
              <w:rPr>
                <w:rStyle w:val="18"/>
                <w:rFonts w:ascii="宋体" w:hAnsi="宋体" w:eastAsia="宋体" w:cs="微软雅黑"/>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1</w:t>
            </w:r>
          </w:p>
        </w:tc>
        <w:tc>
          <w:tcPr>
            <w:tcW w:w="2028" w:type="dxa"/>
            <w:noWrap w:val="0"/>
            <w:vAlign w:val="center"/>
          </w:tcPr>
          <w:p>
            <w:pPr>
              <w:widowControl/>
              <w:spacing w:line="280" w:lineRule="exact"/>
              <w:ind w:firstLine="0" w:firstLineChars="0"/>
              <w:jc w:val="left"/>
              <w:rPr>
                <w:color w:val="auto"/>
                <w:sz w:val="18"/>
                <w:szCs w:val="18"/>
              </w:rPr>
            </w:pPr>
            <w:r>
              <w:rPr>
                <w:rFonts w:hint="eastAsia" w:cs="宋体"/>
                <w:kern w:val="0"/>
                <w:sz w:val="18"/>
                <w:szCs w:val="18"/>
              </w:rPr>
              <w:t>《资产负债表（</w:t>
            </w:r>
            <w:r>
              <w:rPr>
                <w:rFonts w:hint="eastAsia"/>
                <w:kern w:val="20"/>
                <w:sz w:val="18"/>
                <w:szCs w:val="18"/>
              </w:rPr>
              <w:t>适用于</w:t>
            </w:r>
            <w:r>
              <w:rPr>
                <w:kern w:val="20"/>
                <w:sz w:val="18"/>
                <w:szCs w:val="18"/>
              </w:rPr>
              <w:t>已执行新金融工具准则的金融企业</w:t>
            </w:r>
            <w:r>
              <w:rPr>
                <w:rFonts w:hint="eastAsia" w:cs="宋体"/>
                <w:kern w:val="0"/>
                <w:sz w:val="18"/>
                <w:szCs w:val="18"/>
              </w:rPr>
              <w:t>）》</w:t>
            </w:r>
          </w:p>
        </w:tc>
        <w:tc>
          <w:tcPr>
            <w:tcW w:w="850" w:type="dxa"/>
            <w:noWrap w:val="0"/>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微软雅黑"/>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2</w:t>
            </w:r>
          </w:p>
        </w:tc>
        <w:tc>
          <w:tcPr>
            <w:tcW w:w="2028" w:type="dxa"/>
            <w:noWrap w:val="0"/>
            <w:vAlign w:val="center"/>
          </w:tcPr>
          <w:p>
            <w:pPr>
              <w:widowControl/>
              <w:spacing w:line="280" w:lineRule="exact"/>
              <w:ind w:firstLine="0" w:firstLineChars="0"/>
              <w:jc w:val="left"/>
              <w:rPr>
                <w:rFonts w:cs="宋体"/>
                <w:color w:val="auto"/>
                <w:kern w:val="0"/>
                <w:sz w:val="18"/>
                <w:szCs w:val="18"/>
              </w:rPr>
            </w:pPr>
            <w:r>
              <w:rPr>
                <w:rFonts w:hint="eastAsia" w:cs="宋体"/>
                <w:kern w:val="0"/>
                <w:sz w:val="18"/>
                <w:szCs w:val="18"/>
              </w:rPr>
              <w:t>《利润表（</w:t>
            </w:r>
            <w:r>
              <w:rPr>
                <w:rFonts w:cs="宋体"/>
                <w:kern w:val="0"/>
                <w:sz w:val="18"/>
                <w:szCs w:val="18"/>
              </w:rPr>
              <w:t>适用于</w:t>
            </w:r>
            <w:r>
              <w:rPr>
                <w:rFonts w:hint="eastAsia" w:cs="宋体"/>
                <w:kern w:val="0"/>
                <w:sz w:val="18"/>
                <w:szCs w:val="18"/>
              </w:rPr>
              <w:t>已</w:t>
            </w:r>
            <w:r>
              <w:rPr>
                <w:rFonts w:cs="宋体"/>
                <w:kern w:val="0"/>
                <w:sz w:val="18"/>
                <w:szCs w:val="18"/>
              </w:rPr>
              <w:t>执行新金融</w:t>
            </w:r>
            <w:r>
              <w:rPr>
                <w:rFonts w:hint="eastAsia" w:cs="宋体"/>
                <w:kern w:val="0"/>
                <w:sz w:val="18"/>
                <w:szCs w:val="18"/>
              </w:rPr>
              <w:t>工具</w:t>
            </w:r>
            <w:r>
              <w:rPr>
                <w:rFonts w:cs="宋体"/>
                <w:kern w:val="0"/>
                <w:sz w:val="18"/>
                <w:szCs w:val="18"/>
              </w:rPr>
              <w:t>准则</w:t>
            </w:r>
            <w:r>
              <w:rPr>
                <w:rFonts w:hint="eastAsia" w:cs="宋体"/>
                <w:kern w:val="0"/>
                <w:sz w:val="18"/>
                <w:szCs w:val="18"/>
              </w:rPr>
              <w:t>与</w:t>
            </w:r>
            <w:r>
              <w:rPr>
                <w:rFonts w:cs="宋体"/>
                <w:kern w:val="0"/>
                <w:sz w:val="18"/>
                <w:szCs w:val="18"/>
              </w:rPr>
              <w:t>新收入准则的</w:t>
            </w:r>
            <w:r>
              <w:rPr>
                <w:rFonts w:hint="eastAsia" w:cs="宋体"/>
                <w:kern w:val="0"/>
                <w:sz w:val="18"/>
                <w:szCs w:val="18"/>
              </w:rPr>
              <w:t>金融</w:t>
            </w:r>
            <w:r>
              <w:rPr>
                <w:rFonts w:cs="宋体"/>
                <w:kern w:val="0"/>
                <w:sz w:val="18"/>
                <w:szCs w:val="18"/>
              </w:rPr>
              <w:t>企业</w:t>
            </w:r>
            <w:r>
              <w:rPr>
                <w:rFonts w:hint="eastAsia" w:cs="宋体"/>
                <w:kern w:val="0"/>
                <w:sz w:val="18"/>
                <w:szCs w:val="18"/>
              </w:rPr>
              <w:t>）》</w:t>
            </w:r>
          </w:p>
        </w:tc>
        <w:tc>
          <w:tcPr>
            <w:tcW w:w="850" w:type="dxa"/>
            <w:noWrap w:val="0"/>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微软雅黑"/>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宋体"/>
                <w:color w:val="auto"/>
                <w:sz w:val="18"/>
                <w:szCs w:val="18"/>
              </w:rPr>
            </w:pPr>
            <w:r>
              <w:rPr>
                <w:rFonts w:ascii="宋体" w:hAnsi="宋体" w:eastAsia="宋体" w:cs="宋体"/>
                <w:sz w:val="18"/>
                <w:szCs w:val="18"/>
              </w:rPr>
              <w:t>3</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《现金流量表（</w:t>
            </w:r>
            <w:r>
              <w:rPr>
                <w:rFonts w:ascii="宋体" w:hAnsi="宋体" w:eastAsia="宋体" w:cs="宋体"/>
                <w:sz w:val="18"/>
                <w:szCs w:val="18"/>
              </w:rPr>
              <w:t>适用于</w:t>
            </w:r>
            <w:r>
              <w:rPr>
                <w:rFonts w:hint="eastAsia" w:ascii="宋体" w:hAnsi="宋体" w:eastAsia="宋体" w:cs="宋体"/>
                <w:sz w:val="18"/>
                <w:szCs w:val="18"/>
              </w:rPr>
              <w:t>已</w:t>
            </w:r>
            <w:r>
              <w:rPr>
                <w:rFonts w:ascii="宋体" w:hAnsi="宋体" w:eastAsia="宋体" w:cs="宋体"/>
                <w:sz w:val="18"/>
                <w:szCs w:val="18"/>
              </w:rPr>
              <w:t>执行新金融</w:t>
            </w:r>
            <w:r>
              <w:rPr>
                <w:rFonts w:hint="eastAsia" w:ascii="宋体" w:hAnsi="宋体" w:eastAsia="宋体" w:cs="宋体"/>
                <w:sz w:val="18"/>
                <w:szCs w:val="18"/>
              </w:rPr>
              <w:t>工具</w:t>
            </w:r>
            <w:r>
              <w:rPr>
                <w:rFonts w:ascii="宋体" w:hAnsi="宋体" w:eastAsia="宋体" w:cs="宋体"/>
                <w:sz w:val="18"/>
                <w:szCs w:val="18"/>
              </w:rPr>
              <w:t>准则</w:t>
            </w:r>
            <w:r>
              <w:rPr>
                <w:rFonts w:hint="eastAsia" w:ascii="宋体" w:hAnsi="宋体" w:eastAsia="宋体" w:cs="宋体"/>
                <w:sz w:val="18"/>
                <w:szCs w:val="18"/>
              </w:rPr>
              <w:t>与</w:t>
            </w:r>
            <w:r>
              <w:rPr>
                <w:rFonts w:ascii="宋体" w:hAnsi="宋体" w:eastAsia="宋体" w:cs="宋体"/>
                <w:sz w:val="18"/>
                <w:szCs w:val="18"/>
              </w:rPr>
              <w:t>新收入准则的</w:t>
            </w:r>
            <w:r>
              <w:rPr>
                <w:rFonts w:hint="eastAsia" w:ascii="宋体" w:hAnsi="宋体" w:eastAsia="宋体" w:cs="宋体"/>
                <w:sz w:val="18"/>
                <w:szCs w:val="18"/>
              </w:rPr>
              <w:t>金融</w:t>
            </w:r>
            <w:r>
              <w:rPr>
                <w:rFonts w:ascii="宋体" w:hAnsi="宋体" w:eastAsia="宋体" w:cs="宋体"/>
                <w:sz w:val="18"/>
                <w:szCs w:val="18"/>
              </w:rPr>
              <w:t>企业</w:t>
            </w:r>
            <w:r>
              <w:rPr>
                <w:rFonts w:hint="eastAsia" w:ascii="宋体" w:hAnsi="宋体" w:eastAsia="宋体" w:cs="宋体"/>
                <w:sz w:val="18"/>
                <w:szCs w:val="18"/>
              </w:rPr>
              <w:t>）》</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4</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宋体"/>
                <w:sz w:val="18"/>
                <w:szCs w:val="18"/>
              </w:rPr>
              <w:t>《所有者权益变动表（</w:t>
            </w:r>
            <w:r>
              <w:rPr>
                <w:rFonts w:ascii="宋体" w:hAnsi="宋体" w:eastAsia="宋体" w:cs="宋体"/>
                <w:sz w:val="18"/>
                <w:szCs w:val="18"/>
              </w:rPr>
              <w:t>适用于</w:t>
            </w:r>
            <w:r>
              <w:rPr>
                <w:rFonts w:hint="eastAsia" w:ascii="宋体" w:hAnsi="宋体" w:eastAsia="宋体" w:cs="宋体"/>
                <w:sz w:val="18"/>
                <w:szCs w:val="18"/>
              </w:rPr>
              <w:t>已</w:t>
            </w:r>
            <w:r>
              <w:rPr>
                <w:rFonts w:ascii="宋体" w:hAnsi="宋体" w:eastAsia="宋体" w:cs="宋体"/>
                <w:sz w:val="18"/>
                <w:szCs w:val="18"/>
              </w:rPr>
              <w:t>执行新金融</w:t>
            </w:r>
            <w:r>
              <w:rPr>
                <w:rFonts w:hint="eastAsia" w:ascii="宋体" w:hAnsi="宋体" w:eastAsia="宋体" w:cs="宋体"/>
                <w:sz w:val="18"/>
                <w:szCs w:val="18"/>
              </w:rPr>
              <w:t>工具</w:t>
            </w:r>
            <w:r>
              <w:rPr>
                <w:rFonts w:ascii="宋体" w:hAnsi="宋体" w:eastAsia="宋体" w:cs="宋体"/>
                <w:sz w:val="18"/>
                <w:szCs w:val="18"/>
              </w:rPr>
              <w:t>准则</w:t>
            </w:r>
            <w:r>
              <w:rPr>
                <w:rFonts w:hint="eastAsia" w:ascii="宋体" w:hAnsi="宋体" w:eastAsia="宋体" w:cs="宋体"/>
                <w:sz w:val="18"/>
                <w:szCs w:val="18"/>
              </w:rPr>
              <w:t>与</w:t>
            </w:r>
            <w:r>
              <w:rPr>
                <w:rFonts w:ascii="宋体" w:hAnsi="宋体" w:eastAsia="宋体" w:cs="宋体"/>
                <w:sz w:val="18"/>
                <w:szCs w:val="18"/>
              </w:rPr>
              <w:t>新收入准则的</w:t>
            </w:r>
            <w:r>
              <w:rPr>
                <w:rFonts w:hint="eastAsia" w:ascii="宋体" w:hAnsi="宋体" w:eastAsia="宋体" w:cs="宋体"/>
                <w:sz w:val="18"/>
                <w:szCs w:val="18"/>
              </w:rPr>
              <w:t>金融</w:t>
            </w:r>
            <w:r>
              <w:rPr>
                <w:rFonts w:ascii="宋体" w:hAnsi="宋体" w:eastAsia="宋体" w:cs="宋体"/>
                <w:sz w:val="18"/>
                <w:szCs w:val="18"/>
              </w:rPr>
              <w:t>企业</w:t>
            </w:r>
            <w:r>
              <w:rPr>
                <w:rFonts w:hint="eastAsia" w:ascii="宋体" w:hAnsi="宋体" w:eastAsia="宋体" w:cs="宋体"/>
                <w:sz w:val="18"/>
                <w:szCs w:val="18"/>
              </w:rPr>
              <w:t>）》</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5</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宋体"/>
                <w:sz w:val="18"/>
                <w:szCs w:val="18"/>
              </w:rPr>
              <w:t>《企业会计准则附注》</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条件报送</w:t>
            </w:r>
          </w:p>
        </w:tc>
        <w:tc>
          <w:tcPr>
            <w:tcW w:w="1842" w:type="dxa"/>
            <w:noWrap w:val="0"/>
            <w:vAlign w:val="center"/>
          </w:tcPr>
          <w:p>
            <w:pPr>
              <w:pStyle w:val="13"/>
              <w:widowControl/>
              <w:spacing w:beforeAutospacing="0" w:afterAutospacing="0" w:line="280" w:lineRule="exact"/>
              <w:rPr>
                <w:rFonts w:ascii="宋体" w:hAnsi="宋体" w:eastAsia="宋体"/>
                <w:color w:val="auto"/>
                <w:sz w:val="18"/>
                <w:szCs w:val="18"/>
              </w:rPr>
            </w:pPr>
            <w:r>
              <w:rPr>
                <w:rFonts w:hint="eastAsia" w:ascii="宋体" w:hAnsi="宋体" w:eastAsia="宋体" w:cs="宋体"/>
                <w:sz w:val="18"/>
                <w:szCs w:val="18"/>
              </w:rPr>
              <w:t>全国千户集团总部及其成员企业报送</w:t>
            </w: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是</w:t>
            </w:r>
          </w:p>
        </w:tc>
      </w:tr>
    </w:tbl>
    <w:p>
      <w:pPr>
        <w:pStyle w:val="77"/>
        <w:spacing w:line="578" w:lineRule="exact"/>
        <w:ind w:firstLine="0"/>
        <w:rPr>
          <w:rFonts w:hint="eastAsia" w:ascii="宋体" w:hAnsi="宋体"/>
          <w:b/>
          <w:bCs/>
          <w:color w:val="auto"/>
          <w:szCs w:val="21"/>
        </w:rPr>
      </w:pPr>
      <w:r>
        <w:rPr>
          <w:rFonts w:hint="eastAsia" w:ascii="宋体" w:hAnsi="宋体"/>
          <w:b/>
          <w:bCs/>
          <w:color w:val="auto"/>
          <w:szCs w:val="21"/>
        </w:rPr>
        <w:t>财务报表报送与信息采集（未执行新金融工具准则的金融企业）报送资料清单</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序号</w:t>
            </w:r>
          </w:p>
        </w:tc>
        <w:tc>
          <w:tcPr>
            <w:tcW w:w="2028"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资料名称</w:t>
            </w:r>
          </w:p>
        </w:tc>
        <w:tc>
          <w:tcPr>
            <w:tcW w:w="850"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份数</w:t>
            </w:r>
          </w:p>
        </w:tc>
        <w:tc>
          <w:tcPr>
            <w:tcW w:w="851"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报送类型</w:t>
            </w:r>
          </w:p>
        </w:tc>
        <w:tc>
          <w:tcPr>
            <w:tcW w:w="1842" w:type="dxa"/>
            <w:noWrap w:val="0"/>
            <w:vAlign w:val="center"/>
          </w:tcPr>
          <w:p>
            <w:pPr>
              <w:pStyle w:val="13"/>
              <w:widowControl/>
              <w:spacing w:beforeAutospacing="0" w:afterAutospacing="0" w:line="280" w:lineRule="exact"/>
              <w:jc w:val="center"/>
              <w:rPr>
                <w:rFonts w:ascii="宋体" w:hAnsi="宋体" w:eastAsia="宋体"/>
                <w:b/>
                <w:color w:val="auto"/>
                <w:sz w:val="18"/>
                <w:szCs w:val="18"/>
              </w:rPr>
            </w:pPr>
            <w:r>
              <w:rPr>
                <w:rStyle w:val="18"/>
                <w:rFonts w:hint="eastAsia" w:ascii="宋体" w:hAnsi="宋体" w:eastAsia="宋体" w:cs="微软雅黑"/>
                <w:color w:val="auto"/>
                <w:sz w:val="18"/>
                <w:szCs w:val="18"/>
              </w:rPr>
              <w:t>报送条件</w:t>
            </w:r>
          </w:p>
        </w:tc>
        <w:tc>
          <w:tcPr>
            <w:tcW w:w="1318" w:type="dxa"/>
            <w:noWrap w:val="0"/>
            <w:vAlign w:val="center"/>
          </w:tcPr>
          <w:p>
            <w:pPr>
              <w:pStyle w:val="13"/>
              <w:widowControl/>
              <w:adjustRightInd w:val="0"/>
              <w:snapToGrid w:val="0"/>
              <w:spacing w:before="100" w:after="10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noWrap w:val="0"/>
            <w:vAlign w:val="center"/>
          </w:tcPr>
          <w:p>
            <w:pPr>
              <w:pStyle w:val="13"/>
              <w:widowControl/>
              <w:adjustRightInd w:val="0"/>
              <w:snapToGrid w:val="0"/>
              <w:spacing w:before="100" w:after="100"/>
              <w:jc w:val="center"/>
              <w:rPr>
                <w:rStyle w:val="18"/>
                <w:rFonts w:ascii="宋体" w:hAnsi="宋体" w:eastAsia="宋体" w:cs="微软雅黑"/>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1</w:t>
            </w:r>
          </w:p>
        </w:tc>
        <w:tc>
          <w:tcPr>
            <w:tcW w:w="2028" w:type="dxa"/>
            <w:noWrap w:val="0"/>
            <w:vAlign w:val="center"/>
          </w:tcPr>
          <w:p>
            <w:pPr>
              <w:widowControl/>
              <w:spacing w:line="280" w:lineRule="exact"/>
              <w:ind w:firstLine="0" w:firstLineChars="0"/>
              <w:jc w:val="left"/>
              <w:rPr>
                <w:color w:val="auto"/>
                <w:sz w:val="18"/>
                <w:szCs w:val="18"/>
              </w:rPr>
            </w:pPr>
            <w:r>
              <w:rPr>
                <w:rFonts w:hint="eastAsia" w:cs="宋体"/>
                <w:kern w:val="0"/>
                <w:sz w:val="18"/>
                <w:szCs w:val="18"/>
              </w:rPr>
              <w:t>《资产负债表（适用未执行新金融工具准则的商业银行）》</w:t>
            </w:r>
          </w:p>
        </w:tc>
        <w:tc>
          <w:tcPr>
            <w:tcW w:w="850" w:type="dxa"/>
            <w:noWrap w:val="0"/>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微软雅黑"/>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Fonts w:hint="eastAsia" w:ascii="宋体" w:hAnsi="宋体" w:eastAsia="宋体" w:cs="微软雅黑"/>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2</w:t>
            </w:r>
          </w:p>
        </w:tc>
        <w:tc>
          <w:tcPr>
            <w:tcW w:w="2028" w:type="dxa"/>
            <w:noWrap w:val="0"/>
            <w:vAlign w:val="center"/>
          </w:tcPr>
          <w:p>
            <w:pPr>
              <w:widowControl/>
              <w:spacing w:line="280" w:lineRule="exact"/>
              <w:ind w:firstLine="0" w:firstLineChars="0"/>
              <w:jc w:val="left"/>
              <w:rPr>
                <w:rFonts w:cs="宋体"/>
                <w:color w:val="auto"/>
                <w:kern w:val="0"/>
                <w:sz w:val="18"/>
                <w:szCs w:val="18"/>
              </w:rPr>
            </w:pPr>
            <w:r>
              <w:rPr>
                <w:rFonts w:hint="eastAsia" w:cs="宋体"/>
                <w:kern w:val="0"/>
                <w:sz w:val="18"/>
                <w:szCs w:val="18"/>
              </w:rPr>
              <w:t>《利润表（适用未执行新金融工具准则的商业银行）》</w:t>
            </w:r>
          </w:p>
        </w:tc>
        <w:tc>
          <w:tcPr>
            <w:tcW w:w="850" w:type="dxa"/>
            <w:noWrap w:val="0"/>
            <w:vAlign w:val="center"/>
          </w:tcPr>
          <w:p>
            <w:pPr>
              <w:pStyle w:val="13"/>
              <w:widowControl/>
              <w:spacing w:beforeAutospacing="0" w:afterAutospacing="0" w:line="280" w:lineRule="exact"/>
              <w:ind w:firstLine="352" w:firstLineChars="0"/>
              <w:rPr>
                <w:rStyle w:val="18"/>
                <w:rFonts w:ascii="宋体" w:hAnsi="宋体" w:eastAsia="宋体" w:cs="微软雅黑"/>
                <w:b w:val="0"/>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Fonts w:hint="eastAsia" w:ascii="宋体" w:hAnsi="宋体" w:eastAsia="宋体" w:cs="微软雅黑"/>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宋体"/>
                <w:color w:val="auto"/>
                <w:sz w:val="18"/>
                <w:szCs w:val="18"/>
              </w:rPr>
            </w:pPr>
            <w:r>
              <w:rPr>
                <w:rFonts w:ascii="宋体" w:hAnsi="宋体" w:eastAsia="宋体" w:cs="宋体"/>
                <w:sz w:val="18"/>
                <w:szCs w:val="18"/>
              </w:rPr>
              <w:t>3</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《现金流量表（适用未执行新金融工具准则的商业银行）》</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Style w:val="18"/>
                <w:rFonts w:hint="eastAsia" w:ascii="宋体" w:hAnsi="宋体" w:eastAsia="宋体" w:cs="微软雅黑"/>
                <w:b w:val="0"/>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Style w:val="18"/>
                <w:rFonts w:ascii="宋体" w:hAnsi="宋体" w:eastAsia="宋体" w:cs="微软雅黑"/>
                <w:b w:val="0"/>
                <w:color w:val="auto"/>
                <w:sz w:val="18"/>
                <w:szCs w:val="18"/>
              </w:rPr>
            </w:pPr>
            <w:r>
              <w:rPr>
                <w:rFonts w:hint="eastAsia" w:ascii="宋体" w:hAnsi="宋体" w:eastAsia="宋体" w:cs="微软雅黑"/>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4</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宋体"/>
                <w:sz w:val="18"/>
                <w:szCs w:val="18"/>
              </w:rPr>
              <w:t>《所有者权益变动表（适用未执行新金融工具准则的商业银行）》</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ascii="宋体" w:hAnsi="宋体" w:eastAsia="宋体" w:cs="微软雅黑"/>
                <w:sz w:val="18"/>
                <w:szCs w:val="18"/>
              </w:rPr>
              <w:t>5</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r>
              <w:rPr>
                <w:rFonts w:hint="eastAsia" w:ascii="宋体" w:hAnsi="宋体" w:eastAsia="宋体" w:cs="宋体"/>
                <w:sz w:val="18"/>
                <w:szCs w:val="18"/>
              </w:rPr>
              <w:t>《资产负债表（适用未执行新金融工具准则的保险公司）》</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rPr>
                <w:rFonts w:ascii="宋体" w:hAnsi="宋体" w:eastAsia="宋体" w:cs="微软雅黑"/>
                <w:sz w:val="18"/>
                <w:szCs w:val="18"/>
              </w:rPr>
            </w:pPr>
          </w:p>
          <w:p>
            <w:pPr>
              <w:pStyle w:val="13"/>
              <w:widowControl/>
              <w:spacing w:beforeAutospacing="0" w:afterAutospacing="0" w:line="280" w:lineRule="exact"/>
              <w:ind w:firstLine="352"/>
              <w:rPr>
                <w:rFonts w:ascii="宋体" w:hAnsi="宋体" w:eastAsia="宋体" w:cs="微软雅黑"/>
                <w:sz w:val="18"/>
                <w:szCs w:val="18"/>
              </w:rPr>
            </w:pPr>
            <w:r>
              <w:rPr>
                <w:rFonts w:hint="eastAsia" w:ascii="宋体" w:hAnsi="宋体" w:eastAsia="宋体" w:cs="微软雅黑"/>
                <w:sz w:val="18"/>
                <w:szCs w:val="18"/>
              </w:rPr>
              <w:t>6</w:t>
            </w:r>
          </w:p>
          <w:p>
            <w:pPr>
              <w:pStyle w:val="13"/>
              <w:widowControl/>
              <w:spacing w:beforeAutospacing="0" w:afterAutospacing="0" w:line="280" w:lineRule="exact"/>
              <w:ind w:firstLine="352" w:firstLineChars="0"/>
              <w:rPr>
                <w:rFonts w:ascii="宋体" w:hAnsi="宋体" w:eastAsia="宋体" w:cs="微软雅黑"/>
                <w:color w:val="auto"/>
                <w:sz w:val="18"/>
                <w:szCs w:val="18"/>
              </w:rPr>
            </w:pP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《利润表（适用未执行新金融工具准则的保险公司）》</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7</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《现金流量表（适用未执行新金融工具准则的保险公司）》</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8</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《所有者权益变动表（适用未执行新金融工具准则的保险公司）》</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9</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《资产负债表（适用未执行新金融工具准则的证券公司）》</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10</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《利润表（适用未执行新金融工具准则的证券公司）》</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11</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《现金流量表（适用未执行新金融工具准则的证券公司）》</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12</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《所有者权益变动表（适用未执行新金融工具准则的证券公司）》</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cs="微软雅黑"/>
                <w:sz w:val="18"/>
                <w:szCs w:val="18"/>
              </w:rPr>
              <w:t>必报</w:t>
            </w:r>
          </w:p>
        </w:tc>
        <w:tc>
          <w:tcPr>
            <w:tcW w:w="1842"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noWrap w:val="0"/>
            <w:vAlign w:val="center"/>
          </w:tcPr>
          <w:p>
            <w:pPr>
              <w:pStyle w:val="13"/>
              <w:widowControl/>
              <w:spacing w:beforeAutospacing="0" w:afterAutospacing="0" w:line="280" w:lineRule="exact"/>
              <w:ind w:firstLine="352" w:firstLineChars="0"/>
              <w:rPr>
                <w:rFonts w:ascii="宋体" w:hAnsi="宋体" w:eastAsia="宋体" w:cs="微软雅黑"/>
                <w:color w:val="auto"/>
                <w:sz w:val="18"/>
                <w:szCs w:val="18"/>
              </w:rPr>
            </w:pPr>
            <w:r>
              <w:rPr>
                <w:rFonts w:hint="eastAsia" w:ascii="宋体" w:hAnsi="宋体" w:eastAsia="宋体" w:cs="微软雅黑"/>
                <w:sz w:val="18"/>
                <w:szCs w:val="18"/>
              </w:rPr>
              <w:t>13</w:t>
            </w:r>
          </w:p>
        </w:tc>
        <w:tc>
          <w:tcPr>
            <w:tcW w:w="2028" w:type="dxa"/>
            <w:noWrap w:val="0"/>
            <w:vAlign w:val="center"/>
          </w:tcPr>
          <w:p>
            <w:pPr>
              <w:pStyle w:val="13"/>
              <w:widowControl/>
              <w:spacing w:beforeAutospacing="0" w:afterAutospacing="0" w:line="280" w:lineRule="exact"/>
              <w:ind w:firstLine="0" w:firstLineChars="0"/>
              <w:rPr>
                <w:rFonts w:ascii="宋体" w:hAnsi="宋体" w:eastAsia="宋体" w:cs="宋体"/>
                <w:color w:val="auto"/>
                <w:sz w:val="18"/>
                <w:szCs w:val="18"/>
              </w:rPr>
            </w:pPr>
            <w:r>
              <w:rPr>
                <w:rFonts w:hint="eastAsia" w:ascii="宋体" w:hAnsi="宋体" w:eastAsia="宋体" w:cs="宋体"/>
                <w:sz w:val="18"/>
                <w:szCs w:val="18"/>
              </w:rPr>
              <w:t>《企业会计准则附注》</w:t>
            </w:r>
          </w:p>
        </w:tc>
        <w:tc>
          <w:tcPr>
            <w:tcW w:w="850" w:type="dxa"/>
            <w:noWrap w:val="0"/>
            <w:vAlign w:val="center"/>
          </w:tcPr>
          <w:p>
            <w:pPr>
              <w:pStyle w:val="13"/>
              <w:widowControl/>
              <w:spacing w:beforeAutospacing="0" w:afterAutospacing="0" w:line="280" w:lineRule="exact"/>
              <w:ind w:firstLine="352" w:firstLineChars="0"/>
              <w:rPr>
                <w:rFonts w:ascii="宋体" w:hAnsi="宋体" w:eastAsia="宋体"/>
                <w:color w:val="auto"/>
                <w:sz w:val="18"/>
                <w:szCs w:val="18"/>
              </w:rPr>
            </w:pPr>
            <w:r>
              <w:rPr>
                <w:rFonts w:hint="eastAsia" w:ascii="宋体" w:hAnsi="宋体" w:eastAsia="宋体" w:cs="微软雅黑"/>
                <w:sz w:val="18"/>
                <w:szCs w:val="18"/>
              </w:rPr>
              <w:t>1</w:t>
            </w:r>
          </w:p>
        </w:tc>
        <w:tc>
          <w:tcPr>
            <w:tcW w:w="851" w:type="dxa"/>
            <w:noWrap w:val="0"/>
            <w:vAlign w:val="center"/>
          </w:tcPr>
          <w:p>
            <w:pPr>
              <w:pStyle w:val="13"/>
              <w:widowControl/>
              <w:spacing w:beforeAutospacing="0" w:afterAutospacing="0" w:line="280" w:lineRule="exact"/>
              <w:ind w:firstLine="0" w:firstLineChars="0"/>
              <w:jc w:val="center"/>
              <w:rPr>
                <w:rFonts w:ascii="宋体" w:hAnsi="宋体" w:eastAsia="宋体"/>
                <w:color w:val="auto"/>
                <w:sz w:val="18"/>
                <w:szCs w:val="18"/>
              </w:rPr>
            </w:pPr>
            <w:r>
              <w:rPr>
                <w:rFonts w:hint="eastAsia" w:ascii="宋体" w:hAnsi="宋体" w:eastAsia="宋体"/>
                <w:sz w:val="18"/>
                <w:szCs w:val="18"/>
              </w:rPr>
              <w:t>条件报送</w:t>
            </w:r>
          </w:p>
        </w:tc>
        <w:tc>
          <w:tcPr>
            <w:tcW w:w="1842" w:type="dxa"/>
            <w:noWrap w:val="0"/>
            <w:vAlign w:val="center"/>
          </w:tcPr>
          <w:p>
            <w:pPr>
              <w:pStyle w:val="13"/>
              <w:widowControl/>
              <w:spacing w:beforeAutospacing="0" w:afterAutospacing="0" w:line="280" w:lineRule="exact"/>
              <w:rPr>
                <w:rFonts w:ascii="宋体" w:hAnsi="宋体" w:eastAsia="宋体" w:cs="宋体"/>
                <w:color w:val="auto"/>
                <w:sz w:val="18"/>
                <w:szCs w:val="18"/>
              </w:rPr>
            </w:pPr>
            <w:r>
              <w:rPr>
                <w:rFonts w:hint="eastAsia" w:ascii="宋体" w:hAnsi="宋体" w:eastAsia="宋体" w:cs="宋体"/>
                <w:sz w:val="18"/>
                <w:szCs w:val="18"/>
              </w:rPr>
              <w:t>全国千户集团总部及其成员企业报送</w:t>
            </w:r>
          </w:p>
        </w:tc>
        <w:tc>
          <w:tcPr>
            <w:tcW w:w="1318" w:type="dxa"/>
            <w:noWrap w:val="0"/>
            <w:vAlign w:val="center"/>
          </w:tcPr>
          <w:p>
            <w:pPr>
              <w:pStyle w:val="13"/>
              <w:widowControl/>
              <w:spacing w:beforeAutospacing="0" w:afterAutospacing="0" w:line="280" w:lineRule="exact"/>
              <w:jc w:val="center"/>
              <w:rPr>
                <w:rFonts w:hint="eastAsia" w:ascii="宋体" w:hAnsi="宋体" w:eastAsia="宋体"/>
                <w:color w:val="auto"/>
                <w:sz w:val="18"/>
                <w:szCs w:val="18"/>
              </w:rPr>
            </w:pPr>
            <w:r>
              <w:rPr>
                <w:rFonts w:hint="eastAsia" w:ascii="宋体" w:hAnsi="宋体" w:eastAsia="宋体" w:cs="微软雅黑"/>
                <w:color w:val="auto"/>
                <w:sz w:val="18"/>
                <w:szCs w:val="18"/>
              </w:rPr>
              <w:t>税务机关留存</w:t>
            </w:r>
          </w:p>
        </w:tc>
        <w:tc>
          <w:tcPr>
            <w:tcW w:w="850" w:type="dxa"/>
            <w:noWrap w:val="0"/>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Style w:val="18"/>
                <w:rFonts w:hint="eastAsia" w:ascii="宋体" w:hAnsi="宋体" w:eastAsia="宋体" w:cs="微软雅黑"/>
                <w:b w:val="0"/>
                <w:color w:val="auto"/>
                <w:sz w:val="18"/>
                <w:szCs w:val="18"/>
              </w:rPr>
              <w:t>是</w:t>
            </w:r>
          </w:p>
        </w:tc>
      </w:tr>
    </w:tbl>
    <w:p>
      <w:pPr>
        <w:pStyle w:val="3"/>
        <w:spacing w:line="578" w:lineRule="exact"/>
        <w:rPr>
          <w:rFonts w:hint="eastAsia" w:eastAsia="黑体"/>
          <w:color w:val="auto"/>
          <w:sz w:val="28"/>
        </w:rPr>
      </w:pPr>
      <w:r>
        <w:rPr>
          <w:rFonts w:hint="eastAsia" w:eastAsia="黑体"/>
          <w:color w:val="auto"/>
          <w:sz w:val="28"/>
        </w:rPr>
        <w:t>六</w:t>
      </w:r>
      <w:r>
        <w:rPr>
          <w:rFonts w:eastAsia="黑体"/>
          <w:color w:val="auto"/>
          <w:sz w:val="28"/>
        </w:rPr>
        <w:t>、</w:t>
      </w:r>
      <w:r>
        <w:rPr>
          <w:rFonts w:hint="eastAsia" w:eastAsia="黑体"/>
          <w:color w:val="auto"/>
          <w:sz w:val="28"/>
        </w:rPr>
        <w:t>办理流程</w:t>
      </w:r>
    </w:p>
    <w:p>
      <w:pPr>
        <w:pStyle w:val="77"/>
        <w:ind w:firstLine="472" w:firstLineChars="200"/>
        <w:rPr>
          <w:rFonts w:ascii="宋体" w:hAnsi="宋体"/>
          <w:color w:val="auto"/>
          <w:sz w:val="24"/>
          <w:szCs w:val="24"/>
        </w:rPr>
      </w:pPr>
    </w:p>
    <w:p>
      <w:pPr>
        <w:pStyle w:val="77"/>
        <w:ind w:firstLine="472" w:firstLineChars="200"/>
        <w:rPr>
          <w:rFonts w:ascii="宋体" w:hAnsi="宋体"/>
          <w:color w:val="auto"/>
          <w:sz w:val="24"/>
          <w:szCs w:val="24"/>
        </w:rPr>
      </w:pPr>
      <w:r>
        <w:rPr>
          <w:rFonts w:ascii="宋体" w:hAnsi="宋体"/>
          <w:color w:val="auto"/>
          <w:sz w:val="24"/>
          <w:szCs w:val="24"/>
        </w:rPr>
        <w:object>
          <v:shape id="_x0000_i1116" o:spt="75" type="#_x0000_t75" style="height:117.75pt;width:440.25pt;" o:ole="t" filled="f" o:preferrelative="t" stroked="f" coordsize="21600,21600">
            <v:path/>
            <v:fill on="f" focussize="0,0"/>
            <v:stroke on="f"/>
            <v:imagedata r:id="rId7" o:title=""/>
            <o:lock v:ext="edit" aspectratio="t"/>
            <w10:wrap type="none"/>
            <w10:anchorlock/>
          </v:shape>
          <o:OLEObject Type="Embed" ProgID="Visio.Drawing.11" ShapeID="_x0000_i1116" DrawAspect="Content" ObjectID="_1468075725" r:id="rId6">
            <o:LockedField>false</o:LockedField>
          </o:OLEObject>
        </w:object>
      </w:r>
    </w:p>
    <w:p>
      <w:pPr>
        <w:keepNext/>
        <w:keepLines/>
        <w:ind w:firstLine="552"/>
        <w:outlineLvl w:val="1"/>
        <w:rPr>
          <w:rFonts w:ascii="Calibri Light" w:hAnsi="Calibri Light" w:eastAsia="黑体"/>
          <w:bCs/>
          <w:color w:val="auto"/>
          <w:sz w:val="28"/>
          <w:szCs w:val="32"/>
        </w:rPr>
      </w:pPr>
      <w:r>
        <w:rPr>
          <w:rFonts w:hint="eastAsia" w:ascii="Calibri Light" w:hAnsi="Calibri Light" w:eastAsia="黑体"/>
          <w:bCs/>
          <w:color w:val="auto"/>
          <w:sz w:val="28"/>
          <w:szCs w:val="32"/>
        </w:rPr>
        <w:t>七、办理时限</w:t>
      </w:r>
    </w:p>
    <w:p>
      <w:pPr>
        <w:ind w:firstLine="471" w:firstLineChars="0"/>
        <w:rPr>
          <w:color w:val="auto"/>
        </w:rPr>
      </w:pPr>
      <w:r>
        <w:rPr>
          <w:rFonts w:hint="eastAsia"/>
          <w:color w:val="auto"/>
        </w:rPr>
        <w:t>资料齐全、符合法定形式的，税务机关受理后即时办结。</w:t>
      </w:r>
    </w:p>
    <w:p>
      <w:pPr>
        <w:keepNext/>
        <w:keepLines/>
        <w:ind w:firstLine="552"/>
        <w:outlineLvl w:val="1"/>
        <w:rPr>
          <w:rFonts w:hint="eastAsia" w:ascii="Calibri Light" w:hAnsi="Calibri Light" w:eastAsia="黑体"/>
          <w:bCs/>
          <w:color w:val="auto"/>
          <w:sz w:val="28"/>
          <w:szCs w:val="32"/>
        </w:rPr>
      </w:pPr>
      <w:r>
        <w:rPr>
          <w:rFonts w:hint="eastAsia" w:ascii="Calibri Light" w:hAnsi="Calibri Light" w:eastAsia="黑体"/>
          <w:bCs/>
          <w:color w:val="auto"/>
          <w:sz w:val="28"/>
          <w:szCs w:val="32"/>
        </w:rPr>
        <w:t>八、表证单书</w:t>
      </w:r>
    </w:p>
    <w:p>
      <w:pPr>
        <w:ind w:firstLine="471" w:firstLineChars="0"/>
        <w:rPr>
          <w:rFonts w:hint="eastAsia"/>
          <w:color w:val="auto"/>
        </w:rPr>
      </w:pPr>
      <w:r>
        <w:rPr>
          <w:rFonts w:hint="eastAsia"/>
          <w:color w:val="auto"/>
        </w:rPr>
        <w:t>1.A06877《资产负债表（适用于尚未执行新金融准则和新收入准则的企业）》</w:t>
      </w:r>
    </w:p>
    <w:p>
      <w:pPr>
        <w:ind w:firstLine="471" w:firstLineChars="0"/>
        <w:rPr>
          <w:rFonts w:hint="eastAsia"/>
          <w:color w:val="auto"/>
        </w:rPr>
      </w:pPr>
      <w:r>
        <w:rPr>
          <w:rFonts w:hint="eastAsia"/>
          <w:color w:val="auto"/>
        </w:rPr>
        <w:t>2.A06878《利润表（适用于尚未执行新金融准则和新收入准则的企业）》</w:t>
      </w:r>
    </w:p>
    <w:p>
      <w:pPr>
        <w:ind w:firstLine="471" w:firstLineChars="0"/>
        <w:rPr>
          <w:rFonts w:hint="eastAsia"/>
          <w:color w:val="auto"/>
        </w:rPr>
      </w:pPr>
      <w:r>
        <w:rPr>
          <w:rFonts w:hint="eastAsia"/>
          <w:color w:val="auto"/>
        </w:rPr>
        <w:t>3.A06879《现金流量表（适用于尚未执行新金融准则和新收入准则的企业）》</w:t>
      </w:r>
    </w:p>
    <w:p>
      <w:pPr>
        <w:ind w:firstLine="471" w:firstLineChars="0"/>
        <w:rPr>
          <w:rFonts w:hint="eastAsia"/>
          <w:color w:val="auto"/>
        </w:rPr>
      </w:pPr>
      <w:r>
        <w:rPr>
          <w:rFonts w:hint="eastAsia"/>
          <w:color w:val="auto"/>
        </w:rPr>
        <w:t>4.A06880《所有者权益变动表（适用于尚未执行新金融准则和新收入准则的企业）》</w:t>
      </w:r>
    </w:p>
    <w:p>
      <w:pPr>
        <w:ind w:firstLine="471" w:firstLineChars="0"/>
        <w:rPr>
          <w:rFonts w:hint="eastAsia"/>
          <w:color w:val="auto"/>
        </w:rPr>
      </w:pPr>
      <w:r>
        <w:rPr>
          <w:rFonts w:hint="eastAsia"/>
          <w:color w:val="auto"/>
        </w:rPr>
        <w:t>5.A06811《企业会计准则附注》</w:t>
      </w:r>
    </w:p>
    <w:p>
      <w:pPr>
        <w:ind w:firstLine="471" w:firstLineChars="0"/>
        <w:rPr>
          <w:rFonts w:hint="eastAsia"/>
          <w:color w:val="auto"/>
        </w:rPr>
      </w:pPr>
      <w:r>
        <w:rPr>
          <w:rFonts w:hint="eastAsia"/>
          <w:color w:val="auto"/>
        </w:rPr>
        <w:t>6.A06873《资产负债表（适用于已执行新金融准则或新收入准则的企业）》</w:t>
      </w:r>
    </w:p>
    <w:p>
      <w:pPr>
        <w:ind w:firstLine="471" w:firstLineChars="0"/>
        <w:rPr>
          <w:rFonts w:hint="eastAsia"/>
          <w:color w:val="auto"/>
        </w:rPr>
      </w:pPr>
      <w:r>
        <w:rPr>
          <w:rFonts w:hint="eastAsia"/>
          <w:color w:val="auto"/>
        </w:rPr>
        <w:t>7.A06874《利润表（适用于已执行新金融准则或新收入准则的企业）》</w:t>
      </w:r>
    </w:p>
    <w:p>
      <w:pPr>
        <w:ind w:firstLine="471" w:firstLineChars="0"/>
        <w:rPr>
          <w:rFonts w:hint="eastAsia"/>
          <w:color w:val="auto"/>
        </w:rPr>
      </w:pPr>
      <w:r>
        <w:rPr>
          <w:rFonts w:hint="eastAsia"/>
          <w:color w:val="auto"/>
        </w:rPr>
        <w:t>8.A06875《现金流量表（适用于已执行新金融准则或新收入准则的企业）》</w:t>
      </w:r>
    </w:p>
    <w:p>
      <w:pPr>
        <w:ind w:firstLine="471" w:firstLineChars="0"/>
        <w:rPr>
          <w:rFonts w:hint="eastAsia"/>
          <w:color w:val="auto"/>
        </w:rPr>
      </w:pPr>
      <w:r>
        <w:rPr>
          <w:rFonts w:hint="eastAsia"/>
          <w:color w:val="auto"/>
        </w:rPr>
        <w:t>9.A06876《所有者权益变动表（适用于已执行新金融准则或新收入准则的企业）》</w:t>
      </w:r>
    </w:p>
    <w:p>
      <w:pPr>
        <w:ind w:firstLine="471" w:firstLineChars="0"/>
        <w:rPr>
          <w:rFonts w:hint="eastAsia"/>
          <w:color w:val="auto"/>
        </w:rPr>
      </w:pPr>
      <w:r>
        <w:rPr>
          <w:rFonts w:hint="eastAsia"/>
          <w:color w:val="auto"/>
        </w:rPr>
        <w:t>10.A06881《资产负债表（适用于已执行新金融工具准则与新收入准则的金融企业）》</w:t>
      </w:r>
    </w:p>
    <w:p>
      <w:pPr>
        <w:ind w:firstLine="471" w:firstLineChars="0"/>
        <w:rPr>
          <w:rFonts w:hint="eastAsia"/>
          <w:color w:val="auto"/>
        </w:rPr>
      </w:pPr>
      <w:r>
        <w:rPr>
          <w:rFonts w:hint="eastAsia"/>
          <w:color w:val="auto"/>
        </w:rPr>
        <w:t>11.A06882《利润表（适用于已执行新金融工具准则与新收入准则的金融企业）》</w:t>
      </w:r>
    </w:p>
    <w:p>
      <w:pPr>
        <w:ind w:firstLine="471" w:firstLineChars="0"/>
        <w:rPr>
          <w:rFonts w:hint="eastAsia"/>
          <w:color w:val="auto"/>
        </w:rPr>
      </w:pPr>
      <w:r>
        <w:rPr>
          <w:rFonts w:hint="eastAsia"/>
          <w:color w:val="auto"/>
        </w:rPr>
        <w:t>12.A06883《现金流量表（适用于已执行新金融工具准则与新收入准则的金融企业）》</w:t>
      </w:r>
    </w:p>
    <w:p>
      <w:pPr>
        <w:ind w:firstLine="471" w:firstLineChars="0"/>
        <w:rPr>
          <w:rFonts w:hint="eastAsia"/>
          <w:color w:val="auto"/>
        </w:rPr>
      </w:pPr>
      <w:r>
        <w:rPr>
          <w:rFonts w:hint="eastAsia"/>
          <w:color w:val="auto"/>
        </w:rPr>
        <w:t>13.A06884《所有者权益变动表（适用于已执行新金融工具准则与新收入准则的金融企业）》</w:t>
      </w:r>
    </w:p>
    <w:p>
      <w:pPr>
        <w:ind w:firstLine="471" w:firstLineChars="0"/>
        <w:rPr>
          <w:rFonts w:hint="eastAsia"/>
          <w:color w:val="auto"/>
        </w:rPr>
      </w:pPr>
      <w:r>
        <w:rPr>
          <w:rFonts w:hint="eastAsia"/>
          <w:color w:val="auto"/>
        </w:rPr>
        <w:t>14.C00125《资产负债表（适用执行企业会计准则的商业银行）》</w:t>
      </w:r>
    </w:p>
    <w:p>
      <w:pPr>
        <w:ind w:firstLine="471" w:firstLineChars="0"/>
        <w:rPr>
          <w:rFonts w:hint="eastAsia"/>
          <w:color w:val="auto"/>
        </w:rPr>
      </w:pPr>
      <w:r>
        <w:rPr>
          <w:rFonts w:hint="eastAsia"/>
          <w:color w:val="auto"/>
        </w:rPr>
        <w:t>15.C00126《利润表（适用执行企业会计准则的商业银行）》</w:t>
      </w:r>
    </w:p>
    <w:p>
      <w:pPr>
        <w:ind w:firstLine="471" w:firstLineChars="0"/>
        <w:rPr>
          <w:rFonts w:hint="eastAsia"/>
          <w:color w:val="auto"/>
        </w:rPr>
      </w:pPr>
      <w:r>
        <w:rPr>
          <w:rFonts w:hint="eastAsia"/>
          <w:color w:val="auto"/>
        </w:rPr>
        <w:t>16.C00127《现金流量表（适用执行企业会计准则的商业银行）》</w:t>
      </w:r>
    </w:p>
    <w:p>
      <w:pPr>
        <w:ind w:firstLine="471" w:firstLineChars="0"/>
        <w:rPr>
          <w:rFonts w:hint="eastAsia"/>
          <w:color w:val="auto"/>
        </w:rPr>
      </w:pPr>
      <w:r>
        <w:rPr>
          <w:rFonts w:hint="eastAsia"/>
          <w:color w:val="auto"/>
        </w:rPr>
        <w:t>17.A06148《所有者权益变动表（适用执行企业会计准则的商业银行）》</w:t>
      </w:r>
    </w:p>
    <w:p>
      <w:pPr>
        <w:ind w:firstLine="471" w:firstLineChars="0"/>
        <w:rPr>
          <w:rFonts w:hint="eastAsia"/>
          <w:color w:val="auto"/>
        </w:rPr>
      </w:pPr>
      <w:r>
        <w:rPr>
          <w:rFonts w:hint="eastAsia"/>
          <w:color w:val="auto"/>
        </w:rPr>
        <w:t>18.C00128《资产负债表（适用执行企业会计准则的保险公司）》</w:t>
      </w:r>
    </w:p>
    <w:p>
      <w:pPr>
        <w:ind w:firstLine="471" w:firstLineChars="0"/>
        <w:rPr>
          <w:rFonts w:hint="eastAsia"/>
          <w:color w:val="auto"/>
        </w:rPr>
      </w:pPr>
      <w:r>
        <w:rPr>
          <w:rFonts w:hint="eastAsia"/>
          <w:color w:val="auto"/>
        </w:rPr>
        <w:t>19.C00129《利润表（适用执行企业会计准则的保险公司）》</w:t>
      </w:r>
    </w:p>
    <w:p>
      <w:pPr>
        <w:ind w:firstLine="471" w:firstLineChars="0"/>
        <w:rPr>
          <w:rFonts w:hint="eastAsia"/>
          <w:color w:val="auto"/>
        </w:rPr>
      </w:pPr>
      <w:r>
        <w:rPr>
          <w:rFonts w:hint="eastAsia"/>
          <w:color w:val="auto"/>
        </w:rPr>
        <w:t>20.C00130《现金流量表（适用执行企业会计准则的保险公司）》</w:t>
      </w:r>
    </w:p>
    <w:p>
      <w:pPr>
        <w:ind w:firstLine="471" w:firstLineChars="0"/>
        <w:rPr>
          <w:rFonts w:hint="eastAsia"/>
          <w:color w:val="auto"/>
        </w:rPr>
      </w:pPr>
      <w:r>
        <w:rPr>
          <w:rFonts w:hint="eastAsia"/>
          <w:color w:val="auto"/>
        </w:rPr>
        <w:t>21.A06367《所有者权益变动表（适用执行企业会计准则的保险公司）》</w:t>
      </w:r>
    </w:p>
    <w:p>
      <w:pPr>
        <w:ind w:firstLine="471" w:firstLineChars="0"/>
        <w:rPr>
          <w:rFonts w:hint="eastAsia"/>
          <w:color w:val="auto"/>
        </w:rPr>
      </w:pPr>
      <w:r>
        <w:rPr>
          <w:rFonts w:hint="eastAsia"/>
          <w:color w:val="auto"/>
        </w:rPr>
        <w:t>22.A06152《资产负债表（适用执行企业会计准则的证券公司）》</w:t>
      </w:r>
    </w:p>
    <w:p>
      <w:pPr>
        <w:ind w:firstLine="471" w:firstLineChars="0"/>
        <w:rPr>
          <w:rFonts w:hint="eastAsia"/>
          <w:color w:val="auto"/>
        </w:rPr>
      </w:pPr>
      <w:r>
        <w:rPr>
          <w:rFonts w:hint="eastAsia"/>
          <w:color w:val="auto"/>
        </w:rPr>
        <w:t>23.A06153《利润表（适用执行企业会计准则的证券公司）》</w:t>
      </w:r>
    </w:p>
    <w:p>
      <w:pPr>
        <w:ind w:firstLine="471" w:firstLineChars="0"/>
        <w:rPr>
          <w:rFonts w:hint="eastAsia"/>
          <w:color w:val="auto"/>
        </w:rPr>
      </w:pPr>
      <w:r>
        <w:rPr>
          <w:rFonts w:hint="eastAsia"/>
          <w:color w:val="auto"/>
        </w:rPr>
        <w:t>24.A06154《现金流量表（适用执行企业会计准则的证券公司）》</w:t>
      </w:r>
    </w:p>
    <w:p>
      <w:pPr>
        <w:ind w:firstLine="471" w:firstLineChars="0"/>
        <w:rPr>
          <w:rFonts w:hint="eastAsia"/>
          <w:color w:val="auto"/>
        </w:rPr>
      </w:pPr>
      <w:r>
        <w:rPr>
          <w:rFonts w:hint="eastAsia"/>
          <w:color w:val="auto"/>
        </w:rPr>
        <w:t>25.A06341《所有者权益变动表（适用执行企业会计准则的证券公司）》</w:t>
      </w:r>
    </w:p>
    <w:p>
      <w:pPr>
        <w:ind w:firstLine="471" w:firstLineChars="0"/>
        <w:rPr>
          <w:rFonts w:hint="eastAsia"/>
          <w:color w:val="auto"/>
        </w:rPr>
      </w:pPr>
      <w:r>
        <w:rPr>
          <w:rFonts w:hint="eastAsia"/>
          <w:color w:val="auto"/>
        </w:rPr>
        <w:t>26.A06811《企业会计准则附注》</w:t>
      </w:r>
    </w:p>
    <w:p>
      <w:pPr>
        <w:keepNext/>
        <w:keepLines/>
        <w:ind w:firstLine="552"/>
        <w:outlineLvl w:val="1"/>
        <w:rPr>
          <w:rFonts w:ascii="Calibri Light" w:hAnsi="Calibri Light" w:eastAsia="黑体"/>
          <w:bCs/>
          <w:color w:val="auto"/>
          <w:sz w:val="28"/>
          <w:szCs w:val="32"/>
        </w:rPr>
      </w:pPr>
      <w:r>
        <w:rPr>
          <w:rFonts w:hint="eastAsia" w:ascii="Calibri Light" w:hAnsi="Calibri Light" w:eastAsia="黑体"/>
          <w:bCs/>
          <w:color w:val="auto"/>
          <w:sz w:val="28"/>
          <w:szCs w:val="32"/>
        </w:rPr>
        <w:t>九、注意事项</w:t>
      </w:r>
    </w:p>
    <w:p>
      <w:pPr>
        <w:ind w:firstLine="472"/>
        <w:rPr>
          <w:rFonts w:hint="eastAsia"/>
          <w:color w:val="auto"/>
        </w:rPr>
      </w:pPr>
      <w:r>
        <w:rPr>
          <w:rFonts w:hint="eastAsia"/>
          <w:color w:val="auto"/>
        </w:rPr>
        <w:t>1.实行定期定额征收增值税、定额征收所得税的纳税人以及实行法定源泉扣缴企业所得税的非居民企业可以不报送财务报表。</w:t>
      </w:r>
    </w:p>
    <w:p>
      <w:pPr>
        <w:ind w:firstLine="472"/>
        <w:rPr>
          <w:rFonts w:hint="eastAsia"/>
          <w:color w:val="auto"/>
        </w:rPr>
      </w:pPr>
      <w:r>
        <w:rPr>
          <w:rFonts w:hint="eastAsia"/>
          <w:color w:val="auto"/>
        </w:rPr>
        <w:t>2.纳税人报送财务报表时，可以报送纸质资料，也可以报送电子信息。</w:t>
      </w:r>
    </w:p>
    <w:p>
      <w:pPr>
        <w:ind w:firstLine="472"/>
        <w:rPr>
          <w:color w:val="auto"/>
        </w:rPr>
      </w:pPr>
      <w:r>
        <w:rPr>
          <w:rFonts w:hint="eastAsia"/>
          <w:color w:val="auto"/>
        </w:rPr>
        <w:t>3.企业所得税纳税人年度汇算清缴时，在年度企业所得税申报期限内报送年度财务会计报表。</w:t>
      </w:r>
    </w:p>
    <w:p>
      <w:pPr>
        <w:ind w:firstLine="472"/>
        <w:rPr>
          <w:color w:val="auto"/>
        </w:rPr>
      </w:pPr>
      <w:r>
        <w:rPr>
          <w:rFonts w:hint="eastAsia"/>
          <w:color w:val="auto"/>
        </w:rPr>
        <w:t>4.纳税人对报送资料的真实性和合法性承担责任。</w:t>
      </w:r>
    </w:p>
    <w:p>
      <w:pPr>
        <w:ind w:firstLine="472"/>
        <w:jc w:val="left"/>
        <w:rPr>
          <w:rFonts w:hint="eastAsia"/>
          <w:color w:val="auto"/>
        </w:rPr>
      </w:pPr>
      <w:r>
        <w:rPr>
          <w:rFonts w:hint="eastAsia"/>
          <w:color w:val="auto"/>
        </w:rPr>
        <w:t>5.最多跑一次是在资料完整且符合法定受理条件的前提下，最多只需要到税务机关跑一次。</w:t>
      </w:r>
    </w:p>
    <w:p>
      <w:pPr>
        <w:ind w:firstLine="472"/>
        <w:jc w:val="left"/>
        <w:rPr>
          <w:rFonts w:hint="eastAsia"/>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keepNext/>
        <w:keepLines/>
        <w:ind w:firstLine="552"/>
        <w:outlineLvl w:val="1"/>
        <w:rPr>
          <w:rFonts w:ascii="Calibri Light" w:hAnsi="Calibri Light" w:eastAsia="黑体"/>
          <w:bCs/>
          <w:color w:val="auto"/>
          <w:sz w:val="28"/>
          <w:szCs w:val="32"/>
        </w:rPr>
      </w:pPr>
      <w:r>
        <w:rPr>
          <w:rFonts w:hint="eastAsia" w:ascii="Calibri Light" w:hAnsi="Calibri Light" w:eastAsia="黑体"/>
          <w:bCs/>
          <w:color w:val="auto"/>
          <w:sz w:val="28"/>
          <w:szCs w:val="32"/>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keepNext/>
        <w:keepLines/>
        <w:ind w:firstLine="552"/>
        <w:outlineLvl w:val="1"/>
        <w:rPr>
          <w:rFonts w:ascii="Calibri Light" w:hAnsi="Calibri Light" w:eastAsia="黑体"/>
          <w:bCs/>
          <w:color w:val="auto"/>
          <w:sz w:val="28"/>
          <w:szCs w:val="32"/>
        </w:rPr>
      </w:pPr>
      <w:r>
        <w:rPr>
          <w:rFonts w:hint="eastAsia" w:ascii="Calibri Light" w:hAnsi="Calibri Light" w:eastAsia="黑体"/>
          <w:bCs/>
          <w:color w:val="auto"/>
          <w:sz w:val="28"/>
          <w:szCs w:val="32"/>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keepNext/>
        <w:keepLines/>
        <w:ind w:firstLine="552"/>
        <w:outlineLvl w:val="1"/>
        <w:rPr>
          <w:rFonts w:hint="eastAsia" w:ascii="Calibri Light" w:hAnsi="Calibri Light" w:eastAsia="黑体"/>
          <w:bCs/>
          <w:color w:val="auto"/>
          <w:sz w:val="28"/>
          <w:szCs w:val="32"/>
        </w:rPr>
      </w:pPr>
      <w:r>
        <w:rPr>
          <w:rFonts w:hint="eastAsia" w:ascii="Calibri Light" w:hAnsi="Calibri Light" w:eastAsia="黑体"/>
          <w:bCs/>
          <w:color w:val="auto"/>
          <w:sz w:val="28"/>
          <w:szCs w:val="32"/>
        </w:rPr>
        <w:t>十二、办理机构</w:t>
      </w:r>
    </w:p>
    <w:p>
      <w:pPr>
        <w:ind w:firstLine="472"/>
        <w:rPr>
          <w:color w:val="auto"/>
        </w:rPr>
      </w:pPr>
      <w:r>
        <w:rPr>
          <w:rFonts w:hint="eastAsia"/>
          <w:color w:val="auto"/>
        </w:rPr>
        <w:t>主管税务机关</w:t>
      </w:r>
    </w:p>
    <w:p>
      <w:pPr>
        <w:keepNext/>
        <w:keepLines/>
        <w:ind w:firstLine="552"/>
        <w:outlineLvl w:val="1"/>
        <w:rPr>
          <w:rFonts w:ascii="Calibri Light" w:hAnsi="Calibri Light" w:eastAsia="黑体"/>
          <w:bCs/>
          <w:color w:val="auto"/>
          <w:sz w:val="28"/>
          <w:szCs w:val="32"/>
        </w:rPr>
      </w:pPr>
      <w:r>
        <w:rPr>
          <w:rFonts w:hint="eastAsia" w:ascii="Calibri Light" w:hAnsi="Calibri Light" w:eastAsia="黑体"/>
          <w:bCs/>
          <w:color w:val="auto"/>
          <w:sz w:val="28"/>
          <w:szCs w:val="32"/>
        </w:rPr>
        <w:t>十三、收费标准</w:t>
      </w:r>
    </w:p>
    <w:p>
      <w:pPr>
        <w:ind w:firstLine="472"/>
        <w:rPr>
          <w:color w:val="auto"/>
        </w:rPr>
      </w:pPr>
      <w:r>
        <w:rPr>
          <w:rFonts w:hint="eastAsia"/>
          <w:color w:val="auto"/>
        </w:rPr>
        <w:t>不收费</w:t>
      </w:r>
    </w:p>
    <w:p>
      <w:pPr>
        <w:keepNext/>
        <w:keepLines/>
        <w:ind w:firstLine="552"/>
        <w:outlineLvl w:val="1"/>
        <w:rPr>
          <w:rFonts w:ascii="Calibri Light" w:hAnsi="Calibri Light" w:eastAsia="黑体"/>
          <w:bCs/>
          <w:color w:val="auto"/>
          <w:sz w:val="28"/>
          <w:szCs w:val="32"/>
        </w:rPr>
      </w:pPr>
      <w:r>
        <w:rPr>
          <w:rFonts w:hint="eastAsia" w:ascii="Calibri Light" w:hAnsi="Calibri Light" w:eastAsia="黑体"/>
          <w:bCs/>
          <w:color w:val="auto"/>
          <w:sz w:val="28"/>
          <w:szCs w:val="32"/>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ind w:firstLine="472"/>
        <w:rPr>
          <w:color w:val="auto"/>
        </w:rPr>
      </w:pPr>
    </w:p>
    <w:p>
      <w:pPr>
        <w:ind w:firstLine="472"/>
        <w:rPr>
          <w:color w:val="auto"/>
        </w:rPr>
      </w:pPr>
    </w:p>
    <w:p>
      <w:pPr>
        <w:rPr>
          <w:color w:val="auto"/>
        </w:rPr>
      </w:pPr>
      <w:r>
        <w:rPr>
          <w:color w:val="auto"/>
        </w:rPr>
        <w:br w:type="page"/>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C620A8D"/>
    <w:multiLevelType w:val="multilevel"/>
    <w:tmpl w:val="4C620A8D"/>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A397F3C"/>
    <w:rsid w:val="4AFF4944"/>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D74134"/>
    <w:rsid w:val="60BB1526"/>
    <w:rsid w:val="60CC3ECE"/>
    <w:rsid w:val="625E5C17"/>
    <w:rsid w:val="62B70711"/>
    <w:rsid w:val="637642DB"/>
    <w:rsid w:val="64030575"/>
    <w:rsid w:val="64805E15"/>
    <w:rsid w:val="65EC4BB9"/>
    <w:rsid w:val="663441E6"/>
    <w:rsid w:val="66695C8C"/>
    <w:rsid w:val="67AB76AD"/>
    <w:rsid w:val="680A0C49"/>
    <w:rsid w:val="695D302A"/>
    <w:rsid w:val="6A635B94"/>
    <w:rsid w:val="6AD13263"/>
    <w:rsid w:val="6BE43543"/>
    <w:rsid w:val="6D0B62B6"/>
    <w:rsid w:val="6D1A3B55"/>
    <w:rsid w:val="6DAA4EC2"/>
    <w:rsid w:val="6DEC482F"/>
    <w:rsid w:val="6E254F50"/>
    <w:rsid w:val="6F025CB3"/>
    <w:rsid w:val="6F373310"/>
    <w:rsid w:val="70E3452D"/>
    <w:rsid w:val="711A24A9"/>
    <w:rsid w:val="724C02BE"/>
    <w:rsid w:val="72826A79"/>
    <w:rsid w:val="72A53297"/>
    <w:rsid w:val="75674E1E"/>
    <w:rsid w:val="75F923A2"/>
    <w:rsid w:val="76305414"/>
    <w:rsid w:val="76326672"/>
    <w:rsid w:val="76B7766F"/>
    <w:rsid w:val="76E532E0"/>
    <w:rsid w:val="77B525D6"/>
    <w:rsid w:val="78F309B0"/>
    <w:rsid w:val="79263D87"/>
    <w:rsid w:val="7B4C788A"/>
    <w:rsid w:val="7B7B1562"/>
    <w:rsid w:val="7BDA17C2"/>
    <w:rsid w:val="7BFC5873"/>
    <w:rsid w:val="7C393271"/>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3"/>
    <w:qFormat/>
    <w:uiPriority w:val="0"/>
    <w:rPr>
      <w:sz w:val="18"/>
      <w:szCs w:val="18"/>
    </w:rPr>
  </w:style>
  <w:style w:type="paragraph" w:styleId="7">
    <w:name w:val="annotation text"/>
    <w:basedOn w:val="1"/>
    <w:link w:val="79"/>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qFormat/>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2019-11-01T01:12:51Z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