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2154"/>
      <w:r>
        <w:rPr>
          <w:rFonts w:hint="eastAsia" w:ascii="黑体" w:hAnsi="黑体"/>
          <w:color w:val="auto"/>
        </w:rPr>
        <w:t>2.5.1.4增值税即征即退办理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增值税即征即退办理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w:t>
      </w:r>
      <w:r>
        <w:rPr>
          <w:rFonts w:hint="eastAsia"/>
          <w:color w:val="auto"/>
          <w:lang w:eastAsia="zh-CN"/>
        </w:rPr>
        <w:t>限时办结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left="0" w:leftChars="0" w:firstLine="472" w:firstLineChars="200"/>
        <w:rPr>
          <w:rFonts w:hint="eastAsia"/>
          <w:color w:val="auto"/>
        </w:rPr>
      </w:pPr>
      <w:r>
        <w:rPr>
          <w:rFonts w:hint="eastAsia"/>
          <w:color w:val="auto"/>
        </w:rPr>
        <w:t>增值税即征即退，按规定缴纳的税款，由税务机关征收入库后，再由税务机关按规定的程序给予部分或全部退税已纳税款。符合增值税即征即退受理条件的业务包括：促进残疾人就业限额即征即退；资源综合利用即征即退；软件产品（包括动漫软件）超税负退税；管道运输企业超税负退税；符合条件的有形动产融资租赁服务超税负退税；飞机维修劳务增值税即征即退；大型水电企业增值税超税负即征即退；光伏发电增值税即征即退和黄金、铂金及铂金制品增值税即征即退；新型墙体材料即征即退；风力发电即征即退。</w:t>
      </w:r>
    </w:p>
    <w:p>
      <w:pPr>
        <w:ind w:firstLine="472"/>
        <w:rPr>
          <w:rFonts w:hint="eastAsia"/>
          <w:color w:val="auto"/>
        </w:rPr>
      </w:pPr>
      <w:r>
        <w:rPr>
          <w:rFonts w:hint="eastAsia"/>
          <w:color w:val="auto"/>
        </w:rPr>
        <w:t>1.促进残疾人就业限额即征即退：适用于生产销售货物，提供加工、修理修配劳务，以及提供营改增现代服务和生活服务税目（不含文化体育服务和娱乐服务）范围的服务取得的收入之和，占其增值税收入的比例达到50%的纳税人，但不适用于上述纳税人直接销售外购货物（包括商品批发和零售）以及销售委托加工的货物取得的收入。</w:t>
      </w:r>
    </w:p>
    <w:p>
      <w:pPr>
        <w:ind w:firstLine="472"/>
        <w:rPr>
          <w:rFonts w:hint="eastAsia"/>
          <w:color w:val="auto"/>
        </w:rPr>
      </w:pPr>
      <w:r>
        <w:rPr>
          <w:rFonts w:hint="eastAsia"/>
          <w:color w:val="auto"/>
        </w:rPr>
        <w:t>减免性质代码：01012701（有效期起：2007年7月1日）、01012706（有效期起：2014年1月1日，有效期止：2016年4月30日）</w:t>
      </w:r>
    </w:p>
    <w:p>
      <w:pPr>
        <w:ind w:firstLine="472"/>
        <w:rPr>
          <w:rFonts w:hint="eastAsia"/>
          <w:color w:val="auto"/>
        </w:rPr>
      </w:pPr>
      <w:r>
        <w:rPr>
          <w:rFonts w:hint="eastAsia"/>
          <w:color w:val="auto"/>
        </w:rPr>
        <w:t>2.资源综合利用即征即退：符合资源综合利用税收优惠有关税收政策规定的条件的纳税人，依照法律、行政法规的规定向主管税务机关提出享受增值税即征即退税收优惠的书面申请。</w:t>
      </w:r>
    </w:p>
    <w:p>
      <w:pPr>
        <w:ind w:firstLine="472"/>
        <w:rPr>
          <w:rFonts w:hint="eastAsia"/>
          <w:color w:val="auto"/>
        </w:rPr>
      </w:pPr>
      <w:r>
        <w:rPr>
          <w:rFonts w:hint="eastAsia"/>
          <w:color w:val="auto"/>
        </w:rPr>
        <w:t>减免性质代码：01064019（有效期起：2015年7月1日）</w:t>
      </w:r>
    </w:p>
    <w:p>
      <w:pPr>
        <w:ind w:firstLine="472"/>
        <w:rPr>
          <w:rFonts w:hint="eastAsia"/>
          <w:color w:val="auto"/>
        </w:rPr>
      </w:pPr>
      <w:r>
        <w:rPr>
          <w:rFonts w:hint="eastAsia"/>
          <w:color w:val="auto"/>
        </w:rPr>
        <w:t>3.软件产品超税负退税：符合有关文件规定的条件，具备享受软件产品增值税即征即退优惠政策资格的软件企业以及视同软件企业的集成电路设计企业依照法律、行政法规的规定向主管税务机关提出享受增值税即征即退税收优惠的书面申请。</w:t>
      </w:r>
    </w:p>
    <w:p>
      <w:pPr>
        <w:ind w:firstLine="472"/>
        <w:rPr>
          <w:rFonts w:hint="eastAsia"/>
          <w:color w:val="auto"/>
        </w:rPr>
      </w:pPr>
      <w:r>
        <w:rPr>
          <w:rFonts w:hint="eastAsia"/>
          <w:color w:val="auto"/>
        </w:rPr>
        <w:t>减免性质代码：01024103（有效期起：2011年1月1日）</w:t>
      </w:r>
    </w:p>
    <w:p>
      <w:pPr>
        <w:ind w:firstLine="472"/>
        <w:rPr>
          <w:rFonts w:hint="eastAsia"/>
          <w:color w:val="auto"/>
        </w:rPr>
      </w:pPr>
      <w:r>
        <w:rPr>
          <w:rFonts w:hint="eastAsia"/>
          <w:color w:val="auto"/>
        </w:rPr>
        <w:t>4.管道运输企业超税负退税：符合条件的从事管道运输服务业务的一般纳税人，依照法律、行政法规的规定向主管税务机关提出享受增值税即征即退税收优惠的书面申请。</w:t>
      </w:r>
    </w:p>
    <w:p>
      <w:pPr>
        <w:ind w:firstLine="472"/>
        <w:rPr>
          <w:rFonts w:hint="eastAsia"/>
          <w:color w:val="auto"/>
        </w:rPr>
      </w:pPr>
      <w:r>
        <w:rPr>
          <w:rFonts w:hint="eastAsia"/>
          <w:color w:val="auto"/>
        </w:rPr>
        <w:t>减免性质代码：01121309（有效期起：2014年1月1日，有效期止：2015年12月31日）、01121311（有效期起：2016年5月1日）</w:t>
      </w:r>
    </w:p>
    <w:p>
      <w:pPr>
        <w:ind w:firstLine="472"/>
        <w:rPr>
          <w:rFonts w:hint="eastAsia"/>
          <w:color w:val="auto"/>
        </w:rPr>
      </w:pPr>
      <w:r>
        <w:rPr>
          <w:rFonts w:hint="eastAsia"/>
          <w:color w:val="auto"/>
        </w:rPr>
        <w:t>5.符合条件的有形动产融资租赁服务超税负退税：在经营中符合条件，有形动产融资租赁服务业务的一般纳税人，依照法律、行政法规的规定向主管税务机关提出享受增值税即征即退税收优惠的书面申请。</w:t>
      </w:r>
    </w:p>
    <w:p>
      <w:pPr>
        <w:ind w:firstLine="472"/>
        <w:rPr>
          <w:rFonts w:hint="eastAsia"/>
          <w:color w:val="auto"/>
        </w:rPr>
      </w:pPr>
      <w:r>
        <w:rPr>
          <w:rFonts w:hint="eastAsia"/>
          <w:color w:val="auto"/>
        </w:rPr>
        <w:t>减免性质代码：01083910（有效期起：2014年1月1日，有效期止：2016年4月30日）、01083916（有效期起：2016年5月1日）</w:t>
      </w:r>
    </w:p>
    <w:p>
      <w:pPr>
        <w:ind w:firstLine="472"/>
        <w:rPr>
          <w:rFonts w:hint="eastAsia"/>
          <w:color w:val="auto"/>
        </w:rPr>
      </w:pPr>
      <w:r>
        <w:rPr>
          <w:rFonts w:hint="eastAsia"/>
          <w:color w:val="auto"/>
        </w:rPr>
        <w:t>6.飞机维修劳务增值税即征即退：对飞机维修劳务增值税实际税负超过6%的部分实行即征即退政策。</w:t>
      </w:r>
    </w:p>
    <w:p>
      <w:pPr>
        <w:ind w:firstLine="472"/>
        <w:rPr>
          <w:rFonts w:hint="eastAsia"/>
          <w:color w:val="auto"/>
        </w:rPr>
      </w:pPr>
      <w:r>
        <w:rPr>
          <w:rFonts w:hint="eastAsia"/>
          <w:color w:val="auto"/>
        </w:rPr>
        <w:t>减免性质代码：01120401（有效期起：2000年1月1日）</w:t>
      </w:r>
    </w:p>
    <w:p>
      <w:pPr>
        <w:ind w:firstLine="472"/>
        <w:rPr>
          <w:rFonts w:hint="eastAsia"/>
          <w:color w:val="auto"/>
        </w:rPr>
      </w:pPr>
      <w:r>
        <w:rPr>
          <w:rFonts w:hint="eastAsia"/>
          <w:color w:val="auto"/>
        </w:rPr>
        <w:t>7.光伏发电增值税即征即退：自2013年10月2015年12月31日，对纳税人销售自产的利用太阳能生产的电力产品，实行即征即退50%优惠政策。</w:t>
      </w:r>
    </w:p>
    <w:p>
      <w:pPr>
        <w:ind w:firstLine="472"/>
        <w:rPr>
          <w:rFonts w:hint="eastAsia"/>
          <w:color w:val="auto"/>
        </w:rPr>
      </w:pPr>
      <w:r>
        <w:rPr>
          <w:rFonts w:hint="eastAsia"/>
          <w:color w:val="auto"/>
        </w:rPr>
        <w:t>减免性质代码：01021902（有效期起：2013年10月1日，有效期止：2015年12月31日）</w:t>
      </w:r>
    </w:p>
    <w:p>
      <w:pPr>
        <w:ind w:firstLine="472"/>
        <w:rPr>
          <w:rFonts w:hint="eastAsia"/>
          <w:color w:val="auto"/>
        </w:rPr>
      </w:pPr>
      <w:r>
        <w:rPr>
          <w:rFonts w:hint="eastAsia"/>
          <w:color w:val="auto"/>
        </w:rPr>
        <w:t>8.黄金、铂金及铂金制品增值税即征即退：对黄金、铂金及铂金制品实行即征即退优惠政策。</w:t>
      </w:r>
    </w:p>
    <w:p>
      <w:pPr>
        <w:ind w:firstLine="472"/>
        <w:rPr>
          <w:rFonts w:hint="eastAsia"/>
          <w:color w:val="auto"/>
        </w:rPr>
      </w:pPr>
      <w:r>
        <w:rPr>
          <w:rFonts w:hint="eastAsia"/>
          <w:color w:val="auto"/>
        </w:rPr>
        <w:t>减免性质代码：01129901（有效期起：2003年5月1日）</w:t>
      </w:r>
    </w:p>
    <w:p>
      <w:pPr>
        <w:ind w:firstLine="472"/>
        <w:rPr>
          <w:rFonts w:hint="eastAsia"/>
          <w:color w:val="auto"/>
        </w:rPr>
      </w:pPr>
      <w:r>
        <w:rPr>
          <w:rFonts w:hint="eastAsia"/>
          <w:color w:val="auto"/>
        </w:rPr>
        <w:t>9.新型墙体材料即征即退：对纳税人销售自产的列入《享受增值税即征即退政策的新型墙体材料目录》的新型墙体材料，实行增值税即征即退50%的政策。</w:t>
      </w:r>
    </w:p>
    <w:p>
      <w:pPr>
        <w:ind w:firstLine="472"/>
        <w:rPr>
          <w:rFonts w:hint="eastAsia"/>
          <w:color w:val="auto"/>
        </w:rPr>
      </w:pPr>
      <w:r>
        <w:rPr>
          <w:rFonts w:hint="eastAsia"/>
          <w:color w:val="auto"/>
        </w:rPr>
        <w:t>减免性质代码：01064017（有效期起：2015年7月1日）</w:t>
      </w:r>
    </w:p>
    <w:p>
      <w:pPr>
        <w:ind w:firstLine="472"/>
        <w:rPr>
          <w:rFonts w:hint="eastAsia"/>
          <w:color w:val="auto"/>
        </w:rPr>
      </w:pPr>
      <w:r>
        <w:rPr>
          <w:rFonts w:hint="eastAsia"/>
          <w:color w:val="auto"/>
        </w:rPr>
        <w:t>10.风力发电即征即退：自2015年7月1日起，对纳税人销售自产的利用风力生产的电力产品，实行增值税即征即退50%的政策。</w:t>
      </w:r>
    </w:p>
    <w:p>
      <w:pPr>
        <w:ind w:firstLine="472"/>
        <w:rPr>
          <w:rFonts w:hint="eastAsia"/>
          <w:color w:val="auto"/>
        </w:rPr>
      </w:pPr>
      <w:r>
        <w:rPr>
          <w:rFonts w:hint="eastAsia"/>
          <w:color w:val="auto"/>
        </w:rPr>
        <w:t>减免性质代码：01064018（有效期起：2015年7月1日）</w:t>
      </w:r>
    </w:p>
    <w:p>
      <w:pPr>
        <w:ind w:firstLine="472"/>
        <w:rPr>
          <w:rFonts w:hint="eastAsia"/>
          <w:color w:val="auto"/>
        </w:rPr>
      </w:pPr>
      <w:r>
        <w:rPr>
          <w:rFonts w:hint="eastAsia"/>
          <w:color w:val="auto"/>
        </w:rPr>
        <w:t>11.黄金期货交易即征即退：上海期货交易所会员和客户通过上海期货交易所销售标准黄金（持上海期货交易所开具的《黄金结算专用发票》），发生实物交割并已出库的，实行增值税即征即退政策。</w:t>
      </w:r>
    </w:p>
    <w:p>
      <w:pPr>
        <w:ind w:firstLine="472"/>
        <w:rPr>
          <w:color w:val="auto"/>
        </w:rPr>
      </w:pPr>
      <w:r>
        <w:rPr>
          <w:rFonts w:hint="eastAsia"/>
          <w:color w:val="auto"/>
        </w:rPr>
        <w:t>减免性质代码：01081520（有效期起：2008年1月1日））</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促进残疾人就业限额即征即退政策依据：</w:t>
      </w:r>
    </w:p>
    <w:p>
      <w:pPr>
        <w:numPr>
          <w:ilvl w:val="0"/>
          <w:numId w:val="4"/>
        </w:numPr>
        <w:ind w:firstLine="472"/>
        <w:rPr>
          <w:rFonts w:hint="eastAsia"/>
          <w:color w:val="auto"/>
        </w:rPr>
      </w:pPr>
      <w:r>
        <w:rPr>
          <w:rFonts w:hint="eastAsia"/>
          <w:color w:val="auto"/>
        </w:rPr>
        <w:t>《财政部国家税务总局关于教育税收政策的通知》（财税2004年第39号）第一条第7项</w:t>
      </w:r>
    </w:p>
    <w:p>
      <w:pPr>
        <w:numPr>
          <w:ilvl w:val="0"/>
          <w:numId w:val="0"/>
        </w:numPr>
        <w:ind w:firstLine="472" w:firstLineChars="200"/>
        <w:rPr>
          <w:rFonts w:hint="eastAsia" w:eastAsia="宋体"/>
          <w:color w:val="auto"/>
          <w:lang w:eastAsia="zh-CN"/>
        </w:rPr>
      </w:pPr>
      <w:r>
        <w:rPr>
          <w:rFonts w:hint="eastAsia"/>
          <w:color w:val="auto"/>
          <w:lang w:eastAsia="zh-CN"/>
        </w:rPr>
        <w:t>“对特殊教育学校举办的企业可以比照福利企业标准，享受国家对福利企业实行的增值税和企业所得税优惠政策。”</w:t>
      </w:r>
    </w:p>
    <w:p>
      <w:pPr>
        <w:ind w:firstLine="472"/>
        <w:rPr>
          <w:rFonts w:hint="eastAsia" w:eastAsia="宋体"/>
          <w:color w:val="auto"/>
          <w:lang w:eastAsia="zh-CN"/>
        </w:rPr>
      </w:pPr>
      <w:r>
        <w:rPr>
          <w:rFonts w:hint="eastAsia"/>
          <w:color w:val="auto"/>
        </w:rPr>
        <w:t>2.《国家税务总局关于安置残疾人单位是否可以同时享受多项增值税优惠政策问题的公告》（国家税务总局公告2011年第61号）全文</w:t>
      </w:r>
    </w:p>
    <w:p>
      <w:pPr>
        <w:ind w:firstLine="472"/>
        <w:rPr>
          <w:rFonts w:hint="eastAsia"/>
          <w:color w:val="auto"/>
        </w:rPr>
      </w:pPr>
      <w:r>
        <w:rPr>
          <w:rFonts w:hint="eastAsia"/>
          <w:color w:val="auto"/>
        </w:rPr>
        <w:t>3.《国家税务总局关于促进残疾人就业增值税优惠政策有关问题的公告》（国家税务总局公告2013年第73号）全文</w:t>
      </w:r>
    </w:p>
    <w:p>
      <w:pPr>
        <w:ind w:firstLine="472"/>
        <w:rPr>
          <w:rFonts w:hint="eastAsia" w:eastAsia="宋体"/>
          <w:color w:val="auto"/>
          <w:lang w:eastAsia="zh-CN"/>
        </w:rPr>
      </w:pPr>
      <w:r>
        <w:rPr>
          <w:rFonts w:hint="eastAsia"/>
          <w:color w:val="auto"/>
        </w:rPr>
        <w:t>4.《国家税务总局关于促进残疾人就业税收优惠政策相关问题的公告》（国家税务总局公告2015年第55号）全文</w:t>
      </w:r>
    </w:p>
    <w:p>
      <w:pPr>
        <w:keepNext w:val="0"/>
        <w:keepLines w:val="0"/>
        <w:pageBreakBefore w:val="0"/>
        <w:widowControl w:val="0"/>
        <w:kinsoku/>
        <w:wordWrap/>
        <w:overflowPunct/>
        <w:topLinePunct w:val="0"/>
        <w:autoSpaceDE/>
        <w:autoSpaceDN/>
        <w:bidi w:val="0"/>
        <w:adjustRightInd/>
        <w:snapToGrid/>
        <w:spacing w:line="578" w:lineRule="exact"/>
        <w:ind w:firstLine="472"/>
        <w:jc w:val="both"/>
        <w:textAlignment w:val="auto"/>
        <w:rPr>
          <w:rFonts w:hint="eastAsia" w:eastAsia="宋体"/>
          <w:color w:val="auto"/>
          <w:lang w:eastAsia="zh-CN"/>
        </w:rPr>
      </w:pPr>
      <w:r>
        <w:rPr>
          <w:rFonts w:hint="eastAsia"/>
          <w:color w:val="auto"/>
        </w:rPr>
        <w:t>5.《财政部国家税务总局关于促进残疾人就业增值税优惠政策的通知》（财税2016年第52号）</w:t>
      </w:r>
      <w:r>
        <w:rPr>
          <w:rFonts w:hint="eastAsia"/>
          <w:color w:val="auto"/>
          <w:lang w:eastAsia="zh-CN"/>
        </w:rPr>
        <w:t>全文</w:t>
      </w:r>
    </w:p>
    <w:p>
      <w:pPr>
        <w:ind w:firstLine="472"/>
        <w:rPr>
          <w:rFonts w:hint="eastAsia"/>
          <w:color w:val="auto"/>
        </w:rPr>
      </w:pPr>
      <w:r>
        <w:rPr>
          <w:rFonts w:hint="eastAsia"/>
          <w:color w:val="auto"/>
        </w:rPr>
        <w:t>6.《国家税务总局关于发布促进残疾人就业增值税优惠政策管理办法的公告》（国家税务总局公告2016年第33号）全文</w:t>
      </w:r>
    </w:p>
    <w:p>
      <w:pPr>
        <w:ind w:firstLine="472"/>
        <w:rPr>
          <w:rFonts w:hint="eastAsia" w:eastAsia="宋体"/>
          <w:color w:val="auto"/>
          <w:lang w:eastAsia="zh-CN"/>
        </w:rPr>
      </w:pPr>
      <w:r>
        <w:rPr>
          <w:rFonts w:hint="eastAsia"/>
          <w:color w:val="auto"/>
        </w:rPr>
        <w:t>资源综合利用即征即退政策依据：</w:t>
      </w:r>
    </w:p>
    <w:p>
      <w:pPr>
        <w:ind w:firstLine="472"/>
        <w:rPr>
          <w:rFonts w:hint="eastAsia"/>
          <w:color w:val="auto"/>
        </w:rPr>
      </w:pPr>
      <w:r>
        <w:rPr>
          <w:rFonts w:hint="eastAsia"/>
          <w:color w:val="auto"/>
        </w:rPr>
        <w:t>《财政部国家税务总局关于印发《资源综合利用产品和劳务增值税优惠目录》的通知》（财税2015年第78号）全文</w:t>
      </w:r>
    </w:p>
    <w:p>
      <w:pPr>
        <w:ind w:firstLine="472"/>
        <w:rPr>
          <w:rFonts w:hint="eastAsia" w:eastAsia="宋体"/>
          <w:color w:val="auto"/>
          <w:lang w:eastAsia="zh-CN"/>
        </w:rPr>
      </w:pPr>
      <w:r>
        <w:rPr>
          <w:rFonts w:hint="eastAsia"/>
          <w:color w:val="auto"/>
        </w:rPr>
        <w:t>软件产品超税负退税政策依据：</w:t>
      </w:r>
    </w:p>
    <w:p>
      <w:pPr>
        <w:numPr>
          <w:ilvl w:val="0"/>
          <w:numId w:val="5"/>
        </w:numPr>
        <w:ind w:firstLine="472"/>
        <w:rPr>
          <w:rFonts w:hint="eastAsia"/>
          <w:color w:val="auto"/>
        </w:rPr>
      </w:pPr>
      <w:r>
        <w:rPr>
          <w:rFonts w:hint="eastAsia"/>
          <w:color w:val="auto"/>
        </w:rPr>
        <w:t>《财政部国家税务总局关于增值税若干政策的通知》（财税2005年165号）第十一条第（二）款</w:t>
      </w:r>
    </w:p>
    <w:p>
      <w:pPr>
        <w:numPr>
          <w:ilvl w:val="0"/>
          <w:numId w:val="0"/>
        </w:numPr>
        <w:rPr>
          <w:rFonts w:hint="default" w:eastAsia="宋体"/>
          <w:color w:val="auto"/>
          <w:lang w:val="en-US" w:eastAsia="zh-CN"/>
        </w:rPr>
      </w:pPr>
      <w:r>
        <w:rPr>
          <w:rFonts w:hint="eastAsia"/>
          <w:color w:val="auto"/>
          <w:lang w:val="en-US" w:eastAsia="zh-CN"/>
        </w:rPr>
        <w:t>“纳税人销售软件产品并随同销售一并收取的软件安装费、维护费、培训费等收入，应按照增值税混合销售的有关规定征收增值税，并可享受软件产品增值税即征即退政策。对软件产品交付使用后，按期或按次收取的维护、技术服务费、培训费等不征收增值税。”</w:t>
      </w:r>
    </w:p>
    <w:p>
      <w:pPr>
        <w:ind w:firstLine="472"/>
        <w:rPr>
          <w:rFonts w:hint="eastAsia" w:eastAsia="宋体"/>
          <w:color w:val="auto"/>
          <w:lang w:eastAsia="zh-CN"/>
        </w:rPr>
      </w:pPr>
      <w:r>
        <w:rPr>
          <w:rFonts w:hint="eastAsia"/>
          <w:color w:val="auto"/>
        </w:rPr>
        <w:t>2.《财政部国家税务总局关于软件产品增值税政策的通知》（财税2011年第100号）全文</w:t>
      </w:r>
    </w:p>
    <w:p>
      <w:pPr>
        <w:ind w:firstLine="472"/>
        <w:rPr>
          <w:rFonts w:hint="eastAsia" w:eastAsia="宋体"/>
          <w:color w:val="auto"/>
          <w:lang w:eastAsia="zh-CN"/>
        </w:rPr>
      </w:pPr>
      <w:r>
        <w:rPr>
          <w:rFonts w:hint="eastAsia"/>
          <w:color w:val="auto"/>
        </w:rPr>
        <w:t>管道运输企业超税负退税政策依据：</w:t>
      </w:r>
    </w:p>
    <w:p>
      <w:pPr>
        <w:numPr>
          <w:ilvl w:val="0"/>
          <w:numId w:val="0"/>
        </w:numPr>
        <w:ind w:firstLine="472" w:firstLineChars="200"/>
        <w:rPr>
          <w:rFonts w:hint="eastAsia" w:eastAsia="宋体"/>
          <w:color w:val="auto"/>
          <w:lang w:eastAsia="zh-CN"/>
        </w:rPr>
      </w:pPr>
      <w:r>
        <w:rPr>
          <w:rFonts w:hint="eastAsia"/>
          <w:color w:val="auto"/>
          <w:lang w:val="en-US" w:eastAsia="zh-CN"/>
        </w:rPr>
        <w:t>1.</w:t>
      </w:r>
      <w:r>
        <w:rPr>
          <w:rFonts w:hint="eastAsia"/>
          <w:color w:val="auto"/>
        </w:rPr>
        <w:t>《财政部国家税务总局关于进一步明确全面推开营改增试点有关劳务派遣服务、收费公路通行费抵扣等政策的通知》（财税2016年第47号）第三条第（四）项</w:t>
      </w:r>
    </w:p>
    <w:p>
      <w:pPr>
        <w:numPr>
          <w:ilvl w:val="0"/>
          <w:numId w:val="0"/>
        </w:numPr>
        <w:rPr>
          <w:rFonts w:hint="default" w:eastAsia="宋体"/>
          <w:color w:val="auto"/>
          <w:lang w:val="en-US" w:eastAsia="zh-CN"/>
        </w:rPr>
      </w:pPr>
      <w:r>
        <w:rPr>
          <w:rFonts w:hint="eastAsia"/>
          <w:color w:val="auto"/>
          <w:lang w:val="en-US" w:eastAsia="zh-CN"/>
        </w:rPr>
        <w:t>“一般纳税人提供管道运输服务和有形动产融资租赁服务，按照《营业税改征增值税试点过渡政策的规定》（财税〔2013〕106号）第二条有关规定适用的增值税实际税负超过3%部分即征即退政策。”</w:t>
      </w:r>
    </w:p>
    <w:p>
      <w:pPr>
        <w:numPr>
          <w:ilvl w:val="0"/>
          <w:numId w:val="0"/>
        </w:numPr>
        <w:ind w:firstLine="472" w:firstLineChars="200"/>
        <w:rPr>
          <w:rFonts w:hint="eastAsia" w:eastAsia="宋体"/>
          <w:color w:val="auto"/>
          <w:lang w:eastAsia="zh-CN"/>
        </w:rPr>
      </w:pPr>
      <w:r>
        <w:rPr>
          <w:rFonts w:hint="eastAsia"/>
          <w:color w:val="auto"/>
          <w:lang w:val="en-US" w:eastAsia="zh-CN"/>
        </w:rPr>
        <w:t>2.</w:t>
      </w:r>
      <w:r>
        <w:rPr>
          <w:rFonts w:hint="eastAsia"/>
          <w:color w:val="auto"/>
        </w:rPr>
        <w:t>《财政部国家税务总局关于全面推开营业税改征增值税试点的通知》（财税2016年第36号）附件3第二条第一款</w:t>
      </w:r>
    </w:p>
    <w:p>
      <w:pPr>
        <w:numPr>
          <w:ilvl w:val="0"/>
          <w:numId w:val="0"/>
        </w:numPr>
        <w:rPr>
          <w:rFonts w:hint="default" w:eastAsia="宋体"/>
          <w:color w:val="auto"/>
          <w:lang w:val="en-US" w:eastAsia="zh-CN"/>
        </w:rPr>
      </w:pPr>
      <w:r>
        <w:rPr>
          <w:rFonts w:hint="eastAsia"/>
          <w:color w:val="auto"/>
          <w:lang w:val="en-US" w:eastAsia="zh-CN"/>
        </w:rPr>
        <w:t>“一般纳税人提供管道运输服务，对其增值税实际税负超过3%的部分实行增值税即征即退政策。”</w:t>
      </w:r>
    </w:p>
    <w:p>
      <w:pPr>
        <w:ind w:firstLine="472"/>
        <w:rPr>
          <w:rFonts w:hint="eastAsia"/>
          <w:color w:val="auto"/>
        </w:rPr>
      </w:pPr>
      <w:r>
        <w:rPr>
          <w:rFonts w:hint="eastAsia"/>
          <w:color w:val="auto"/>
        </w:rPr>
        <w:t>符合条件的有形动产融资租赁服务超税负退税政策依据：</w:t>
      </w:r>
    </w:p>
    <w:p>
      <w:pPr>
        <w:ind w:firstLine="472"/>
        <w:rPr>
          <w:rFonts w:hint="eastAsia"/>
          <w:color w:val="auto"/>
          <w:lang w:val="en-US" w:eastAsia="zh-CN"/>
        </w:rPr>
      </w:pPr>
      <w:r>
        <w:rPr>
          <w:rFonts w:hint="eastAsia"/>
          <w:color w:val="auto"/>
          <w:lang w:val="en-US" w:eastAsia="zh-CN"/>
        </w:rPr>
        <w:t>1.《财政部国家税务总局关于进一步明确全面推开营改增试点有关劳务派遣服务、收费公路通行费抵扣等政策的通知》（财税2016年第47号）第三条（四）</w:t>
      </w:r>
    </w:p>
    <w:p>
      <w:pPr>
        <w:numPr>
          <w:ilvl w:val="0"/>
          <w:numId w:val="0"/>
        </w:numPr>
        <w:rPr>
          <w:rFonts w:hint="default"/>
          <w:color w:val="auto"/>
          <w:lang w:val="en-US" w:eastAsia="zh-CN"/>
        </w:rPr>
      </w:pPr>
      <w:r>
        <w:rPr>
          <w:rFonts w:hint="eastAsia"/>
          <w:color w:val="auto"/>
          <w:lang w:val="en-US" w:eastAsia="zh-CN"/>
        </w:rPr>
        <w:t>“一般纳税人提供管道运输服务和有形动产融资租赁服务，按照《营业税改征增值税试点过渡政策的规定》（财税〔2013〕106号）第二条有关规定适用的增值税实际税负超过3%部分即征即退政策。”</w:t>
      </w:r>
    </w:p>
    <w:p>
      <w:pPr>
        <w:numPr>
          <w:ilvl w:val="0"/>
          <w:numId w:val="0"/>
        </w:numPr>
        <w:ind w:firstLine="472" w:firstLineChars="200"/>
        <w:rPr>
          <w:rFonts w:hint="eastAsia"/>
          <w:color w:val="auto"/>
          <w:lang w:val="en-US" w:eastAsia="zh-CN"/>
        </w:rPr>
      </w:pPr>
      <w:r>
        <w:rPr>
          <w:rFonts w:hint="eastAsia"/>
          <w:color w:val="auto"/>
          <w:lang w:val="en-US" w:eastAsia="zh-CN"/>
        </w:rPr>
        <w:t>2.《财政部国家税务总局关于全面推开营业税改征增值税试点的通知》（财税2016年第36号）附件3第二条第二款</w:t>
      </w:r>
    </w:p>
    <w:p>
      <w:pPr>
        <w:numPr>
          <w:ilvl w:val="0"/>
          <w:numId w:val="0"/>
        </w:numPr>
        <w:rPr>
          <w:rFonts w:hint="eastAsia"/>
          <w:color w:val="auto"/>
          <w:lang w:val="en-US" w:eastAsia="zh-CN"/>
        </w:rPr>
      </w:pPr>
      <w:r>
        <w:rPr>
          <w:rFonts w:hint="eastAsia"/>
          <w:color w:val="auto"/>
          <w:lang w:val="en-US" w:eastAsia="zh-CN"/>
        </w:rPr>
        <w:t>“经人民银行、银监会或者商务部批准从事融资租赁业务的试点纳税人中的一般纳税人，提供有形动产融资租赁服务和有形动产融资性售后回租服务，对其增值税实际税负超过3%的部分实行增值税即征即退政策。商务部授权的省级商务主管部门和国家经济技术开发区批准的从事融资租赁业务和融资性售后回租业务的试点纳税人中的一般纳税人，2016年5月1日后实收资本达到1.7亿元的，从达到标准的当月起按照上述规定执行；2016年5月1日后实收资本未达到1.7亿元但注册资本达到1.7亿元的，在2016年7月31日前仍可按照上述规定执行，2016年8月1日后开展的有形动产融资租赁业务和有形动产融资性售后回租业务不得按照上述规定执行。”</w:t>
      </w:r>
    </w:p>
    <w:p>
      <w:pPr>
        <w:ind w:firstLine="472"/>
        <w:jc w:val="both"/>
        <w:rPr>
          <w:rFonts w:hint="eastAsia"/>
          <w:color w:val="auto"/>
        </w:rPr>
      </w:pPr>
      <w:r>
        <w:rPr>
          <w:rFonts w:hint="eastAsia"/>
          <w:color w:val="auto"/>
        </w:rPr>
        <w:t>飞机维修劳务增值税即征即退政策依据：</w:t>
      </w:r>
    </w:p>
    <w:p>
      <w:pPr>
        <w:ind w:firstLine="472"/>
        <w:jc w:val="both"/>
        <w:rPr>
          <w:rFonts w:hint="eastAsia"/>
          <w:color w:val="auto"/>
        </w:rPr>
      </w:pPr>
      <w:r>
        <w:rPr>
          <w:rFonts w:hint="eastAsia"/>
          <w:color w:val="auto"/>
        </w:rPr>
        <w:t>《财政部国家税务总局关于飞机维修增值税问题的通知》（财税2000年第102号）全文</w:t>
      </w:r>
    </w:p>
    <w:p>
      <w:pPr>
        <w:ind w:firstLine="472"/>
        <w:rPr>
          <w:rFonts w:hint="eastAsia" w:eastAsia="宋体"/>
          <w:color w:val="auto"/>
          <w:lang w:eastAsia="zh-CN"/>
        </w:rPr>
      </w:pPr>
      <w:r>
        <w:rPr>
          <w:rFonts w:hint="eastAsia"/>
          <w:color w:val="auto"/>
        </w:rPr>
        <w:t>光伏发电增值税即征即退政策依据：</w:t>
      </w:r>
    </w:p>
    <w:p>
      <w:pPr>
        <w:ind w:firstLine="472"/>
        <w:rPr>
          <w:rFonts w:hint="eastAsia"/>
          <w:color w:val="auto"/>
        </w:rPr>
      </w:pPr>
      <w:r>
        <w:rPr>
          <w:rFonts w:hint="eastAsia"/>
          <w:color w:val="auto"/>
        </w:rPr>
        <w:t>1.《财政部国家税务总局关于光伏发电增值税政策的通知》（财税2013年第66号）全文</w:t>
      </w:r>
    </w:p>
    <w:p>
      <w:pPr>
        <w:ind w:firstLine="472"/>
        <w:rPr>
          <w:rFonts w:hint="eastAsia" w:eastAsia="宋体"/>
          <w:color w:val="auto"/>
          <w:lang w:eastAsia="zh-CN"/>
        </w:rPr>
      </w:pPr>
      <w:r>
        <w:rPr>
          <w:rFonts w:hint="eastAsia"/>
          <w:color w:val="auto"/>
        </w:rPr>
        <w:t>2.《财政部国家税务总局关于继续执行光伏发电增值税政策的通知》（财税2016年第81号）</w:t>
      </w:r>
    </w:p>
    <w:p>
      <w:pPr>
        <w:ind w:firstLine="472"/>
        <w:rPr>
          <w:rFonts w:hint="eastAsia" w:eastAsia="宋体"/>
          <w:color w:val="auto"/>
          <w:lang w:eastAsia="zh-CN"/>
        </w:rPr>
      </w:pPr>
      <w:r>
        <w:rPr>
          <w:rFonts w:hint="eastAsia"/>
          <w:color w:val="auto"/>
        </w:rPr>
        <w:t>黄金、铂金及铂金制品增值税即征即退政策依据：</w:t>
      </w:r>
    </w:p>
    <w:p>
      <w:pPr>
        <w:ind w:firstLine="472"/>
        <w:rPr>
          <w:rFonts w:hint="eastAsia"/>
          <w:color w:val="auto"/>
        </w:rPr>
      </w:pPr>
      <w:r>
        <w:rPr>
          <w:rFonts w:hint="eastAsia"/>
          <w:color w:val="auto"/>
        </w:rPr>
        <w:t>《财政部国家税务总局关于铂金及其制品税收政策的通知》（财税2003年第86号）第二条、第四条</w:t>
      </w:r>
    </w:p>
    <w:p>
      <w:pPr>
        <w:ind w:firstLine="472"/>
        <w:rPr>
          <w:rFonts w:hint="eastAsia"/>
          <w:color w:val="auto"/>
          <w:lang w:eastAsia="zh-CN"/>
        </w:rPr>
      </w:pPr>
      <w:r>
        <w:rPr>
          <w:rFonts w:hint="eastAsia"/>
          <w:color w:val="auto"/>
          <w:lang w:eastAsia="zh-CN"/>
        </w:rPr>
        <w:t>“二、对中博世金科贸有限责任公司通过上海黄金交易所销售的进口铂金，以上海黄金交易所开具的《上海黄金交易所发票》(结算联)为依据，实行增值税即征即退政策。采取按照进口铂金价格计算退税的办法，具体如下：</w:t>
      </w:r>
    </w:p>
    <w:p>
      <w:pPr>
        <w:ind w:firstLine="472"/>
        <w:rPr>
          <w:rFonts w:hint="eastAsia"/>
          <w:color w:val="auto"/>
          <w:lang w:eastAsia="zh-CN"/>
        </w:rPr>
      </w:pPr>
      <w:r>
        <w:rPr>
          <w:rFonts w:hint="eastAsia"/>
          <w:color w:val="auto"/>
          <w:lang w:eastAsia="zh-CN"/>
        </w:rPr>
        <w:t>即征即退的税额计算公式：</w:t>
      </w:r>
    </w:p>
    <w:p>
      <w:pPr>
        <w:ind w:firstLine="472"/>
        <w:rPr>
          <w:rFonts w:hint="eastAsia"/>
          <w:color w:val="auto"/>
          <w:lang w:eastAsia="zh-CN"/>
        </w:rPr>
      </w:pPr>
      <w:r>
        <w:rPr>
          <w:rFonts w:hint="eastAsia"/>
          <w:color w:val="auto"/>
          <w:lang w:eastAsia="zh-CN"/>
        </w:rPr>
        <w:t>进口铂金平均单价＝σ{［（当月进口铂金报关单价×当月进口铂金数量）＋上月末库存进口铂金总价值］÷(当月进口铂金数量＋上月末库存进口铂金数量)}</w:t>
      </w:r>
    </w:p>
    <w:p>
      <w:pPr>
        <w:ind w:firstLine="472"/>
        <w:rPr>
          <w:rFonts w:hint="eastAsia"/>
          <w:color w:val="auto"/>
          <w:lang w:eastAsia="zh-CN"/>
        </w:rPr>
      </w:pPr>
      <w:r>
        <w:rPr>
          <w:rFonts w:hint="eastAsia"/>
          <w:color w:val="auto"/>
          <w:lang w:eastAsia="zh-CN"/>
        </w:rPr>
        <w:t>金额=销售数量×进口铂金平均单价÷（1＋17％）</w:t>
      </w:r>
    </w:p>
    <w:p>
      <w:pPr>
        <w:ind w:firstLine="472"/>
        <w:rPr>
          <w:rFonts w:hint="eastAsia"/>
          <w:color w:val="auto"/>
          <w:lang w:eastAsia="zh-CN"/>
        </w:rPr>
      </w:pPr>
      <w:r>
        <w:rPr>
          <w:rFonts w:hint="eastAsia"/>
          <w:color w:val="auto"/>
          <w:lang w:eastAsia="zh-CN"/>
        </w:rPr>
        <w:t>即征即退税额＝金额×17％</w:t>
      </w:r>
    </w:p>
    <w:p>
      <w:pPr>
        <w:ind w:firstLine="472"/>
        <w:rPr>
          <w:rFonts w:hint="eastAsia"/>
          <w:color w:val="auto"/>
          <w:lang w:eastAsia="zh-CN"/>
        </w:rPr>
      </w:pPr>
      <w:r>
        <w:rPr>
          <w:rFonts w:hint="eastAsia"/>
          <w:color w:val="auto"/>
          <w:lang w:eastAsia="zh-CN"/>
        </w:rPr>
        <w:t>中博世金科贸有限责任公司进口的铂金没有通过上海黄金交易所销售的，不得享受增值税即征即退政策。</w:t>
      </w:r>
    </w:p>
    <w:p>
      <w:pPr>
        <w:ind w:firstLine="472"/>
        <w:rPr>
          <w:rFonts w:hint="eastAsia" w:eastAsia="宋体"/>
          <w:color w:val="auto"/>
          <w:lang w:eastAsia="zh-CN"/>
        </w:rPr>
      </w:pPr>
      <w:r>
        <w:rPr>
          <w:rFonts w:hint="eastAsia"/>
          <w:color w:val="auto"/>
          <w:lang w:eastAsia="zh-CN"/>
        </w:rPr>
        <w:t>四、国内铂金生产企业自产自销的铂金也实行增值税即征即退政策。”</w:t>
      </w:r>
    </w:p>
    <w:p>
      <w:pPr>
        <w:ind w:firstLine="472"/>
        <w:rPr>
          <w:rFonts w:hint="eastAsia" w:eastAsia="宋体"/>
          <w:color w:val="auto"/>
          <w:lang w:eastAsia="zh-CN"/>
        </w:rPr>
      </w:pPr>
      <w:r>
        <w:rPr>
          <w:rFonts w:hint="eastAsia"/>
          <w:color w:val="auto"/>
        </w:rPr>
        <w:t>新型墙体材料即征即退政策依据：</w:t>
      </w:r>
    </w:p>
    <w:p>
      <w:pPr>
        <w:ind w:firstLine="472"/>
        <w:rPr>
          <w:rFonts w:hint="eastAsia"/>
          <w:color w:val="auto"/>
        </w:rPr>
      </w:pPr>
      <w:r>
        <w:rPr>
          <w:rFonts w:hint="eastAsia"/>
          <w:color w:val="auto"/>
        </w:rPr>
        <w:t>《财政部国家税务总局关于新型墙体材料增值税政策的通知》（财税2015年第73号）全文</w:t>
      </w:r>
    </w:p>
    <w:p>
      <w:pPr>
        <w:ind w:firstLine="472"/>
        <w:rPr>
          <w:rFonts w:hint="eastAsia" w:eastAsia="宋体"/>
          <w:color w:val="auto"/>
          <w:lang w:eastAsia="zh-CN"/>
        </w:rPr>
      </w:pPr>
      <w:r>
        <w:rPr>
          <w:rFonts w:hint="eastAsia"/>
          <w:color w:val="auto"/>
        </w:rPr>
        <w:t>风力发电即征即退政策依据：</w:t>
      </w:r>
    </w:p>
    <w:p>
      <w:pPr>
        <w:ind w:firstLine="472"/>
        <w:rPr>
          <w:rFonts w:hint="eastAsia"/>
          <w:color w:val="auto"/>
        </w:rPr>
      </w:pPr>
      <w:r>
        <w:rPr>
          <w:rFonts w:hint="eastAsia"/>
          <w:color w:val="auto"/>
        </w:rPr>
        <w:t>《财政部国家税务总局关于风力发电增值税政策的通知》（财税2015年第74号）全文</w:t>
      </w:r>
    </w:p>
    <w:p>
      <w:pPr>
        <w:ind w:firstLine="472"/>
        <w:rPr>
          <w:rFonts w:hint="eastAsia"/>
          <w:color w:val="auto"/>
        </w:rPr>
      </w:pPr>
      <w:r>
        <w:rPr>
          <w:rFonts w:hint="eastAsia"/>
          <w:color w:val="auto"/>
        </w:rPr>
        <w:t>黄金期货交易即征即退政策依据：</w:t>
      </w:r>
    </w:p>
    <w:p>
      <w:pPr>
        <w:ind w:firstLine="472"/>
        <w:rPr>
          <w:rFonts w:hint="eastAsia"/>
          <w:color w:val="auto"/>
        </w:rPr>
      </w:pPr>
      <w:r>
        <w:rPr>
          <w:rFonts w:hint="eastAsia"/>
          <w:color w:val="auto"/>
        </w:rPr>
        <w:t>1.《财政部国家税务总局关于黄金期货交易有关税收政策的通知》（财税〔2008〕5号）全文</w:t>
      </w:r>
    </w:p>
    <w:p>
      <w:pPr>
        <w:ind w:firstLine="472"/>
        <w:rPr>
          <w:color w:val="auto"/>
        </w:rPr>
      </w:pPr>
      <w:r>
        <w:rPr>
          <w:rFonts w:hint="eastAsia"/>
          <w:color w:val="auto"/>
        </w:rPr>
        <w:t>2.《国家税务总局关于印发&lt;上海期货交易所黄金期货交易增值税征收管理办法&gt;的通知》（国税发〔2008〕46号）全文”</w:t>
      </w:r>
    </w:p>
    <w:p>
      <w:pPr>
        <w:pStyle w:val="3"/>
        <w:ind w:firstLine="552"/>
        <w:rPr>
          <w:color w:val="auto"/>
        </w:rPr>
      </w:pPr>
      <w:r>
        <w:rPr>
          <w:rFonts w:hint="eastAsia"/>
          <w:color w:val="auto"/>
        </w:rPr>
        <w:t>五、办理材料</w:t>
      </w:r>
    </w:p>
    <w:p>
      <w:pPr>
        <w:ind w:firstLine="0" w:firstLineChars="0"/>
        <w:rPr>
          <w:color w:val="auto"/>
        </w:rPr>
      </w:pPr>
      <w:r>
        <w:rPr>
          <w:rFonts w:hint="eastAsia"/>
          <w:color w:val="auto"/>
        </w:rPr>
        <w:t>1.促进残疾人就业限额即征即退办理需提供：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资料名称</w:t>
            </w:r>
          </w:p>
        </w:tc>
        <w:tc>
          <w:tcPr>
            <w:tcW w:w="748"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cs="宋体"/>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b/>
                <w:color w:val="auto"/>
                <w:kern w:val="0"/>
                <w:sz w:val="18"/>
                <w:szCs w:val="18"/>
              </w:rPr>
            </w:pPr>
            <w:r>
              <w:rPr>
                <w:rStyle w:val="17"/>
                <w:rFonts w:hint="eastAsia" w:cs="微软雅黑"/>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b/>
                <w:color w:val="auto"/>
                <w:kern w:val="0"/>
                <w:sz w:val="18"/>
                <w:szCs w:val="18"/>
              </w:rPr>
            </w:pPr>
            <w:r>
              <w:rPr>
                <w:rStyle w:val="17"/>
                <w:rFonts w:hint="eastAsia" w:cs="微软雅黑"/>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《安置残疾人纳税人申请增值税退税声明》</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当期为残疾人缴纳社会保险费凭证的复印件及由纳税人加盖公章确认的注明缴纳人员、缴纳金额、缴纳期间的明细表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条件报送</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特殊教育学校举办的企业，申请退还增值税时不提供</w:t>
            </w: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当期由银行等金融机构或纳税人加盖公章的按月为残疾人支付工资的清单</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条件报送</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特殊教育学校举办的企业，申请退还增值税时不提供</w:t>
            </w: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jc w:val="left"/>
        <w:rPr>
          <w:color w:val="auto"/>
        </w:rPr>
      </w:pPr>
      <w:r>
        <w:rPr>
          <w:rFonts w:hint="eastAsia"/>
          <w:color w:val="auto"/>
        </w:rPr>
        <w:t>2.资源综合利用即征即退办理需提供：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序号</w:t>
            </w:r>
          </w:p>
        </w:tc>
        <w:tc>
          <w:tcPr>
            <w:tcW w:w="2130"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附列资料名称</w:t>
            </w:r>
          </w:p>
        </w:tc>
        <w:tc>
          <w:tcPr>
            <w:tcW w:w="748"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份数</w:t>
            </w:r>
          </w:p>
        </w:tc>
        <w:tc>
          <w:tcPr>
            <w:tcW w:w="851" w:type="dxa"/>
            <w:shd w:val="clear" w:color="auto" w:fill="auto"/>
            <w:vAlign w:val="center"/>
          </w:tcPr>
          <w:p>
            <w:pPr>
              <w:widowControl/>
              <w:ind w:firstLine="0" w:firstLineChars="0"/>
              <w:jc w:val="center"/>
              <w:rPr>
                <w:rFonts w:cs="宋体"/>
                <w:b/>
                <w:color w:val="auto"/>
                <w:kern w:val="0"/>
                <w:sz w:val="18"/>
                <w:szCs w:val="18"/>
              </w:rPr>
            </w:pPr>
            <w:r>
              <w:rPr>
                <w:rStyle w:val="17"/>
                <w:rFonts w:hint="eastAsia" w:cs="微软雅黑"/>
                <w:color w:val="auto"/>
                <w:sz w:val="18"/>
                <w:szCs w:val="18"/>
              </w:rPr>
              <w:t>报送类型</w:t>
            </w:r>
          </w:p>
        </w:tc>
        <w:tc>
          <w:tcPr>
            <w:tcW w:w="1236" w:type="dxa"/>
            <w:shd w:val="clear" w:color="auto" w:fill="auto"/>
            <w:vAlign w:val="center"/>
          </w:tcPr>
          <w:p>
            <w:pPr>
              <w:widowControl/>
              <w:ind w:firstLine="0" w:firstLineChars="0"/>
              <w:jc w:val="center"/>
              <w:rPr>
                <w:rFonts w:cs="宋体"/>
                <w:b/>
                <w:color w:val="auto"/>
                <w:kern w:val="0"/>
                <w:sz w:val="18"/>
                <w:szCs w:val="18"/>
              </w:rPr>
            </w:pPr>
            <w:r>
              <w:rPr>
                <w:rStyle w:val="17"/>
                <w:rFonts w:hint="eastAsia" w:cs="微软雅黑"/>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3"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3"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3"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纳税人符合财税〔2015〕78号文件规定的条件以及《资源综合利用产品和劳务增值税优惠目录》规定的技术标准和相关条件的书面声明材料</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rFonts w:hint="eastAsia"/>
          <w:color w:val="auto"/>
        </w:rPr>
        <w:t>3.软件产品超税负退税办理需提供：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序号</w:t>
            </w:r>
          </w:p>
        </w:tc>
        <w:tc>
          <w:tcPr>
            <w:tcW w:w="2130"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附列资料名称</w:t>
            </w:r>
          </w:p>
        </w:tc>
        <w:tc>
          <w:tcPr>
            <w:tcW w:w="748"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份数</w:t>
            </w:r>
          </w:p>
        </w:tc>
        <w:tc>
          <w:tcPr>
            <w:tcW w:w="851" w:type="dxa"/>
            <w:shd w:val="clear" w:color="auto" w:fill="auto"/>
            <w:vAlign w:val="center"/>
          </w:tcPr>
          <w:p>
            <w:pPr>
              <w:widowControl/>
              <w:ind w:firstLine="0" w:firstLineChars="0"/>
              <w:jc w:val="center"/>
              <w:rPr>
                <w:rFonts w:cs="宋体"/>
                <w:b/>
                <w:color w:val="auto"/>
                <w:kern w:val="0"/>
                <w:sz w:val="18"/>
                <w:szCs w:val="18"/>
              </w:rPr>
            </w:pPr>
            <w:r>
              <w:rPr>
                <w:rStyle w:val="17"/>
                <w:rFonts w:hint="eastAsia" w:cs="微软雅黑"/>
                <w:color w:val="auto"/>
                <w:sz w:val="18"/>
                <w:szCs w:val="18"/>
              </w:rPr>
              <w:t>报送类型</w:t>
            </w:r>
          </w:p>
        </w:tc>
        <w:tc>
          <w:tcPr>
            <w:tcW w:w="1236" w:type="dxa"/>
            <w:shd w:val="clear" w:color="auto" w:fill="auto"/>
            <w:vAlign w:val="center"/>
          </w:tcPr>
          <w:p>
            <w:pPr>
              <w:widowControl/>
              <w:ind w:firstLine="0" w:firstLineChars="0"/>
              <w:jc w:val="center"/>
              <w:rPr>
                <w:rFonts w:cs="宋体"/>
                <w:b/>
                <w:color w:val="auto"/>
                <w:kern w:val="0"/>
                <w:sz w:val="18"/>
                <w:szCs w:val="18"/>
              </w:rPr>
            </w:pPr>
            <w:r>
              <w:rPr>
                <w:rStyle w:val="17"/>
                <w:rFonts w:hint="eastAsia" w:cs="微软雅黑"/>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（申请中必须表述声明以下内容：①退税的具体计算，特别是嵌入式软件产品增值税即征即退税额；</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②增值税一般纳税人在销售软件产品的同时销售其他货物或者应税劳务的，无法划分的进项税额计算）</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软件产业主管部门颁发的《软件产品登记证书》复印件或著作权行政管理部门颁发的《计算机软件著作权登记证书》复印件（已办理资格备案或首次已报送，资料有效期内不再报送）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增值税一般纳税人在销售软件产品的同时销售其他货物或者应税劳务的，无法划分的进项税额计算分摊方式备案材料</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rFonts w:hint="eastAsia"/>
          <w:color w:val="auto"/>
        </w:rPr>
        <w:t>4.管道运输企业超税负退税办理需提供：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序号</w:t>
            </w:r>
          </w:p>
        </w:tc>
        <w:tc>
          <w:tcPr>
            <w:tcW w:w="2130"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附列资料名称</w:t>
            </w:r>
          </w:p>
        </w:tc>
        <w:tc>
          <w:tcPr>
            <w:tcW w:w="748" w:type="dxa"/>
            <w:shd w:val="clear" w:color="auto" w:fill="auto"/>
            <w:vAlign w:val="center"/>
          </w:tcPr>
          <w:p>
            <w:pPr>
              <w:widowControl/>
              <w:ind w:firstLine="0" w:firstLineChars="0"/>
              <w:jc w:val="center"/>
              <w:rPr>
                <w:rFonts w:cs="宋体"/>
                <w:b/>
                <w:color w:val="auto"/>
                <w:kern w:val="0"/>
                <w:sz w:val="18"/>
                <w:szCs w:val="18"/>
              </w:rPr>
            </w:pPr>
            <w:r>
              <w:rPr>
                <w:rFonts w:hint="eastAsia" w:cs="宋体"/>
                <w:b/>
                <w:color w:val="auto"/>
                <w:kern w:val="0"/>
                <w:sz w:val="18"/>
                <w:szCs w:val="18"/>
              </w:rPr>
              <w:t>份数</w:t>
            </w:r>
          </w:p>
        </w:tc>
        <w:tc>
          <w:tcPr>
            <w:tcW w:w="851" w:type="dxa"/>
            <w:shd w:val="clear" w:color="auto" w:fill="auto"/>
            <w:vAlign w:val="center"/>
          </w:tcPr>
          <w:p>
            <w:pPr>
              <w:widowControl/>
              <w:ind w:firstLine="0" w:firstLineChars="0"/>
              <w:jc w:val="center"/>
              <w:rPr>
                <w:rFonts w:cs="宋体"/>
                <w:b/>
                <w:color w:val="auto"/>
                <w:kern w:val="0"/>
                <w:sz w:val="18"/>
                <w:szCs w:val="18"/>
              </w:rPr>
            </w:pPr>
            <w:r>
              <w:rPr>
                <w:rStyle w:val="17"/>
                <w:rFonts w:hint="eastAsia" w:cs="微软雅黑"/>
                <w:color w:val="auto"/>
                <w:sz w:val="18"/>
                <w:szCs w:val="18"/>
              </w:rPr>
              <w:t>报送类型</w:t>
            </w:r>
          </w:p>
        </w:tc>
        <w:tc>
          <w:tcPr>
            <w:tcW w:w="1236" w:type="dxa"/>
            <w:shd w:val="clear" w:color="auto" w:fill="auto"/>
            <w:vAlign w:val="center"/>
          </w:tcPr>
          <w:p>
            <w:pPr>
              <w:widowControl/>
              <w:ind w:firstLine="0" w:firstLineChars="0"/>
              <w:jc w:val="center"/>
              <w:rPr>
                <w:rFonts w:cs="宋体"/>
                <w:b/>
                <w:color w:val="auto"/>
                <w:kern w:val="0"/>
                <w:sz w:val="18"/>
                <w:szCs w:val="18"/>
              </w:rPr>
            </w:pPr>
            <w:r>
              <w:rPr>
                <w:rStyle w:val="17"/>
                <w:rFonts w:hint="eastAsia" w:cs="微软雅黑"/>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管道运输服务业务合同复印件（已备案或首次办理已提供，有效期内不再报送）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rFonts w:hint="eastAsia"/>
          <w:color w:val="auto"/>
        </w:rPr>
        <w:t>5.符合条件的有形动产融资租赁服务超税负退税办理需提供：</w:t>
      </w:r>
    </w:p>
    <w:tbl>
      <w:tblPr>
        <w:tblStyle w:val="15"/>
        <w:tblW w:w="8501" w:type="dxa"/>
        <w:jc w:val="center"/>
        <w:tblCellSpacing w:w="0" w:type="dxa"/>
        <w:tblBorders>
          <w:top w:val="none" w:color="auto" w:sz="0" w:space="0"/>
          <w:left w:val="none" w:color="auto" w:sz="0" w:space="0"/>
          <w:bottom w:val="single" w:color="auto" w:sz="4" w:space="0"/>
          <w:right w:val="single"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none" w:color="auto" w:sz="0" w:space="0"/>
            <w:left w:val="none" w:color="auto" w:sz="0" w:space="0"/>
            <w:bottom w:val="single" w:color="auto" w:sz="4" w:space="0"/>
            <w:right w:val="single"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748"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none" w:color="auto" w:sz="0" w:space="0"/>
            <w:left w:val="none" w:color="auto" w:sz="0" w:space="0"/>
            <w:bottom w:val="single" w:color="auto" w:sz="4" w:space="0"/>
            <w:right w:val="single"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none" w:color="auto" w:sz="0" w:space="0"/>
            <w:left w:val="none" w:color="auto" w:sz="0" w:space="0"/>
            <w:bottom w:val="single" w:color="auto" w:sz="4" w:space="0"/>
            <w:right w:val="single"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none" w:color="auto" w:sz="0" w:space="0"/>
            <w:left w:val="none" w:color="auto" w:sz="0" w:space="0"/>
            <w:bottom w:val="single" w:color="auto" w:sz="4" w:space="0"/>
            <w:right w:val="single"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有形动产融资租赁服务业务合同复印件（已办理资格备案或首次已报送，资料有效期内不再报送）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rFonts w:hint="eastAsia"/>
          <w:color w:val="auto"/>
        </w:rPr>
        <w:t>6.飞机维修劳务增值税即征即退需提供：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748"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营业执照副本复印件</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从事飞机维修劳务的相关资质材料原件及复印件（已办理资格备案或首次已报送，资料有效期内不再报送）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color w:val="auto"/>
        </w:rPr>
        <w:t>7</w:t>
      </w:r>
      <w:r>
        <w:rPr>
          <w:rFonts w:hint="eastAsia"/>
          <w:color w:val="auto"/>
        </w:rPr>
        <w:t>.光伏发电增值税即征即退需提供：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748"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光伏发电相关资格证明材料原件及复印件（已办理资格备案或首次已报送，资料有效期内不再报送）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color w:val="auto"/>
        </w:rPr>
        <w:t>8</w:t>
      </w:r>
      <w:r>
        <w:rPr>
          <w:rFonts w:hint="eastAsia"/>
          <w:color w:val="auto"/>
        </w:rPr>
        <w:t>.黄金、铂金及铂金制品增值税即征即退需提供：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748"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国内生产企业自产自销铂金的证明材料原件及复印件（已办理资格备案或首次已报送，资料有效期内不再报送）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color w:val="auto"/>
        </w:rPr>
        <w:t>9</w:t>
      </w:r>
      <w:r>
        <w:rPr>
          <w:rFonts w:hint="eastAsia"/>
          <w:color w:val="auto"/>
        </w:rPr>
        <w:t>.新型墙体材料即征即退应提供：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748"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纳税人符合财税〔2015〕73号文件规定的条件以及《享受增值税即征即退政策的新型墙体材料目录》规定的相关标准的书面声明材料</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rFonts w:hint="eastAsia"/>
          <w:color w:val="auto"/>
        </w:rPr>
        <w:t>1</w:t>
      </w:r>
      <w:r>
        <w:rPr>
          <w:color w:val="auto"/>
        </w:rPr>
        <w:t>0</w:t>
      </w:r>
      <w:r>
        <w:rPr>
          <w:rFonts w:hint="eastAsia"/>
          <w:color w:val="auto"/>
        </w:rPr>
        <w:t>.风力发电即征即退需提供：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130"/>
        <w:gridCol w:w="748"/>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130"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748"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13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能够证明纳税人从事风力发电的材料，如有关部门项目建设批复文件、能源监管机构颁发的《电力业务许可证》等（已办理资格备案或首次已报送，资料有效期内不再报送）</w:t>
            </w:r>
          </w:p>
        </w:tc>
        <w:tc>
          <w:tcPr>
            <w:tcW w:w="748"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widowControl/>
        <w:ind w:firstLine="0" w:firstLineChars="0"/>
        <w:rPr>
          <w:color w:val="auto"/>
        </w:rPr>
      </w:pPr>
      <w:r>
        <w:rPr>
          <w:rFonts w:hint="eastAsia"/>
          <w:color w:val="auto"/>
        </w:rPr>
        <w:t>1</w:t>
      </w:r>
      <w:r>
        <w:rPr>
          <w:color w:val="auto"/>
        </w:rPr>
        <w:t>1</w:t>
      </w:r>
      <w:r>
        <w:rPr>
          <w:rFonts w:hint="eastAsia"/>
          <w:color w:val="auto"/>
        </w:rPr>
        <w:t>.黄金期货</w:t>
      </w:r>
      <w:r>
        <w:rPr>
          <w:color w:val="auto"/>
        </w:rPr>
        <w:t>交易</w:t>
      </w:r>
      <w:r>
        <w:rPr>
          <w:rFonts w:hint="eastAsia"/>
          <w:color w:val="auto"/>
        </w:rPr>
        <w:t>即征即退需提供：</w:t>
      </w:r>
    </w:p>
    <w:tbl>
      <w:tblPr>
        <w:tblStyle w:val="15"/>
        <w:tblW w:w="8501" w:type="dxa"/>
        <w:jc w:val="center"/>
        <w:tblCellSpacing w:w="0" w:type="dxa"/>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234"/>
        <w:gridCol w:w="644"/>
        <w:gridCol w:w="851"/>
        <w:gridCol w:w="1236"/>
        <w:gridCol w:w="2025"/>
        <w:gridCol w:w="850"/>
      </w:tblGrid>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序号</w:t>
            </w:r>
          </w:p>
        </w:tc>
        <w:tc>
          <w:tcPr>
            <w:tcW w:w="2234"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附列资料名称</w:t>
            </w:r>
          </w:p>
        </w:tc>
        <w:tc>
          <w:tcPr>
            <w:tcW w:w="644"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cs="宋体" w:asciiTheme="minorEastAsia" w:hAnsiTheme="minorEastAsia" w:eastAsiaTheme="minorEastAsia"/>
                <w:b/>
                <w:color w:val="auto"/>
                <w:kern w:val="0"/>
                <w:sz w:val="18"/>
                <w:szCs w:val="18"/>
              </w:rPr>
              <w:t>份数</w:t>
            </w:r>
          </w:p>
        </w:tc>
        <w:tc>
          <w:tcPr>
            <w:tcW w:w="851"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报送类型</w:t>
            </w:r>
          </w:p>
        </w:tc>
        <w:tc>
          <w:tcPr>
            <w:tcW w:w="1236"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cs="微软雅黑" w:asciiTheme="minorEastAsia" w:hAnsiTheme="minorEastAsia" w:eastAsiaTheme="minorEastAsia"/>
                <w:color w:val="auto"/>
                <w:sz w:val="18"/>
                <w:szCs w:val="18"/>
              </w:rPr>
              <w:t>报送条件</w:t>
            </w:r>
          </w:p>
        </w:tc>
        <w:tc>
          <w:tcPr>
            <w:tcW w:w="2025" w:type="dxa"/>
            <w:shd w:val="clear" w:color="auto" w:fill="auto"/>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widowControl/>
              <w:spacing w:line="280" w:lineRule="exact"/>
              <w:ind w:firstLine="0" w:firstLineChars="0"/>
              <w:jc w:val="center"/>
              <w:rPr>
                <w:rFonts w:cs="宋体" w:asciiTheme="minorEastAsia" w:hAnsiTheme="minorEastAsia" w:eastAsiaTheme="minorEastAsia"/>
                <w:b/>
                <w:color w:val="auto"/>
                <w:kern w:val="0"/>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2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《退（抵）税申请审批表》</w:t>
            </w:r>
          </w:p>
        </w:tc>
        <w:tc>
          <w:tcPr>
            <w:tcW w:w="64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留存1份</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2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纳税人退税申请</w:t>
            </w:r>
          </w:p>
        </w:tc>
        <w:tc>
          <w:tcPr>
            <w:tcW w:w="64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税务机关</w:t>
            </w:r>
          </w:p>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留存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r>
        <w:tblPrEx>
          <w:tblBorders>
            <w:top w:val="outset" w:color="auto" w:sz="4" w:space="0"/>
            <w:left w:val="outset" w:color="auto" w:sz="4" w:space="0"/>
            <w:bottom w:val="single"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67" w:hRule="atLeast"/>
          <w:tblCellSpacing w:w="0" w:type="dxa"/>
          <w:jc w:val="center"/>
        </w:trPr>
        <w:tc>
          <w:tcPr>
            <w:tcW w:w="66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w:t>
            </w:r>
          </w:p>
        </w:tc>
        <w:tc>
          <w:tcPr>
            <w:tcW w:w="22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期货交易交割结算单、标准仓单出库确认单、溢短结算单</w:t>
            </w:r>
          </w:p>
        </w:tc>
        <w:tc>
          <w:tcPr>
            <w:tcW w:w="64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23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p>
        </w:tc>
        <w:tc>
          <w:tcPr>
            <w:tcW w:w="2025"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850" w:type="dxa"/>
            <w:vAlign w:val="center"/>
          </w:tcPr>
          <w:p>
            <w:pPr>
              <w:widowControl/>
              <w:spacing w:beforeAutospacing="0" w:afterAutospacing="0" w:line="280" w:lineRule="exact"/>
              <w:ind w:firstLine="352" w:firstLineChars="200"/>
              <w:jc w:val="center"/>
              <w:rPr>
                <w:rFonts w:hint="eastAsia" w:ascii="宋体" w:hAnsi="宋体" w:eastAsia="宋体" w:cs="宋体"/>
                <w:color w:val="auto"/>
                <w:sz w:val="18"/>
                <w:szCs w:val="18"/>
              </w:rPr>
            </w:pPr>
            <w:r>
              <w:rPr>
                <w:rFonts w:hint="eastAsia" w:ascii="宋体" w:hAnsi="宋体" w:eastAsia="宋体" w:cs="宋体"/>
                <w:color w:val="auto"/>
                <w:sz w:val="18"/>
                <w:szCs w:val="18"/>
              </w:rPr>
              <w:t>是</w:t>
            </w:r>
          </w:p>
        </w:tc>
      </w:tr>
    </w:tbl>
    <w:p>
      <w:pPr>
        <w:ind w:firstLine="471" w:firstLineChars="0"/>
        <w:rPr>
          <w:rFonts w:hint="eastAsia"/>
          <w:color w:val="auto"/>
        </w:rPr>
      </w:pPr>
    </w:p>
    <w:p>
      <w:pPr>
        <w:ind w:firstLine="471" w:firstLineChars="0"/>
        <w:rPr>
          <w:rFonts w:hint="eastAsia"/>
          <w:color w:val="auto"/>
        </w:rPr>
      </w:pPr>
    </w:p>
    <w:p>
      <w:pPr>
        <w:pStyle w:val="3"/>
        <w:ind w:firstLine="552"/>
        <w:rPr>
          <w:color w:val="auto"/>
        </w:rPr>
      </w:pPr>
      <w:r>
        <w:rPr>
          <w:rFonts w:hint="eastAsia"/>
          <w:color w:val="auto"/>
        </w:rPr>
        <w:t>六</w:t>
      </w:r>
      <w:r>
        <w:rPr>
          <w:color w:val="auto"/>
        </w:rPr>
        <w:t>、办理流程</w:t>
      </w:r>
    </w:p>
    <w:p>
      <w:pPr>
        <w:spacing w:line="240" w:lineRule="auto"/>
        <w:ind w:left="0" w:leftChars="0" w:firstLine="0" w:firstLineChars="0"/>
        <w:rPr>
          <w:color w:val="auto"/>
        </w:rPr>
      </w:pPr>
      <w:r>
        <w:rPr>
          <w:color w:val="auto"/>
        </w:rPr>
        <w:object>
          <v:shape id="_x0000_i1166" o:spt="75" type="#_x0000_t75" style="height:93pt;width:432.95pt;" o:ole="t" filled="f" o:preferrelative="t" stroked="f" coordsize="21600,21600">
            <v:path/>
            <v:fill on="f" focussize="0,0"/>
            <v:stroke on="f"/>
            <v:imagedata r:id="rId11" o:title=""/>
            <o:lock v:ext="edit" aspectratio="t"/>
            <w10:wrap type="none"/>
            <w10:anchorlock/>
          </v:shape>
          <o:OLEObject Type="Embed" ProgID="Visio.Drawing.11" ShapeID="_x0000_i116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7个工作日</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1.A07113《退（抵）税申请审批表》（A07113《退（抵）税申请审批表》（填写样例））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1.软件产品办理即征即退时，主管税务机关应加强后续管理，必要时可委托第三方检测机构对产品进行检测，一经发现不符合免税条件的，应及时纠正并依法处理。</w:t>
      </w:r>
    </w:p>
    <w:p>
      <w:pPr>
        <w:ind w:firstLine="472"/>
        <w:rPr>
          <w:rFonts w:hint="eastAsia"/>
          <w:color w:val="auto"/>
        </w:rPr>
      </w:pPr>
      <w:r>
        <w:rPr>
          <w:rFonts w:hint="eastAsia"/>
          <w:color w:val="auto"/>
        </w:rPr>
        <w:t>中国人民银行、银监会、商务部及授权部门批准经营融资租赁业务证明，由纳税人自行留存备查。</w:t>
      </w:r>
    </w:p>
    <w:p>
      <w:pPr>
        <w:ind w:firstLine="472"/>
        <w:rPr>
          <w:rFonts w:hint="eastAsia"/>
          <w:color w:val="auto"/>
        </w:rPr>
      </w:pPr>
      <w:r>
        <w:rPr>
          <w:rFonts w:hint="eastAsia"/>
          <w:color w:val="auto"/>
          <w:lang w:val="en-US" w:eastAsia="zh-CN"/>
        </w:rPr>
        <w:t>2</w:t>
      </w:r>
      <w:r>
        <w:rPr>
          <w:rFonts w:hint="eastAsia"/>
          <w:color w:val="auto"/>
        </w:rPr>
        <w:t>.附报资料中已通过电子税务局等渠道提交电子资料的不再报送纸质资料。</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98E89"/>
    <w:multiLevelType w:val="singleLevel"/>
    <w:tmpl w:val="0D398E89"/>
    <w:lvl w:ilvl="0" w:tentative="0">
      <w:start w:val="1"/>
      <w:numFmt w:val="decimal"/>
      <w:lvlText w:val="%1."/>
      <w:lvlJc w:val="left"/>
      <w:pPr>
        <w:tabs>
          <w:tab w:val="left" w:pos="312"/>
        </w:tabs>
      </w:p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4C8E91FF"/>
    <w:multiLevelType w:val="singleLevel"/>
    <w:tmpl w:val="4C8E91FF"/>
    <w:lvl w:ilvl="0" w:tentative="0">
      <w:start w:val="1"/>
      <w:numFmt w:val="decimal"/>
      <w:lvlText w:val="%1."/>
      <w:lvlJc w:val="left"/>
      <w:pPr>
        <w:tabs>
          <w:tab w:val="left" w:pos="312"/>
        </w:tabs>
      </w:p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178323C"/>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2019-10-31T05:09:36Z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