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6829"/>
      <w:r>
        <w:rPr>
          <w:rFonts w:hint="eastAsia" w:ascii="黑体" w:hAnsi="黑体"/>
          <w:bCs w:val="0"/>
          <w:color w:val="auto"/>
        </w:rPr>
        <w:t>1.3.3.5居民企业清算企业所得税申报</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居民企业清算企业所得税申报</w:t>
      </w:r>
    </w:p>
    <w:p>
      <w:pPr>
        <w:pStyle w:val="3"/>
        <w:ind w:firstLine="552"/>
        <w:rPr>
          <w:color w:val="auto"/>
        </w:rPr>
      </w:pPr>
      <w:r>
        <w:rPr>
          <w:color w:val="auto"/>
        </w:rPr>
        <w:t>二、事项类别</w:t>
      </w:r>
    </w:p>
    <w:p>
      <w:pPr>
        <w:pStyle w:val="47"/>
        <w:numPr>
          <w:ilvl w:val="0"/>
          <w:numId w:val="3"/>
        </w:numPr>
        <w:ind w:left="0" w:firstLine="472"/>
        <w:rPr>
          <w:color w:val="auto"/>
        </w:rPr>
      </w:pPr>
      <w:r>
        <w:rPr>
          <w:rFonts w:hint="eastAsia"/>
          <w:color w:val="auto"/>
        </w:rPr>
        <w:t>发起方式：人工发起（纳税人）</w:t>
      </w:r>
    </w:p>
    <w:p>
      <w:pPr>
        <w:pStyle w:val="47"/>
        <w:numPr>
          <w:ilvl w:val="0"/>
          <w:numId w:val="3"/>
        </w:numPr>
        <w:ind w:left="0" w:firstLine="472"/>
        <w:rPr>
          <w:color w:val="auto"/>
        </w:rPr>
      </w:pPr>
      <w:r>
        <w:rPr>
          <w:rFonts w:hint="eastAsia"/>
          <w:color w:val="auto"/>
        </w:rPr>
        <w:t>办结方式：即办</w:t>
      </w:r>
    </w:p>
    <w:p>
      <w:pPr>
        <w:pStyle w:val="47"/>
        <w:numPr>
          <w:ilvl w:val="0"/>
          <w:numId w:val="3"/>
        </w:numPr>
        <w:ind w:left="0" w:firstLine="472"/>
        <w:rPr>
          <w:color w:val="auto"/>
        </w:rPr>
      </w:pPr>
      <w:r>
        <w:rPr>
          <w:rFonts w:hint="eastAsia"/>
          <w:color w:val="auto"/>
        </w:rPr>
        <w:t>全省通办：否</w:t>
      </w:r>
    </w:p>
    <w:p>
      <w:pPr>
        <w:pStyle w:val="47"/>
        <w:numPr>
          <w:ilvl w:val="0"/>
          <w:numId w:val="3"/>
        </w:numPr>
        <w:ind w:left="0" w:firstLine="472"/>
        <w:rPr>
          <w:color w:val="auto"/>
        </w:rPr>
      </w:pPr>
      <w:r>
        <w:rPr>
          <w:rFonts w:hint="eastAsia"/>
          <w:color w:val="auto"/>
        </w:rPr>
        <w:t>网上办理：是</w:t>
      </w:r>
    </w:p>
    <w:p>
      <w:pPr>
        <w:pStyle w:val="47"/>
        <w:numPr>
          <w:ilvl w:val="0"/>
          <w:numId w:val="4"/>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color w:val="auto"/>
        </w:rPr>
      </w:pPr>
      <w:r>
        <w:rPr>
          <w:rFonts w:hint="eastAsia"/>
          <w:color w:val="auto"/>
        </w:rPr>
        <w:t>因解散、破产、重组等原因终止生产经营活动，或不再持续经营，需依法对资产、债权、债务进行清算的居民企业，应当在办理注销登记之前，以整个清算期间作为一个纳税年度，依法计算清算所得及其应纳所得税，自清算结束之日起</w:t>
      </w:r>
      <w:r>
        <w:rPr>
          <w:color w:val="auto"/>
        </w:rPr>
        <w:t>15日内，向税务机关报送《中华人民共和国企业清算所得税申报表》及附表、其他相关资料，进行纳税申报。</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1.《中华人民共和国税收征收管理法》第二十五条第一款</w:t>
      </w:r>
    </w:p>
    <w:p>
      <w:pPr>
        <w:ind w:firstLine="472"/>
        <w:rPr>
          <w:rFonts w:hint="eastAsia"/>
          <w:color w:val="auto"/>
        </w:rPr>
      </w:pPr>
      <w:r>
        <w:rPr>
          <w:rFonts w:hint="eastAsia"/>
          <w:color w:val="auto"/>
          <w:lang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olor w:val="auto"/>
          <w:lang w:eastAsia="zh-CN"/>
        </w:rPr>
        <w:t>”</w:t>
      </w:r>
    </w:p>
    <w:p>
      <w:pPr>
        <w:ind w:firstLine="472"/>
        <w:rPr>
          <w:rFonts w:hint="eastAsia"/>
          <w:color w:val="auto"/>
        </w:rPr>
      </w:pPr>
      <w:r>
        <w:rPr>
          <w:rFonts w:hint="eastAsia"/>
          <w:color w:val="auto"/>
        </w:rPr>
        <w:t>2.《中华人民共和国企业所得税法》</w:t>
      </w:r>
      <w:r>
        <w:rPr>
          <w:rFonts w:ascii="宋体" w:hAnsi="宋体" w:cs="Times New Roman"/>
          <w:color w:val="auto"/>
        </w:rPr>
        <w:t>第一条、第五十</w:t>
      </w:r>
      <w:r>
        <w:rPr>
          <w:rFonts w:hint="eastAsia" w:cs="Times New Roman"/>
          <w:color w:val="auto"/>
          <w:lang w:val="en-US" w:eastAsia="zh-CN"/>
        </w:rPr>
        <w:t>五</w:t>
      </w:r>
      <w:r>
        <w:rPr>
          <w:rFonts w:ascii="宋体" w:hAnsi="宋体" w:cs="Times New Roman"/>
          <w:color w:val="auto"/>
        </w:rPr>
        <w:t>条</w:t>
      </w:r>
    </w:p>
    <w:p>
      <w:pPr>
        <w:ind w:firstLine="472"/>
        <w:rPr>
          <w:rFonts w:hint="eastAsia"/>
          <w:color w:val="auto"/>
        </w:rPr>
      </w:pPr>
      <w:r>
        <w:rPr>
          <w:rFonts w:hint="eastAsia"/>
          <w:color w:val="auto"/>
          <w:lang w:eastAsia="zh-CN"/>
        </w:rPr>
        <w:t>“</w:t>
      </w:r>
      <w:r>
        <w:rPr>
          <w:rFonts w:ascii="宋体" w:hAnsi="宋体" w:cs="Times New Roman"/>
          <w:color w:val="auto"/>
        </w:rPr>
        <w:t>第一条</w:t>
      </w:r>
      <w:r>
        <w:rPr>
          <w:rFonts w:hint="eastAsia"/>
          <w:color w:val="auto"/>
        </w:rPr>
        <w:t>在中华人民共和国境内，企业和其他取得收入的组织（以下统称企业）为企业所得税的纳税人，依照本法的规定缴纳企业所得税。个人独资企业、合伙企业不适用本法。</w:t>
      </w:r>
    </w:p>
    <w:p>
      <w:pPr>
        <w:ind w:firstLine="472"/>
        <w:rPr>
          <w:rFonts w:hint="eastAsia"/>
          <w:color w:val="auto"/>
        </w:rPr>
      </w:pPr>
      <w:r>
        <w:rPr>
          <w:rFonts w:hint="eastAsia"/>
          <w:color w:val="auto"/>
        </w:rPr>
        <w:t>第五十五条　企业在年度中间终止经营活动的，应当自实际经营终止之日起六十日内，向税务机关办理当期企业所得税汇算清缴。</w:t>
      </w:r>
    </w:p>
    <w:p>
      <w:pPr>
        <w:ind w:firstLine="472"/>
        <w:rPr>
          <w:color w:val="auto"/>
        </w:rPr>
      </w:pPr>
      <w:r>
        <w:rPr>
          <w:rFonts w:hint="eastAsia"/>
          <w:color w:val="auto"/>
          <w:lang w:eastAsia="zh-CN"/>
        </w:rPr>
        <w:t>企业应当在办理注销登记前，就其清算所得向税务机关申报并依法缴纳企业所得税。”</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ascii="宋体" w:hAnsi="宋体" w:cs="微软雅黑"/>
                <w:color w:val="auto"/>
                <w:sz w:val="18"/>
                <w:szCs w:val="18"/>
              </w:rPr>
              <w:t>1</w:t>
            </w:r>
          </w:p>
        </w:tc>
        <w:tc>
          <w:tcPr>
            <w:tcW w:w="2551" w:type="dxa"/>
            <w:shd w:val="clear" w:color="auto" w:fill="auto"/>
            <w:vAlign w:val="center"/>
          </w:tcPr>
          <w:p>
            <w:pPr>
              <w:pStyle w:val="13"/>
              <w:widowControl/>
              <w:spacing w:before="100" w:after="100" w:line="280" w:lineRule="exact"/>
              <w:ind w:firstLine="0" w:firstLineChars="0"/>
              <w:rPr>
                <w:rFonts w:cs="宋体"/>
                <w:color w:val="auto"/>
                <w:kern w:val="0"/>
                <w:sz w:val="18"/>
                <w:szCs w:val="18"/>
              </w:rPr>
            </w:pPr>
            <w:r>
              <w:rPr>
                <w:rFonts w:hint="eastAsia" w:ascii="宋体" w:hAnsi="宋体"/>
                <w:color w:val="auto"/>
                <w:sz w:val="18"/>
                <w:szCs w:val="18"/>
              </w:rPr>
              <w:t>《中华人民共和国企业清算所得税申报表》及附表</w:t>
            </w:r>
          </w:p>
        </w:tc>
        <w:tc>
          <w:tcPr>
            <w:tcW w:w="709" w:type="dxa"/>
            <w:shd w:val="clear" w:color="auto" w:fill="auto"/>
            <w:vAlign w:val="center"/>
          </w:tcPr>
          <w:p>
            <w:pPr>
              <w:pStyle w:val="13"/>
              <w:widowControl/>
              <w:spacing w:before="100" w:after="100"/>
              <w:ind w:firstLine="352" w:firstLineChars="0"/>
              <w:rPr>
                <w:rFonts w:cs="宋体"/>
                <w:color w:val="auto"/>
                <w:kern w:val="0"/>
                <w:sz w:val="18"/>
                <w:szCs w:val="18"/>
              </w:rPr>
            </w:pPr>
            <w:r>
              <w:rPr>
                <w:rStyle w:val="17"/>
                <w:rFonts w:ascii="宋体" w:hAnsi="宋体" w:cs="微软雅黑"/>
                <w:b w:val="0"/>
                <w:color w:val="auto"/>
                <w:sz w:val="18"/>
                <w:szCs w:val="18"/>
              </w:rPr>
              <w:t>2</w:t>
            </w:r>
          </w:p>
        </w:tc>
        <w:tc>
          <w:tcPr>
            <w:tcW w:w="992"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cs="微软雅黑"/>
                <w:color w:val="auto"/>
                <w:sz w:val="18"/>
                <w:szCs w:val="18"/>
              </w:rPr>
              <w:t>必报</w:t>
            </w:r>
          </w:p>
        </w:tc>
        <w:tc>
          <w:tcPr>
            <w:tcW w:w="1134" w:type="dxa"/>
            <w:shd w:val="clear" w:color="auto" w:fill="auto"/>
            <w:vAlign w:val="center"/>
          </w:tcPr>
          <w:p>
            <w:pPr>
              <w:pStyle w:val="13"/>
              <w:widowControl/>
              <w:spacing w:before="100" w:after="100"/>
              <w:ind w:firstLine="352" w:firstLineChars="0"/>
              <w:rPr>
                <w:rFonts w:cs="宋体"/>
                <w:color w:val="auto"/>
                <w:kern w:val="0"/>
                <w:sz w:val="18"/>
                <w:szCs w:val="18"/>
              </w:rPr>
            </w:pPr>
          </w:p>
        </w:tc>
        <w:tc>
          <w:tcPr>
            <w:tcW w:w="1134" w:type="dxa"/>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eastAsia="宋体" w:cs="微软雅黑"/>
                <w:color w:val="auto"/>
                <w:sz w:val="18"/>
                <w:szCs w:val="18"/>
                <w:lang w:val="en-US" w:eastAsia="zh-CN"/>
              </w:rPr>
              <w:t>税务机关</w:t>
            </w:r>
            <w:r>
              <w:rPr>
                <w:rFonts w:hint="eastAsia" w:ascii="宋体" w:hAnsi="宋体" w:cs="微软雅黑"/>
                <w:color w:val="auto"/>
                <w:sz w:val="18"/>
                <w:szCs w:val="18"/>
              </w:rPr>
              <w:t>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cs="微软雅黑"/>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企业改变法律形式的工商部门或其他政府部门的批准文件复印件</w:t>
            </w:r>
          </w:p>
        </w:tc>
        <w:tc>
          <w:tcPr>
            <w:tcW w:w="709" w:type="dxa"/>
            <w:shd w:val="clear" w:color="auto" w:fill="auto"/>
            <w:vAlign w:val="center"/>
          </w:tcPr>
          <w:p>
            <w:pPr>
              <w:pStyle w:val="13"/>
              <w:widowControl/>
              <w:spacing w:before="100" w:after="100"/>
              <w:ind w:firstLine="352" w:firstLineChars="0"/>
              <w:rPr>
                <w:rFonts w:cs="宋体"/>
                <w:color w:val="auto"/>
                <w:kern w:val="0"/>
                <w:sz w:val="18"/>
                <w:szCs w:val="18"/>
              </w:rPr>
            </w:pPr>
            <w:r>
              <w:rPr>
                <w:rStyle w:val="17"/>
                <w:rFonts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cs="微软雅黑"/>
                <w:color w:val="auto"/>
                <w:sz w:val="18"/>
                <w:szCs w:val="18"/>
              </w:rPr>
              <w:t>条件</w:t>
            </w:r>
            <w:r>
              <w:rPr>
                <w:rFonts w:ascii="宋体" w:hAnsi="宋体" w:cs="微软雅黑"/>
                <w:color w:val="auto"/>
                <w:sz w:val="18"/>
                <w:szCs w:val="18"/>
              </w:rPr>
              <w:t>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olor w:val="auto"/>
                <w:sz w:val="18"/>
                <w:szCs w:val="18"/>
              </w:rPr>
              <w:t>企业由法人转变为个人独资企业、合伙企业等非法人组织，或将登记注册地转移至中华人民共和国境外（包括港澳台地区）时。</w:t>
            </w:r>
          </w:p>
        </w:tc>
        <w:tc>
          <w:tcPr>
            <w:tcW w:w="1134" w:type="dxa"/>
            <w:vAlign w:val="center"/>
          </w:tcPr>
          <w:p>
            <w:pPr>
              <w:pStyle w:val="13"/>
              <w:widowControl/>
              <w:spacing w:before="100" w:after="100"/>
              <w:ind w:firstLine="0" w:firstLineChars="0"/>
              <w:jc w:val="center"/>
              <w:rPr>
                <w:rFonts w:hint="eastAsia" w:ascii="宋体" w:hAnsi="宋体" w:eastAsia="宋体" w:cs="微软雅黑"/>
                <w:color w:val="auto"/>
                <w:sz w:val="18"/>
                <w:szCs w:val="18"/>
                <w:lang w:val="en-US" w:eastAsia="zh-CN"/>
              </w:rPr>
            </w:pPr>
            <w:r>
              <w:rPr>
                <w:rFonts w:hint="eastAsia" w:ascii="宋体" w:hAnsi="宋体" w:eastAsia="宋体" w:cs="微软雅黑"/>
                <w:color w:val="auto"/>
                <w:sz w:val="18"/>
                <w:szCs w:val="18"/>
                <w:lang w:val="en-US" w:eastAsia="zh-CN"/>
              </w:rPr>
              <w:t>税务机关留存</w:t>
            </w:r>
          </w:p>
        </w:tc>
        <w:tc>
          <w:tcPr>
            <w:tcW w:w="1134" w:type="dxa"/>
            <w:shd w:val="clear" w:color="auto" w:fill="auto"/>
            <w:vAlign w:val="center"/>
          </w:tcPr>
          <w:p>
            <w:pPr>
              <w:pStyle w:val="13"/>
              <w:widowControl/>
              <w:spacing w:before="100" w:after="100"/>
              <w:ind w:firstLine="0" w:firstLineChars="0"/>
              <w:jc w:val="center"/>
              <w:rPr>
                <w:rFonts w:hint="eastAsia" w:ascii="宋体" w:hAnsi="宋体" w:eastAsia="宋体" w:cs="微软雅黑"/>
                <w:color w:val="auto"/>
                <w:sz w:val="18"/>
                <w:szCs w:val="18"/>
                <w:lang w:val="en-US" w:eastAsia="zh-CN"/>
              </w:rPr>
            </w:pPr>
            <w:r>
              <w:rPr>
                <w:rFonts w:hint="eastAsia" w:ascii="宋体" w:hAnsi="宋体" w:eastAsia="宋体" w:cs="微软雅黑"/>
                <w:color w:val="auto"/>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ascii="宋体" w:hAnsi="宋体" w:cs="微软雅黑"/>
                <w:color w:val="auto"/>
                <w:sz w:val="18"/>
                <w:szCs w:val="18"/>
              </w:rPr>
              <w:t>3</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企业全部资产的计税基础以及评估机构出具的资产评估报告复印件</w:t>
            </w:r>
          </w:p>
        </w:tc>
        <w:tc>
          <w:tcPr>
            <w:tcW w:w="709" w:type="dxa"/>
            <w:shd w:val="clear" w:color="auto" w:fill="auto"/>
            <w:vAlign w:val="center"/>
          </w:tcPr>
          <w:p>
            <w:pPr>
              <w:pStyle w:val="13"/>
              <w:widowControl/>
              <w:spacing w:before="100" w:after="100"/>
              <w:ind w:firstLine="352" w:firstLineChars="0"/>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条件</w:t>
            </w:r>
            <w:r>
              <w:rPr>
                <w:rFonts w:ascii="宋体" w:hAnsi="宋体" w:cs="微软雅黑"/>
                <w:color w:val="auto"/>
                <w:sz w:val="18"/>
                <w:szCs w:val="18"/>
              </w:rPr>
              <w:t>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olor w:val="auto"/>
                <w:sz w:val="18"/>
                <w:szCs w:val="18"/>
              </w:rPr>
              <w:t>企业由法人转变为个人独资企业、合伙企业等非法人组织，或将登记注册地转移至中华人民共和国境外（包括港澳台地区）的报送</w:t>
            </w:r>
          </w:p>
        </w:tc>
        <w:tc>
          <w:tcPr>
            <w:tcW w:w="1134" w:type="dxa"/>
            <w:vAlign w:val="center"/>
          </w:tcPr>
          <w:p>
            <w:pPr>
              <w:pStyle w:val="13"/>
              <w:widowControl/>
              <w:spacing w:before="100" w:after="100"/>
              <w:ind w:firstLine="0" w:firstLineChars="0"/>
              <w:jc w:val="center"/>
              <w:rPr>
                <w:rFonts w:hint="eastAsia" w:ascii="宋体" w:hAnsi="宋体" w:eastAsia="宋体" w:cs="微软雅黑"/>
                <w:color w:val="auto"/>
                <w:sz w:val="18"/>
                <w:szCs w:val="18"/>
                <w:lang w:val="en-US" w:eastAsia="zh-CN"/>
              </w:rPr>
            </w:pPr>
            <w:r>
              <w:rPr>
                <w:rFonts w:hint="eastAsia" w:ascii="宋体" w:hAnsi="宋体" w:eastAsia="宋体" w:cs="微软雅黑"/>
                <w:color w:val="auto"/>
                <w:sz w:val="18"/>
                <w:szCs w:val="18"/>
                <w:lang w:val="en-US" w:eastAsia="zh-CN"/>
              </w:rPr>
              <w:t>税务机关留存</w:t>
            </w:r>
          </w:p>
        </w:tc>
        <w:tc>
          <w:tcPr>
            <w:tcW w:w="1134" w:type="dxa"/>
            <w:shd w:val="clear" w:color="auto" w:fill="auto"/>
            <w:vAlign w:val="center"/>
          </w:tcPr>
          <w:p>
            <w:pPr>
              <w:pStyle w:val="13"/>
              <w:widowControl/>
              <w:spacing w:before="100" w:after="100"/>
              <w:ind w:firstLine="0" w:firstLineChars="0"/>
              <w:jc w:val="center"/>
              <w:rPr>
                <w:rFonts w:hint="eastAsia" w:ascii="宋体" w:hAnsi="宋体" w:eastAsia="宋体" w:cs="微软雅黑"/>
                <w:color w:val="auto"/>
                <w:sz w:val="18"/>
                <w:szCs w:val="18"/>
                <w:lang w:val="en-US" w:eastAsia="zh-CN"/>
              </w:rPr>
            </w:pPr>
            <w:r>
              <w:rPr>
                <w:rFonts w:hint="eastAsia" w:ascii="宋体" w:hAnsi="宋体" w:eastAsia="宋体" w:cs="微软雅黑"/>
                <w:color w:val="auto"/>
                <w:sz w:val="18"/>
                <w:szCs w:val="18"/>
                <w:lang w:val="en-US" w:eastAsia="zh-CN"/>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ascii="宋体" w:hAnsi="宋体" w:cs="微软雅黑"/>
                <w:color w:val="auto"/>
                <w:sz w:val="18"/>
                <w:szCs w:val="18"/>
              </w:rPr>
              <w:t>4</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olor w:val="auto"/>
                <w:sz w:val="18"/>
                <w:szCs w:val="18"/>
              </w:rPr>
              <w:t>企业债权、债务处理或归属情况说明复印件</w:t>
            </w:r>
          </w:p>
        </w:tc>
        <w:tc>
          <w:tcPr>
            <w:tcW w:w="709" w:type="dxa"/>
            <w:shd w:val="clear" w:color="auto" w:fill="auto"/>
            <w:vAlign w:val="center"/>
          </w:tcPr>
          <w:p>
            <w:pPr>
              <w:pStyle w:val="13"/>
              <w:widowControl/>
              <w:spacing w:before="100" w:after="100"/>
              <w:ind w:firstLine="352" w:firstLineChars="0"/>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条件</w:t>
            </w:r>
            <w:r>
              <w:rPr>
                <w:rFonts w:ascii="宋体" w:hAnsi="宋体" w:cs="微软雅黑"/>
                <w:color w:val="auto"/>
                <w:sz w:val="18"/>
                <w:szCs w:val="18"/>
              </w:rPr>
              <w:t>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olor w:val="auto"/>
                <w:sz w:val="18"/>
                <w:szCs w:val="18"/>
              </w:rPr>
              <w:t>企业由法人转变为个人独资企业、合伙企业等非法人组织，或将登记注册地转移至中华人民共和国境外（包括港澳台地区）的报送</w:t>
            </w:r>
          </w:p>
        </w:tc>
        <w:tc>
          <w:tcPr>
            <w:tcW w:w="1134" w:type="dxa"/>
            <w:vAlign w:val="top"/>
          </w:tcPr>
          <w:p>
            <w:pPr>
              <w:ind w:firstLine="352" w:firstLineChars="200"/>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5</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企业合并的工商部门或其他政府部门的批准文件复印件</w:t>
            </w:r>
          </w:p>
        </w:tc>
        <w:tc>
          <w:tcPr>
            <w:tcW w:w="709" w:type="dxa"/>
            <w:shd w:val="clear" w:color="auto" w:fill="auto"/>
            <w:vAlign w:val="center"/>
          </w:tcPr>
          <w:p>
            <w:pPr>
              <w:pStyle w:val="13"/>
              <w:widowControl/>
              <w:spacing w:before="100" w:after="100"/>
              <w:ind w:firstLine="352" w:firstLineChars="0"/>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条件</w:t>
            </w:r>
            <w:r>
              <w:rPr>
                <w:rFonts w:ascii="宋体" w:hAnsi="宋体" w:cs="微软雅黑"/>
                <w:color w:val="auto"/>
                <w:sz w:val="18"/>
                <w:szCs w:val="18"/>
              </w:rPr>
              <w:t>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olor w:val="auto"/>
                <w:sz w:val="18"/>
                <w:szCs w:val="18"/>
              </w:rPr>
              <w:t>被合并企业</w:t>
            </w:r>
          </w:p>
        </w:tc>
        <w:tc>
          <w:tcPr>
            <w:tcW w:w="1134" w:type="dxa"/>
            <w:vAlign w:val="top"/>
          </w:tcPr>
          <w:p>
            <w:pPr>
              <w:ind w:firstLine="352" w:firstLineChars="200"/>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6</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企业全部资产和负债的计税基础以及评估机构出具的资产评估报告复印件</w:t>
            </w:r>
          </w:p>
        </w:tc>
        <w:tc>
          <w:tcPr>
            <w:tcW w:w="709" w:type="dxa"/>
            <w:shd w:val="clear" w:color="auto" w:fill="auto"/>
            <w:vAlign w:val="center"/>
          </w:tcPr>
          <w:p>
            <w:pPr>
              <w:pStyle w:val="13"/>
              <w:widowControl/>
              <w:spacing w:before="100" w:after="100"/>
              <w:ind w:firstLine="352" w:firstLineChars="0"/>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条件</w:t>
            </w:r>
            <w:r>
              <w:rPr>
                <w:rFonts w:ascii="宋体" w:hAnsi="宋体" w:cs="微软雅黑"/>
                <w:color w:val="auto"/>
                <w:sz w:val="18"/>
                <w:szCs w:val="18"/>
              </w:rPr>
              <w:t>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olor w:val="auto"/>
                <w:sz w:val="18"/>
                <w:szCs w:val="18"/>
              </w:rPr>
              <w:t>被合并企业</w:t>
            </w:r>
          </w:p>
        </w:tc>
        <w:tc>
          <w:tcPr>
            <w:tcW w:w="1134" w:type="dxa"/>
            <w:vAlign w:val="top"/>
          </w:tcPr>
          <w:p>
            <w:pPr>
              <w:ind w:firstLine="352" w:firstLineChars="200"/>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7</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被合并企业债务处理或归属情况说明复印件</w:t>
            </w:r>
          </w:p>
        </w:tc>
        <w:tc>
          <w:tcPr>
            <w:tcW w:w="709" w:type="dxa"/>
            <w:shd w:val="clear" w:color="auto" w:fill="auto"/>
            <w:vAlign w:val="center"/>
          </w:tcPr>
          <w:p>
            <w:pPr>
              <w:pStyle w:val="13"/>
              <w:widowControl/>
              <w:spacing w:before="100" w:after="100"/>
              <w:ind w:firstLine="352" w:firstLineChars="0"/>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条件</w:t>
            </w:r>
            <w:r>
              <w:rPr>
                <w:rFonts w:ascii="宋体" w:hAnsi="宋体" w:cs="微软雅黑"/>
                <w:color w:val="auto"/>
                <w:sz w:val="18"/>
                <w:szCs w:val="18"/>
              </w:rPr>
              <w:t>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olor w:val="auto"/>
                <w:sz w:val="18"/>
                <w:szCs w:val="18"/>
              </w:rPr>
              <w:t>被合并</w:t>
            </w:r>
            <w:r>
              <w:rPr>
                <w:rFonts w:ascii="宋体" w:hAnsi="宋体"/>
                <w:color w:val="auto"/>
                <w:sz w:val="18"/>
                <w:szCs w:val="18"/>
              </w:rPr>
              <w:t>企业</w:t>
            </w:r>
          </w:p>
        </w:tc>
        <w:tc>
          <w:tcPr>
            <w:tcW w:w="1134" w:type="dxa"/>
            <w:vAlign w:val="top"/>
          </w:tcPr>
          <w:p>
            <w:pPr>
              <w:ind w:firstLine="352" w:firstLineChars="200"/>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8</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color w:val="auto"/>
                <w:sz w:val="18"/>
                <w:szCs w:val="18"/>
              </w:rPr>
              <w:t>企业分立的工商部门或其他政府部门的批准文件复印件</w:t>
            </w:r>
          </w:p>
        </w:tc>
        <w:tc>
          <w:tcPr>
            <w:tcW w:w="709" w:type="dxa"/>
            <w:shd w:val="clear" w:color="auto" w:fill="auto"/>
            <w:vAlign w:val="center"/>
          </w:tcPr>
          <w:p>
            <w:pPr>
              <w:pStyle w:val="13"/>
              <w:widowControl/>
              <w:spacing w:before="100" w:after="100"/>
              <w:ind w:firstLine="352" w:firstLineChars="0"/>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条件</w:t>
            </w:r>
            <w:r>
              <w:rPr>
                <w:rFonts w:ascii="宋体" w:hAnsi="宋体" w:cs="微软雅黑"/>
                <w:color w:val="auto"/>
                <w:sz w:val="18"/>
                <w:szCs w:val="18"/>
              </w:rPr>
              <w:t>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olor w:val="auto"/>
                <w:sz w:val="18"/>
                <w:szCs w:val="18"/>
              </w:rPr>
              <w:t>被分立企业</w:t>
            </w:r>
          </w:p>
        </w:tc>
        <w:tc>
          <w:tcPr>
            <w:tcW w:w="1134" w:type="dxa"/>
            <w:vAlign w:val="top"/>
          </w:tcPr>
          <w:p>
            <w:pPr>
              <w:ind w:firstLine="352" w:firstLineChars="200"/>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9</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color w:val="auto"/>
                <w:sz w:val="18"/>
                <w:szCs w:val="18"/>
              </w:rPr>
              <w:t>被分立企业全部资产的计税基础以及评估机构出具的资产评估报告复印件</w:t>
            </w:r>
          </w:p>
        </w:tc>
        <w:tc>
          <w:tcPr>
            <w:tcW w:w="709" w:type="dxa"/>
            <w:shd w:val="clear" w:color="auto" w:fill="auto"/>
            <w:vAlign w:val="center"/>
          </w:tcPr>
          <w:p>
            <w:pPr>
              <w:pStyle w:val="13"/>
              <w:widowControl/>
              <w:spacing w:before="100" w:after="100"/>
              <w:ind w:firstLine="352" w:firstLineChars="0"/>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条件</w:t>
            </w:r>
            <w:r>
              <w:rPr>
                <w:rFonts w:ascii="宋体" w:hAnsi="宋体" w:cs="微软雅黑"/>
                <w:color w:val="auto"/>
                <w:sz w:val="18"/>
                <w:szCs w:val="18"/>
              </w:rPr>
              <w:t>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olor w:val="auto"/>
                <w:sz w:val="18"/>
                <w:szCs w:val="18"/>
              </w:rPr>
              <w:t>被分立企业</w:t>
            </w:r>
          </w:p>
        </w:tc>
        <w:tc>
          <w:tcPr>
            <w:tcW w:w="1134" w:type="dxa"/>
            <w:vAlign w:val="top"/>
          </w:tcPr>
          <w:p>
            <w:pPr>
              <w:ind w:firstLine="352" w:firstLineChars="200"/>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10</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color w:val="auto"/>
                <w:sz w:val="18"/>
                <w:szCs w:val="18"/>
              </w:rPr>
              <w:t>被分立企业债务处理或归属情况说明复印件</w:t>
            </w:r>
          </w:p>
        </w:tc>
        <w:tc>
          <w:tcPr>
            <w:tcW w:w="709" w:type="dxa"/>
            <w:shd w:val="clear" w:color="auto" w:fill="auto"/>
            <w:vAlign w:val="center"/>
          </w:tcPr>
          <w:p>
            <w:pPr>
              <w:pStyle w:val="13"/>
              <w:widowControl/>
              <w:spacing w:before="100" w:after="100"/>
              <w:ind w:firstLine="352" w:firstLineChars="0"/>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条件</w:t>
            </w:r>
            <w:r>
              <w:rPr>
                <w:rFonts w:ascii="宋体" w:hAnsi="宋体" w:cs="微软雅黑"/>
                <w:color w:val="auto"/>
                <w:sz w:val="18"/>
                <w:szCs w:val="18"/>
              </w:rPr>
              <w:t>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olor w:val="auto"/>
                <w:sz w:val="18"/>
                <w:szCs w:val="18"/>
              </w:rPr>
              <w:t>被分立企业</w:t>
            </w:r>
          </w:p>
        </w:tc>
        <w:tc>
          <w:tcPr>
            <w:tcW w:w="1134" w:type="dxa"/>
            <w:vAlign w:val="top"/>
          </w:tcPr>
          <w:p>
            <w:pPr>
              <w:ind w:firstLine="352" w:firstLineChars="200"/>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ascii="宋体" w:hAnsi="宋体" w:cs="微软雅黑"/>
                <w:color w:val="auto"/>
                <w:sz w:val="18"/>
                <w:szCs w:val="18"/>
              </w:rPr>
              <w:t>11</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color w:val="auto"/>
                <w:sz w:val="18"/>
                <w:szCs w:val="18"/>
              </w:rPr>
              <w:t>企业改变法律形式的工商部门或其他政府部门的有关文件复印件，复印件上应当注明“与原件一致”，并加盖单位公章</w:t>
            </w:r>
          </w:p>
        </w:tc>
        <w:tc>
          <w:tcPr>
            <w:tcW w:w="709" w:type="dxa"/>
            <w:shd w:val="clear" w:color="auto" w:fill="auto"/>
            <w:vAlign w:val="center"/>
          </w:tcPr>
          <w:p>
            <w:pPr>
              <w:pStyle w:val="13"/>
              <w:widowControl/>
              <w:spacing w:before="100" w:after="100"/>
              <w:ind w:firstLine="352" w:firstLineChars="0"/>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color w:val="auto"/>
                <w:sz w:val="18"/>
                <w:szCs w:val="18"/>
              </w:rPr>
              <w:t>企业由法人转变为个人独资企业、合伙企业等非法人组织，或将登记注册地转移至中华人民共和国境外（包括港澳台地区）的报送</w:t>
            </w:r>
          </w:p>
        </w:tc>
        <w:tc>
          <w:tcPr>
            <w:tcW w:w="1134" w:type="dxa"/>
            <w:vAlign w:val="center"/>
          </w:tcPr>
          <w:p>
            <w:pPr>
              <w:ind w:firstLine="352" w:firstLineChars="200"/>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12</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color w:val="auto"/>
                <w:sz w:val="18"/>
                <w:szCs w:val="18"/>
              </w:rPr>
              <w:t>企业合并的工商部门或其他政府部门的有关文件复印件，复印件上应当注明“与原件一致”，并加盖单位公章</w:t>
            </w:r>
          </w:p>
        </w:tc>
        <w:tc>
          <w:tcPr>
            <w:tcW w:w="709" w:type="dxa"/>
            <w:shd w:val="clear" w:color="auto" w:fill="auto"/>
            <w:vAlign w:val="center"/>
          </w:tcPr>
          <w:p>
            <w:pPr>
              <w:pStyle w:val="13"/>
              <w:widowControl/>
              <w:spacing w:before="100" w:after="100"/>
              <w:ind w:firstLine="352" w:firstLineChars="0"/>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olor w:val="auto"/>
                <w:sz w:val="18"/>
                <w:szCs w:val="18"/>
              </w:rPr>
              <w:t>被合并企业</w:t>
            </w:r>
          </w:p>
        </w:tc>
        <w:tc>
          <w:tcPr>
            <w:tcW w:w="1134" w:type="dxa"/>
            <w:vAlign w:val="center"/>
          </w:tcPr>
          <w:p>
            <w:pPr>
              <w:ind w:firstLine="352" w:firstLineChars="200"/>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13</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color w:val="auto"/>
                <w:sz w:val="18"/>
                <w:szCs w:val="18"/>
              </w:rPr>
              <w:t>企业分立的工商部门或其他政府部门的有关文件复印件，复印件上应当注明“与原件一致”，并加盖单位公章</w:t>
            </w:r>
          </w:p>
        </w:tc>
        <w:tc>
          <w:tcPr>
            <w:tcW w:w="709" w:type="dxa"/>
            <w:shd w:val="clear" w:color="auto" w:fill="auto"/>
            <w:vAlign w:val="center"/>
          </w:tcPr>
          <w:p>
            <w:pPr>
              <w:pStyle w:val="13"/>
              <w:widowControl/>
              <w:spacing w:before="100" w:after="100"/>
              <w:ind w:firstLine="352" w:firstLineChars="0"/>
              <w:rPr>
                <w:rFonts w:hint="eastAsia" w:cs="宋体"/>
                <w:color w:val="auto"/>
                <w:kern w:val="0"/>
                <w:sz w:val="18"/>
                <w:szCs w:val="18"/>
              </w:rPr>
            </w:pPr>
            <w:r>
              <w:rPr>
                <w:rStyle w:val="17"/>
                <w:rFonts w:hint="eastAsia" w:ascii="宋体" w:hAnsi="宋体" w:cs="微软雅黑"/>
                <w:b w:val="0"/>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条件报送</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r>
              <w:rPr>
                <w:rFonts w:hint="eastAsia" w:ascii="宋体" w:hAnsi="宋体"/>
                <w:color w:val="auto"/>
                <w:sz w:val="18"/>
                <w:szCs w:val="18"/>
              </w:rPr>
              <w:t>被分立企业</w:t>
            </w:r>
          </w:p>
        </w:tc>
        <w:tc>
          <w:tcPr>
            <w:tcW w:w="1134" w:type="dxa"/>
            <w:vAlign w:val="center"/>
          </w:tcPr>
          <w:p>
            <w:pPr>
              <w:ind w:left="0" w:leftChars="0" w:firstLine="0" w:firstLineChars="0"/>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税务机关留存</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0"/>
                <w:sz w:val="18"/>
                <w:szCs w:val="18"/>
                <w:lang w:val="en-US" w:eastAsia="zh-CN" w:bidi="ar-SA"/>
              </w:rPr>
            </w:pPr>
            <w:r>
              <w:rPr>
                <w:rFonts w:hint="eastAsia" w:ascii="宋体" w:hAnsi="宋体" w:eastAsia="宋体" w:cs="微软雅黑"/>
                <w:color w:val="auto"/>
                <w:kern w:val="0"/>
                <w:sz w:val="18"/>
                <w:szCs w:val="18"/>
                <w:lang w:val="en-US" w:eastAsia="zh-CN" w:bidi="ar-SA"/>
              </w:rPr>
              <w:t>是</w:t>
            </w: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color w:val="auto"/>
        </w:rPr>
        <w:object>
          <v:shape id="_x0000_i1092" o:spt="75" type="#_x0000_t75" style="height:101.9pt;width:381pt;" o:ole="t" filled="f" o:preferrelative="t" stroked="f" coordsize="21600,21600">
            <v:path/>
            <v:fill on="f" focussize="0,0"/>
            <v:stroke on="f"/>
            <v:imagedata r:id="rId11" o:title=""/>
            <o:lock v:ext="edit" aspectratio="t"/>
            <w10:wrap type="none"/>
            <w10:anchorlock/>
          </v:shape>
          <o:OLEObject Type="Embed" ProgID="Visio.Drawing.11" ShapeID="_x0000_i1092" DrawAspect="Content" ObjectID="_1468075725" r:id="rId10">
            <o:LockedField>false</o:LockedField>
          </o:OLEObject>
        </w:object>
      </w:r>
    </w:p>
    <w:p>
      <w:pPr>
        <w:ind w:left="0" w:leftChars="0" w:firstLine="0" w:firstLineChars="0"/>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1.A06213《中华人民共和国企业清算所得税申报表及附表》</w:t>
      </w:r>
    </w:p>
    <w:p>
      <w:pPr>
        <w:pStyle w:val="3"/>
        <w:ind w:firstLine="552"/>
        <w:rPr>
          <w:color w:val="auto"/>
        </w:rPr>
      </w:pPr>
      <w:r>
        <w:rPr>
          <w:rFonts w:hint="eastAsia"/>
          <w:color w:val="auto"/>
        </w:rPr>
        <w:t>九、注意事项</w:t>
      </w:r>
    </w:p>
    <w:p>
      <w:pPr>
        <w:ind w:firstLine="472"/>
        <w:rPr>
          <w:color w:val="auto"/>
        </w:rPr>
      </w:pPr>
      <w:r>
        <w:rPr>
          <w:color w:val="auto"/>
        </w:rPr>
        <w:t>1.如需调整前期的申报或对前期申报进行补充申报，则通过申报错误更正业务进行办理；如属于纳税评估自查补报，则通过纳税评估通知书进行办理。</w:t>
      </w:r>
    </w:p>
    <w:p>
      <w:pPr>
        <w:ind w:firstLine="472"/>
        <w:rPr>
          <w:color w:val="auto"/>
        </w:rPr>
      </w:pPr>
      <w:r>
        <w:rPr>
          <w:color w:val="auto"/>
        </w:rPr>
        <w:t>2</w:t>
      </w:r>
      <w:r>
        <w:rPr>
          <w:rFonts w:hint="eastAsia"/>
          <w:color w:val="auto"/>
        </w:rPr>
        <w:t>.企业在办理企业所得税清算申报前，应当自实际经营终止之日起六十日内，先向主管税务机关办理年度企业所得税汇算清缴，依法缴纳企业所得税。</w:t>
      </w:r>
    </w:p>
    <w:p>
      <w:pPr>
        <w:ind w:firstLine="472"/>
        <w:jc w:val="left"/>
        <w:rPr>
          <w:color w:val="auto"/>
        </w:rPr>
      </w:pPr>
      <w:r>
        <w:rPr>
          <w:color w:val="auto"/>
        </w:rPr>
        <w:t>3.发现申报表错误,可根据情况进行申报表修改、申报表更正、删除申报表、调账凭证调整、更正通知书入库更正等处理。</w:t>
      </w:r>
    </w:p>
    <w:p>
      <w:pPr>
        <w:ind w:firstLine="472"/>
        <w:rPr>
          <w:color w:val="auto"/>
        </w:rPr>
      </w:pPr>
      <w:r>
        <w:rPr>
          <w:rFonts w:hint="eastAsia"/>
          <w:color w:val="auto"/>
          <w:lang w:val="en-US" w:eastAsia="zh-CN"/>
        </w:rPr>
        <w:t>4</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jc w:val="left"/>
        <w:rPr>
          <w:rFonts w:hint="eastAsia" w:eastAsia="宋体"/>
          <w:color w:val="auto"/>
          <w:lang w:val="en-US" w:eastAsia="zh-CN"/>
        </w:rPr>
      </w:pPr>
      <w:r>
        <w:rPr>
          <w:rFonts w:hint="eastAsia"/>
          <w:color w:val="auto"/>
          <w:lang w:val="en-US" w:eastAsia="zh-CN"/>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6C013C33"/>
    <w:multiLevelType w:val="multilevel"/>
    <w:tmpl w:val="6C013C33"/>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7522E65"/>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2019-10-31T03:45:42Z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