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0262"/>
      <w:r>
        <w:rPr>
          <w:rFonts w:hint="eastAsia" w:ascii="黑体" w:hAnsi="黑体"/>
          <w:color w:val="auto"/>
        </w:rPr>
        <w:t>4.2.2.1纳税担保申请确认</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纳税担保申请确认</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w:t>
      </w:r>
      <w:r>
        <w:rPr>
          <w:rFonts w:hint="eastAsia"/>
          <w:color w:val="auto"/>
          <w:lang w:eastAsia="zh-CN"/>
        </w:rPr>
        <w:t>限时</w:t>
      </w:r>
      <w:r>
        <w:rPr>
          <w:color w:val="auto"/>
        </w:rPr>
        <w:t>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是</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w:t>
      </w:r>
      <w:r>
        <w:rPr>
          <w:rFonts w:hint="eastAsia"/>
          <w:color w:val="auto"/>
          <w:lang w:val="en-US" w:eastAsia="zh-CN"/>
        </w:rPr>
        <w:t>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rFonts w:hint="eastAsia"/>
          <w:color w:val="auto"/>
        </w:rPr>
        <w:t>纳税担保申请确认是指税务机关对纳税人或纳税担保人提出的纳税担保申请进行受理、确认。</w:t>
      </w:r>
    </w:p>
    <w:p>
      <w:pPr>
        <w:pStyle w:val="3"/>
        <w:ind w:firstLine="552"/>
        <w:rPr>
          <w:color w:val="auto"/>
        </w:rPr>
      </w:pPr>
      <w:r>
        <w:rPr>
          <w:rFonts w:hint="eastAsia"/>
          <w:color w:val="auto"/>
        </w:rPr>
        <w:t>四、设定依据</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color w:val="auto"/>
        </w:rPr>
      </w:pPr>
      <w:r>
        <w:rPr>
          <w:rFonts w:hint="eastAsia"/>
          <w:color w:val="auto"/>
        </w:rPr>
        <w:t>1.《中华人民共和国担保法》全文</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color w:val="auto"/>
        </w:rPr>
      </w:pPr>
      <w:r>
        <w:rPr>
          <w:rFonts w:hint="eastAsia"/>
          <w:color w:val="auto"/>
        </w:rPr>
        <w:t>2.《中华人民共和国税收征收管理法》第三十八条，第八十八条</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color w:val="auto"/>
          <w:lang w:eastAsia="zh-CN"/>
        </w:rPr>
      </w:pPr>
      <w:r>
        <w:rPr>
          <w:rFonts w:hint="eastAsia"/>
          <w:color w:val="auto"/>
          <w:lang w:eastAsia="zh-CN"/>
        </w:rPr>
        <w:t>“</w:t>
      </w:r>
      <w:r>
        <w:rPr>
          <w:rFonts w:hint="eastAsia"/>
          <w:color w:val="auto"/>
        </w:rPr>
        <w:t>第三十八条</w:t>
      </w:r>
      <w:r>
        <w:rPr>
          <w:rFonts w:hint="eastAsia"/>
          <w:color w:val="auto"/>
          <w:lang w:eastAsia="zh-CN"/>
        </w:rPr>
        <w:t>、税务机关应当加强对税款征收的管理，建立、健全责任制度。</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color w:val="auto"/>
          <w:lang w:eastAsia="zh-CN"/>
        </w:rPr>
      </w:pPr>
      <w:r>
        <w:rPr>
          <w:rFonts w:hint="eastAsia"/>
          <w:color w:val="auto"/>
          <w:lang w:eastAsia="zh-CN"/>
        </w:rPr>
        <w:t>税务机关根据保证国家税款及时足额入库、方便纳税人、降低税收成本的原则，确定税款征收的方式。</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color w:val="auto"/>
          <w:lang w:eastAsia="zh-CN"/>
        </w:rPr>
      </w:pPr>
      <w:r>
        <w:rPr>
          <w:rFonts w:hint="eastAsia"/>
          <w:color w:val="auto"/>
          <w:lang w:eastAsia="zh-CN"/>
        </w:rPr>
        <w:t>税务机关应当加强对纳税人出口退税的管理，具体管理办法由国家税务总局会同国务院有关部门制定。</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eastAsia="宋体"/>
          <w:color w:val="auto"/>
          <w:lang w:eastAsia="zh-CN"/>
        </w:rPr>
      </w:pPr>
      <w:r>
        <w:rPr>
          <w:rFonts w:hint="eastAsia"/>
          <w:color w:val="auto"/>
        </w:rPr>
        <w:t>第八十八条</w:t>
      </w:r>
      <w:r>
        <w:rPr>
          <w:rFonts w:hint="eastAsia"/>
          <w:color w:val="auto"/>
          <w:lang w:eastAsia="zh-CN"/>
        </w:rPr>
        <w:t>、依照税收征管法第五十五条规定，税务机关采取税收保全措施的期限一般不得超过6个月;重大案件需要延长的，应当报国家税务总局批准。”</w:t>
      </w:r>
    </w:p>
    <w:p>
      <w:pPr>
        <w:keepNext w:val="0"/>
        <w:keepLines w:val="0"/>
        <w:pageBreakBefore w:val="0"/>
        <w:widowControl w:val="0"/>
        <w:numPr>
          <w:ilvl w:val="0"/>
          <w:numId w:val="0"/>
        </w:numPr>
        <w:kinsoku/>
        <w:wordWrap/>
        <w:overflowPunct/>
        <w:topLinePunct w:val="0"/>
        <w:autoSpaceDE/>
        <w:autoSpaceDN/>
        <w:bidi w:val="0"/>
        <w:adjustRightInd/>
        <w:snapToGrid/>
        <w:ind w:firstLine="472" w:firstLineChars="200"/>
        <w:textAlignment w:val="auto"/>
        <w:rPr>
          <w:rFonts w:hint="eastAsia"/>
          <w:color w:val="auto"/>
        </w:rPr>
      </w:pPr>
      <w:r>
        <w:rPr>
          <w:rFonts w:hint="eastAsia"/>
          <w:color w:val="auto"/>
          <w:lang w:val="en-US" w:eastAsia="zh-CN"/>
        </w:rPr>
        <w:t>3.</w:t>
      </w:r>
      <w:r>
        <w:rPr>
          <w:rFonts w:hint="eastAsia"/>
          <w:color w:val="auto"/>
        </w:rPr>
        <w:t>《中华人民共和国税收征收管理法实施细则》（中华人民共和国国务院令第362号）第六十二条</w:t>
      </w:r>
    </w:p>
    <w:p>
      <w:pPr>
        <w:keepNext w:val="0"/>
        <w:keepLines w:val="0"/>
        <w:pageBreakBefore w:val="0"/>
        <w:widowControl w:val="0"/>
        <w:numPr>
          <w:ilvl w:val="0"/>
          <w:numId w:val="0"/>
        </w:numPr>
        <w:kinsoku/>
        <w:wordWrap/>
        <w:overflowPunct/>
        <w:topLinePunct w:val="0"/>
        <w:autoSpaceDE/>
        <w:autoSpaceDN/>
        <w:bidi w:val="0"/>
        <w:adjustRightInd/>
        <w:snapToGrid/>
        <w:ind w:firstLine="472" w:firstLineChars="200"/>
        <w:textAlignment w:val="auto"/>
        <w:rPr>
          <w:rFonts w:hint="eastAsia"/>
          <w:color w:val="auto"/>
          <w:lang w:eastAsia="zh-CN"/>
        </w:rPr>
      </w:pPr>
      <w:r>
        <w:rPr>
          <w:rFonts w:hint="eastAsia"/>
          <w:color w:val="auto"/>
          <w:lang w:eastAsia="zh-CN"/>
        </w:rPr>
        <w:t>“</w:t>
      </w:r>
      <w:r>
        <w:rPr>
          <w:rFonts w:hint="eastAsia"/>
          <w:color w:val="auto"/>
        </w:rPr>
        <w:t>第六十二条</w:t>
      </w:r>
      <w:r>
        <w:rPr>
          <w:rFonts w:hint="eastAsia"/>
          <w:color w:val="auto"/>
          <w:lang w:eastAsia="zh-CN"/>
        </w:rPr>
        <w:t>、纳税担保人同意为纳税人提供纳税担保的，应当填写纳税担保书，写明担保对象、担保范围、担保期限和担保责任以及其他有关事项。担保书须经纳税人、纳税担保人签字盖章并经税务机关同意，方为有效。</w:t>
      </w:r>
    </w:p>
    <w:p>
      <w:pPr>
        <w:keepNext w:val="0"/>
        <w:keepLines w:val="0"/>
        <w:pageBreakBefore w:val="0"/>
        <w:widowControl w:val="0"/>
        <w:numPr>
          <w:ilvl w:val="0"/>
          <w:numId w:val="0"/>
        </w:numPr>
        <w:kinsoku/>
        <w:wordWrap/>
        <w:overflowPunct/>
        <w:topLinePunct w:val="0"/>
        <w:autoSpaceDE/>
        <w:autoSpaceDN/>
        <w:bidi w:val="0"/>
        <w:adjustRightInd/>
        <w:snapToGrid/>
        <w:ind w:firstLine="472" w:firstLineChars="200"/>
        <w:textAlignment w:val="auto"/>
        <w:rPr>
          <w:rFonts w:hint="eastAsia" w:eastAsia="宋体"/>
          <w:color w:val="auto"/>
          <w:lang w:eastAsia="zh-CN"/>
        </w:rPr>
      </w:pPr>
      <w:r>
        <w:rPr>
          <w:rFonts w:hint="eastAsia"/>
          <w:color w:val="auto"/>
          <w:lang w:eastAsia="zh-CN"/>
        </w:rPr>
        <w:t>纳税人或者第三人以其财产提供纳税担保的，应当填写财产清单，并写明财产价值以及其他有关事项。纳税担保财产清单须经纳税人、第三人签字盖章并经税务机关确认，方为有效。”</w:t>
      </w:r>
    </w:p>
    <w:p>
      <w:pPr>
        <w:keepNext w:val="0"/>
        <w:keepLines w:val="0"/>
        <w:pageBreakBefore w:val="0"/>
        <w:widowControl w:val="0"/>
        <w:numPr>
          <w:ilvl w:val="0"/>
          <w:numId w:val="0"/>
        </w:numPr>
        <w:kinsoku/>
        <w:wordWrap/>
        <w:overflowPunct/>
        <w:topLinePunct w:val="0"/>
        <w:autoSpaceDE/>
        <w:autoSpaceDN/>
        <w:bidi w:val="0"/>
        <w:adjustRightInd/>
        <w:snapToGrid/>
        <w:ind w:firstLine="472" w:firstLineChars="200"/>
        <w:textAlignment w:val="auto"/>
        <w:rPr>
          <w:rFonts w:hint="eastAsia" w:eastAsia="宋体"/>
          <w:color w:val="auto"/>
          <w:lang w:eastAsia="zh-CN"/>
        </w:rPr>
      </w:pPr>
      <w:r>
        <w:rPr>
          <w:rFonts w:hint="eastAsia"/>
          <w:color w:val="auto"/>
          <w:lang w:val="en-US" w:eastAsia="zh-CN"/>
        </w:rPr>
        <w:t>4.</w:t>
      </w:r>
      <w:r>
        <w:rPr>
          <w:rFonts w:hint="eastAsia"/>
          <w:color w:val="auto"/>
        </w:rPr>
        <w:t>《纳税担保试行办法》（国家税务总局令第11号）</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olor w:val="auto"/>
                <w:sz w:val="18"/>
                <w:szCs w:val="18"/>
              </w:rPr>
              <w:t>《纳税担保书》</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Style w:val="17"/>
                <w:rFonts w:ascii="宋体" w:hAnsi="宋体" w:eastAsia="宋体" w:cs="微软雅黑"/>
                <w:b w:val="0"/>
                <w:color w:val="auto"/>
                <w:sz w:val="18"/>
                <w:szCs w:val="18"/>
              </w:rPr>
              <w:t>3</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纳税人、扣缴义务人需要提供纳税担保的</w:t>
            </w: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eastAsia="zh-CN"/>
              </w:rPr>
              <w:t>税务机关</w:t>
            </w:r>
            <w:r>
              <w:rPr>
                <w:rFonts w:hint="eastAsia" w:cs="宋体"/>
                <w:color w:val="auto"/>
                <w:kern w:val="0"/>
                <w:sz w:val="18"/>
                <w:szCs w:val="18"/>
              </w:rPr>
              <w:t>留存</w:t>
            </w:r>
            <w:r>
              <w:rPr>
                <w:rFonts w:hint="eastAsia" w:cs="宋体"/>
                <w:color w:val="auto"/>
                <w:kern w:val="0"/>
                <w:sz w:val="18"/>
                <w:szCs w:val="18"/>
                <w:lang w:val="en-US" w:eastAsia="zh-CN"/>
              </w:rPr>
              <w:t>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eastAsia="宋体" w:cs="宋体"/>
                <w:color w:val="auto"/>
                <w:kern w:val="0"/>
                <w:sz w:val="18"/>
                <w:szCs w:val="18"/>
                <w:lang w:val="en-US" w:eastAsia="zh-CN"/>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宋体"/>
                <w:color w:val="auto"/>
                <w:sz w:val="18"/>
                <w:szCs w:val="18"/>
              </w:rPr>
            </w:pPr>
            <w:r>
              <w:rPr>
                <w:rFonts w:hint="eastAsia" w:cs="宋体"/>
                <w:color w:val="auto"/>
                <w:kern w:val="0"/>
                <w:sz w:val="18"/>
                <w:szCs w:val="18"/>
              </w:rPr>
              <w:t>《纳税担保财产清单》</w:t>
            </w:r>
          </w:p>
        </w:tc>
        <w:tc>
          <w:tcPr>
            <w:tcW w:w="709"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宋体"/>
                <w:color w:val="auto"/>
                <w:sz w:val="18"/>
                <w:szCs w:val="18"/>
              </w:rPr>
            </w:pPr>
            <w:r>
              <w:rPr>
                <w:rStyle w:val="17"/>
                <w:rFonts w:ascii="宋体" w:hAnsi="宋体" w:eastAsia="宋体" w:cs="微软雅黑"/>
                <w:b w:val="0"/>
                <w:color w:val="auto"/>
                <w:sz w:val="18"/>
                <w:szCs w:val="18"/>
              </w:rPr>
              <w:t>3</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纳税人、扣缴义务人以财产担保的</w:t>
            </w:r>
          </w:p>
        </w:tc>
        <w:tc>
          <w:tcPr>
            <w:tcW w:w="1134" w:type="dxa"/>
            <w:vAlign w:val="center"/>
          </w:tcPr>
          <w:p>
            <w:pPr>
              <w:pStyle w:val="13"/>
              <w:widowControl/>
              <w:spacing w:beforeAutospacing="0" w:afterAutospacing="0" w:line="280" w:lineRule="exact"/>
              <w:ind w:firstLine="0" w:firstLineChars="0"/>
              <w:jc w:val="center"/>
              <w:rPr>
                <w:rFonts w:hint="eastAsia" w:eastAsia="宋体" w:cs="宋体"/>
                <w:color w:val="auto"/>
                <w:kern w:val="0"/>
                <w:sz w:val="18"/>
                <w:szCs w:val="18"/>
                <w:lang w:val="en-US" w:eastAsia="zh-CN"/>
              </w:rPr>
            </w:pPr>
            <w:r>
              <w:rPr>
                <w:rFonts w:hint="eastAsia" w:ascii="宋体" w:hAnsi="宋体" w:eastAsia="宋体" w:cs="微软雅黑"/>
                <w:color w:val="auto"/>
                <w:sz w:val="18"/>
                <w:szCs w:val="18"/>
                <w:lang w:eastAsia="zh-CN"/>
              </w:rPr>
              <w:t>税务机关</w:t>
            </w:r>
            <w:r>
              <w:rPr>
                <w:rFonts w:hint="eastAsia" w:ascii="宋体" w:hAnsi="宋体" w:eastAsia="宋体" w:cs="微软雅黑"/>
                <w:color w:val="auto"/>
                <w:sz w:val="18"/>
                <w:szCs w:val="18"/>
              </w:rPr>
              <w:t>留存</w:t>
            </w:r>
            <w:r>
              <w:rPr>
                <w:rFonts w:hint="eastAsia" w:ascii="宋体" w:hAnsi="宋体" w:eastAsia="宋体" w:cs="微软雅黑"/>
                <w:color w:val="auto"/>
                <w:sz w:val="18"/>
                <w:szCs w:val="18"/>
                <w:lang w:val="en-US" w:eastAsia="zh-CN"/>
              </w:rPr>
              <w:t>1份</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eastAsia="宋体" w:cs="宋体"/>
                <w:color w:val="auto"/>
                <w:kern w:val="0"/>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ascii="宋体" w:hAnsi="宋体" w:eastAsia="宋体" w:cs="微软雅黑"/>
                <w:color w:val="auto"/>
                <w:sz w:val="18"/>
                <w:szCs w:val="18"/>
              </w:rPr>
              <w:t>3</w:t>
            </w:r>
          </w:p>
        </w:tc>
        <w:tc>
          <w:tcPr>
            <w:tcW w:w="25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olor w:val="auto"/>
                <w:sz w:val="18"/>
                <w:szCs w:val="18"/>
              </w:rPr>
              <w:t>相关部门出具的抵押登记的证明</w:t>
            </w:r>
          </w:p>
        </w:tc>
        <w:tc>
          <w:tcPr>
            <w:tcW w:w="709" w:type="dxa"/>
            <w:shd w:val="clear" w:color="auto" w:fill="auto"/>
            <w:vAlign w:val="center"/>
          </w:tcPr>
          <w:p>
            <w:pPr>
              <w:pStyle w:val="13"/>
              <w:widowControl/>
              <w:spacing w:beforeAutospacing="0" w:afterAutospacing="0" w:line="280" w:lineRule="exact"/>
              <w:ind w:firstLine="0" w:firstLineChars="0"/>
              <w:jc w:val="center"/>
              <w:rPr>
                <w:rStyle w:val="17"/>
                <w:rFonts w:hint="eastAsia" w:ascii="宋体" w:hAnsi="宋体" w:eastAsia="宋体" w:cs="微软雅黑"/>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纳税抵押和纳税质押形式的担保</w:t>
            </w: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lang w:eastAsia="zh-CN"/>
              </w:rPr>
            </w:pPr>
            <w:r>
              <w:rPr>
                <w:rFonts w:hint="eastAsia" w:ascii="宋体" w:hAnsi="宋体" w:eastAsia="宋体" w:cs="微软雅黑"/>
                <w:color w:val="auto"/>
                <w:sz w:val="18"/>
                <w:szCs w:val="18"/>
              </w:rPr>
              <w:t>查验后返还</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olor w:val="auto"/>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ascii="宋体" w:hAnsi="宋体" w:eastAsia="宋体" w:cs="微软雅黑"/>
                <w:color w:val="auto"/>
                <w:sz w:val="18"/>
                <w:szCs w:val="18"/>
              </w:rPr>
              <w:t>4</w:t>
            </w:r>
          </w:p>
        </w:tc>
        <w:tc>
          <w:tcPr>
            <w:tcW w:w="2551"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olor w:val="auto"/>
                <w:sz w:val="18"/>
                <w:szCs w:val="18"/>
              </w:rPr>
              <w:t>相关部门出具的抵押登记的证明复印件</w:t>
            </w:r>
          </w:p>
        </w:tc>
        <w:tc>
          <w:tcPr>
            <w:tcW w:w="709" w:type="dxa"/>
            <w:shd w:val="clear" w:color="auto" w:fill="auto"/>
            <w:vAlign w:val="center"/>
          </w:tcPr>
          <w:p>
            <w:pPr>
              <w:pStyle w:val="13"/>
              <w:widowControl/>
              <w:spacing w:beforeAutospacing="0" w:afterAutospacing="0" w:line="280" w:lineRule="exact"/>
              <w:ind w:firstLine="0" w:firstLineChars="0"/>
              <w:jc w:val="center"/>
              <w:rPr>
                <w:rStyle w:val="17"/>
                <w:rFonts w:hint="eastAsia"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ascii="宋体" w:hAnsi="宋体" w:eastAsia="宋体" w:cs="微软雅黑"/>
                <w:color w:val="auto"/>
                <w:sz w:val="18"/>
                <w:szCs w:val="18"/>
              </w:rPr>
              <w:t>纳税抵押和纳税质押形式的担保</w:t>
            </w:r>
          </w:p>
        </w:tc>
        <w:tc>
          <w:tcPr>
            <w:tcW w:w="1134" w:type="dxa"/>
            <w:vAlign w:val="center"/>
          </w:tcPr>
          <w:p>
            <w:pPr>
              <w:pStyle w:val="13"/>
              <w:widowControl/>
              <w:spacing w:beforeAutospacing="0" w:afterAutospacing="0" w:line="280" w:lineRule="exact"/>
              <w:ind w:firstLine="0" w:firstLineChars="0"/>
              <w:jc w:val="center"/>
              <w:rPr>
                <w:rFonts w:hint="eastAsia" w:ascii="宋体" w:hAnsi="宋体" w:eastAsia="宋体" w:cs="微软雅黑"/>
                <w:color w:val="auto"/>
                <w:sz w:val="18"/>
                <w:szCs w:val="18"/>
                <w:lang w:eastAsia="zh-CN"/>
              </w:rPr>
            </w:pPr>
            <w:r>
              <w:rPr>
                <w:rFonts w:hint="eastAsia" w:ascii="宋体" w:hAnsi="宋体" w:eastAsia="宋体" w:cs="微软雅黑"/>
                <w:color w:val="auto"/>
                <w:sz w:val="18"/>
                <w:szCs w:val="18"/>
                <w:lang w:eastAsia="zh-CN"/>
              </w:rPr>
              <w:t>税务机关</w:t>
            </w:r>
            <w:r>
              <w:rPr>
                <w:rFonts w:hint="eastAsia" w:ascii="宋体" w:hAnsi="宋体" w:eastAsia="宋体" w:cs="微软雅黑"/>
                <w:color w:val="auto"/>
                <w:sz w:val="18"/>
                <w:szCs w:val="18"/>
              </w:rPr>
              <w:t>留存</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olor w:val="auto"/>
                <w:sz w:val="18"/>
                <w:szCs w:val="18"/>
                <w:lang w:eastAsia="zh-CN"/>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eastAsia="宋体" w:cs="Times New Roman"/>
          <w:color w:val="auto"/>
          <w:kern w:val="2"/>
          <w:sz w:val="24"/>
          <w:szCs w:val="22"/>
          <w:lang w:val="en-US" w:eastAsia="zh-CN" w:bidi="ar-SA"/>
        </w:rPr>
      </w:pPr>
      <w:r>
        <w:rPr>
          <w:rFonts w:ascii="楷体" w:hAnsi="楷体" w:eastAsia="楷体"/>
          <w:color w:val="auto"/>
          <w:sz w:val="28"/>
          <w:szCs w:val="28"/>
        </w:rPr>
        <w:object>
          <v:shape id="_x0000_i1192" o:spt="75" type="#_x0000_t75" style="height:87pt;width:438.75pt;" o:ole="t" filled="f" o:preferrelative="t" stroked="f" coordsize="21600,21600">
            <v:path/>
            <v:fill on="f" focussize="0,0"/>
            <v:stroke on="f"/>
            <v:imagedata r:id="rId11" o:title=""/>
            <o:lock v:ext="edit" aspectratio="t"/>
            <w10:wrap type="none"/>
            <w10:anchorlock/>
          </v:shape>
          <o:OLEObject Type="Embed" ProgID="Visio.Drawing.11" ShapeID="_x0000_i1192"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限时</w:t>
      </w:r>
      <w:r>
        <w:rPr>
          <w:rFonts w:hint="eastAsia"/>
          <w:color w:val="auto"/>
        </w:rPr>
        <w:t>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1.A12007《纳税担保书》</w:t>
      </w:r>
    </w:p>
    <w:p>
      <w:pPr>
        <w:ind w:firstLine="472"/>
        <w:rPr>
          <w:rFonts w:hint="default" w:eastAsia="宋体"/>
          <w:color w:val="auto"/>
          <w:lang w:val="en-US" w:eastAsia="zh-CN"/>
        </w:rPr>
      </w:pPr>
      <w:r>
        <w:rPr>
          <w:rFonts w:hint="eastAsia"/>
          <w:color w:val="auto"/>
          <w:lang w:val="en-US" w:eastAsia="zh-CN"/>
        </w:rPr>
        <w:t>2.</w:t>
      </w:r>
      <w:r>
        <w:rPr>
          <w:rFonts w:hint="eastAsia"/>
          <w:color w:val="auto"/>
        </w:rPr>
        <w:t>A1200</w:t>
      </w:r>
      <w:r>
        <w:rPr>
          <w:rFonts w:hint="eastAsia"/>
          <w:color w:val="auto"/>
          <w:lang w:val="en-US" w:eastAsia="zh-CN"/>
        </w:rPr>
        <w:t>8《纳税担保财产清单》</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纳税人有下列情况之一的，适用纳税担保：税务机关有根据认为从事生产、经营的纳税人有逃避纳税义务行为，在规定的纳税期之前经责令其限期缴纳应纳税款，在限期内发现纳税人有明显的转移、隐匿其应纳税的商品、货物以及其他财产或者应纳税收入的迹象，责成纳税人提供纳税担保的；欠缴税款、滞纳金的纳税人或者其法定代表人需要出境的；纳税人同税务机关在纳税上发生争议而未缴清税款，需要申请行政复议的；税收法律、行政法规规定可以提供纳税担保的其他情形。</w:t>
      </w:r>
    </w:p>
    <w:p>
      <w:pPr>
        <w:ind w:firstLine="472"/>
        <w:rPr>
          <w:color w:val="auto"/>
        </w:rPr>
      </w:pPr>
      <w:r>
        <w:rPr>
          <w:rFonts w:hint="eastAsia"/>
          <w:color w:val="auto"/>
          <w:lang w:val="en-US" w:eastAsia="zh-CN"/>
        </w:rPr>
        <w:t>2.</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3</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lang w:val="en-US" w:eastAsia="zh-CN"/>
        </w:rPr>
        <w:t>主管税务机关及稽查局</w:t>
      </w:r>
      <w:r>
        <w:rPr>
          <w:rFonts w:hint="eastAsia"/>
          <w:color w:val="auto"/>
        </w:rPr>
        <w:t>办理时间可在国家税务总局河南省税务局网站查询</w:t>
      </w:r>
    </w:p>
    <w:p>
      <w:pPr>
        <w:ind w:firstLine="472"/>
        <w:rPr>
          <w:color w:val="auto"/>
        </w:rPr>
      </w:pPr>
      <w:r>
        <w:rPr>
          <w:rFonts w:hint="eastAsia"/>
          <w:color w:val="auto"/>
        </w:rPr>
        <w:t>网址：http://henan.chinatax.gov.cn</w:t>
      </w:r>
    </w:p>
    <w:p>
      <w:pPr>
        <w:pStyle w:val="3"/>
        <w:ind w:firstLine="552"/>
        <w:rPr>
          <w:color w:val="auto"/>
        </w:rPr>
      </w:pPr>
      <w:r>
        <w:rPr>
          <w:rFonts w:hint="eastAsia"/>
          <w:color w:val="auto"/>
        </w:rPr>
        <w:t>十一、办理地点</w:t>
      </w:r>
    </w:p>
    <w:p>
      <w:pPr>
        <w:ind w:firstLine="472"/>
        <w:rPr>
          <w:rFonts w:hint="eastAsia"/>
          <w:color w:val="auto"/>
        </w:rPr>
      </w:pPr>
      <w:r>
        <w:rPr>
          <w:rFonts w:hint="eastAsia"/>
          <w:color w:val="auto"/>
          <w:lang w:val="en-US" w:eastAsia="zh-CN"/>
        </w:rPr>
        <w:t>主管税务机关税源管理部门、稽查部门</w:t>
      </w:r>
    </w:p>
    <w:p>
      <w:pPr>
        <w:ind w:firstLine="472"/>
        <w:rPr>
          <w:rFonts w:hint="eastAsia"/>
          <w:color w:val="auto"/>
        </w:rPr>
      </w:pPr>
      <w:r>
        <w:rPr>
          <w:rFonts w:hint="eastAsia"/>
          <w:color w:val="auto"/>
          <w:lang w:val="en-US" w:eastAsia="zh-CN"/>
        </w:rPr>
        <w:t>主管税务机关及稽查局地址</w:t>
      </w:r>
      <w:r>
        <w:rPr>
          <w:rFonts w:hint="eastAsia"/>
          <w:color w:val="auto"/>
        </w:rPr>
        <w:t>可在国家税务总局河南省税务局网站查询</w:t>
      </w:r>
    </w:p>
    <w:p>
      <w:pPr>
        <w:ind w:firstLine="472"/>
        <w:rPr>
          <w:rFonts w:hint="eastAsia"/>
          <w:color w:val="auto"/>
        </w:rPr>
      </w:pPr>
      <w:r>
        <w:rPr>
          <w:rFonts w:hint="eastAsia"/>
          <w:color w:val="auto"/>
        </w:rPr>
        <w:t>网址：http://henan.chinatax.gov.cn</w:t>
      </w:r>
    </w:p>
    <w:p>
      <w:pPr>
        <w:pStyle w:val="3"/>
        <w:ind w:firstLine="552"/>
        <w:rPr>
          <w:rFonts w:hint="eastAsia"/>
          <w:color w:val="auto"/>
        </w:rPr>
      </w:pPr>
      <w:r>
        <w:rPr>
          <w:rFonts w:hint="eastAsia"/>
          <w:color w:val="auto"/>
        </w:rPr>
        <w:t>十二、办理机构</w:t>
      </w:r>
    </w:p>
    <w:p>
      <w:pPr>
        <w:ind w:firstLine="472"/>
        <w:rPr>
          <w:rFonts w:hint="eastAsia"/>
          <w:color w:val="auto"/>
        </w:rPr>
      </w:pPr>
      <w:r>
        <w:rPr>
          <w:rFonts w:hint="eastAsia"/>
          <w:color w:val="auto"/>
          <w:lang w:val="en-US" w:eastAsia="zh-CN"/>
        </w:rPr>
        <w:t>主管税务机关税源管理部门、稽查部门</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w:t>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4FE784B"/>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2019-10-31T05:15:36Z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