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19968"/>
      <w:r>
        <w:rPr>
          <w:rFonts w:hint="eastAsia" w:ascii="黑体" w:hAnsi="黑体"/>
          <w:color w:val="auto"/>
        </w:rPr>
        <w:t>4.3.4税务行政补偿</w:t>
      </w:r>
      <w:bookmarkEnd w:id="0"/>
    </w:p>
    <w:p>
      <w:pPr>
        <w:pStyle w:val="3"/>
        <w:ind w:firstLine="552"/>
        <w:rPr>
          <w:color w:val="auto"/>
        </w:rPr>
      </w:pPr>
      <w:r>
        <w:rPr>
          <w:color w:val="auto"/>
        </w:rPr>
        <w:t>一、事项名称</w:t>
      </w:r>
    </w:p>
    <w:p>
      <w:pPr>
        <w:ind w:firstLine="472"/>
        <w:rPr>
          <w:color w:val="auto"/>
        </w:rPr>
      </w:pPr>
      <w:r>
        <w:rPr>
          <w:rFonts w:hint="eastAsia"/>
          <w:color w:val="auto"/>
        </w:rPr>
        <w:t>税务行政补偿</w:t>
      </w:r>
    </w:p>
    <w:p>
      <w:pPr>
        <w:pStyle w:val="3"/>
        <w:ind w:firstLine="552"/>
        <w:rPr>
          <w:color w:val="auto"/>
        </w:rPr>
      </w:pPr>
      <w:r>
        <w:rPr>
          <w:color w:val="auto"/>
        </w:rPr>
        <w:t>二、事项类别</w:t>
      </w:r>
    </w:p>
    <w:p>
      <w:pPr>
        <w:pStyle w:val="47"/>
        <w:numPr>
          <w:ilvl w:val="0"/>
          <w:numId w:val="3"/>
        </w:numPr>
        <w:ind w:firstLineChars="0"/>
        <w:rPr>
          <w:color w:val="auto"/>
          <w:szCs w:val="24"/>
        </w:rPr>
      </w:pPr>
      <w:r>
        <w:rPr>
          <w:rFonts w:hint="eastAsia"/>
          <w:color w:val="auto"/>
          <w:szCs w:val="24"/>
        </w:rPr>
        <w:t>发起方式：人工发起（纳税人)</w:t>
      </w:r>
    </w:p>
    <w:p>
      <w:pPr>
        <w:pStyle w:val="47"/>
        <w:numPr>
          <w:ilvl w:val="0"/>
          <w:numId w:val="3"/>
        </w:numPr>
        <w:ind w:firstLineChars="0"/>
        <w:rPr>
          <w:color w:val="auto"/>
          <w:szCs w:val="24"/>
        </w:rPr>
      </w:pPr>
      <w:r>
        <w:rPr>
          <w:rFonts w:hint="eastAsia"/>
          <w:color w:val="auto"/>
          <w:szCs w:val="24"/>
        </w:rPr>
        <w:t>办结方式：限时办结</w:t>
      </w:r>
    </w:p>
    <w:p>
      <w:pPr>
        <w:pStyle w:val="47"/>
        <w:numPr>
          <w:ilvl w:val="0"/>
          <w:numId w:val="3"/>
        </w:numPr>
        <w:ind w:firstLineChars="0"/>
        <w:rPr>
          <w:color w:val="auto"/>
          <w:szCs w:val="24"/>
        </w:rPr>
      </w:pPr>
      <w:r>
        <w:rPr>
          <w:rFonts w:hint="eastAsia"/>
          <w:color w:val="auto"/>
          <w:szCs w:val="24"/>
        </w:rPr>
        <w:t>全省通办：否</w:t>
      </w:r>
    </w:p>
    <w:p>
      <w:pPr>
        <w:pStyle w:val="47"/>
        <w:numPr>
          <w:ilvl w:val="0"/>
          <w:numId w:val="3"/>
        </w:numPr>
        <w:ind w:firstLineChars="0"/>
        <w:rPr>
          <w:color w:val="auto"/>
          <w:szCs w:val="24"/>
        </w:rPr>
      </w:pPr>
      <w:r>
        <w:rPr>
          <w:rFonts w:hint="eastAsia"/>
          <w:color w:val="auto"/>
          <w:szCs w:val="24"/>
        </w:rPr>
        <w:t>网上办理：否</w:t>
      </w:r>
    </w:p>
    <w:p>
      <w:pPr>
        <w:pStyle w:val="47"/>
        <w:numPr>
          <w:ilvl w:val="0"/>
          <w:numId w:val="3"/>
        </w:numPr>
        <w:ind w:firstLineChars="0"/>
        <w:rPr>
          <w:color w:val="auto"/>
          <w:szCs w:val="24"/>
        </w:rPr>
      </w:pPr>
      <w:r>
        <w:rPr>
          <w:rFonts w:hint="eastAsia"/>
          <w:color w:val="auto"/>
          <w:szCs w:val="24"/>
        </w:rPr>
        <w:t>适用层级：省、市、县(市、区)级</w:t>
      </w:r>
    </w:p>
    <w:p>
      <w:pPr>
        <w:pStyle w:val="47"/>
        <w:numPr>
          <w:ilvl w:val="0"/>
          <w:numId w:val="4"/>
        </w:numPr>
        <w:ind w:firstLineChars="0"/>
        <w:rPr>
          <w:color w:val="auto"/>
        </w:rPr>
      </w:pPr>
      <w:r>
        <w:rPr>
          <w:rFonts w:hint="eastAsia"/>
          <w:color w:val="auto"/>
        </w:rPr>
        <w:t>最多跑一次：否</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税务行政补偿是指税务机关因国家利益、公共利益或其他法定事由需要撤回或变更行政决定，对税务行政管理相对人因此而受到的财产损失依法予以补偿。</w:t>
      </w:r>
    </w:p>
    <w:p>
      <w:pPr>
        <w:pStyle w:val="3"/>
        <w:ind w:firstLine="552"/>
        <w:rPr>
          <w:color w:val="auto"/>
        </w:rPr>
      </w:pPr>
      <w:r>
        <w:rPr>
          <w:rFonts w:hint="eastAsia"/>
          <w:color w:val="auto"/>
        </w:rPr>
        <w:t>四、设定依据</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1.《中华人民共和国行政许可法》第八条</w:t>
      </w:r>
    </w:p>
    <w:p>
      <w:pPr>
        <w:ind w:firstLine="472"/>
        <w:contextualSpacing/>
        <w:rPr>
          <w:color w:val="auto"/>
        </w:rPr>
      </w:pPr>
      <w:r>
        <w:rPr>
          <w:rFonts w:hint="eastAsia"/>
          <w:color w:val="auto"/>
        </w:rPr>
        <w:t>“公民、法人或者其他组织依法取得的行政许可受法律保护，行政机关不得擅自改变已经生效的行政许可。</w:t>
      </w:r>
    </w:p>
    <w:p>
      <w:pPr>
        <w:ind w:firstLine="472" w:firstLineChars="0"/>
        <w:contextualSpacing/>
        <w:rPr>
          <w:color w:val="auto"/>
        </w:rPr>
      </w:pPr>
      <w:r>
        <w:rPr>
          <w:rFonts w:hint="eastAsia"/>
          <w:color w:val="auto"/>
        </w:rPr>
        <w:t>    行政许可所依据的法律、法规、规章修改或者废止，或者准予行政许可所依据的客观情况发生重大变化的，为了公共利益的需要，行政机关可以依法变更或者撤回已经生效的行政许可。由此给公民、法人或者其他组织造成财产损失的，行政机关应当依法给予补偿。”</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2.《国务院关于印发全面推进依法行政实施纲要的通知》（国发〔2004〕10号）第五条第（五）款</w:t>
      </w:r>
    </w:p>
    <w:p>
      <w:pPr>
        <w:ind w:firstLine="472"/>
        <w:contextualSpacing/>
        <w:rPr>
          <w:color w:val="auto"/>
        </w:rPr>
      </w:pPr>
      <w:r>
        <w:rPr>
          <w:rFonts w:hint="eastAsia"/>
          <w:color w:val="auto"/>
        </w:rPr>
        <w:t>“诚实守信。行政机关公布的信息应当全面、准确、真实。非因法定事由并经法定程序，行政机关不得撤销、变更已经生效的行政决定；因国家利益、公共利益或者其他法定事由需要撤回或者变更行政决定的，应当依照法定权限和程序进行，并对行政管理相对人因此而受到的财产损失依法予以补偿。”</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pStyle w:val="13"/>
              <w:widowControl/>
              <w:spacing w:beforeAutospacing="0" w:afterAutospacing="0" w:line="280" w:lineRule="exact"/>
              <w:jc w:val="both"/>
              <w:rPr>
                <w:rFonts w:ascii="宋体" w:hAnsi="宋体" w:eastAsia="宋体" w:cs="微软雅黑"/>
                <w:color w:val="auto"/>
                <w:sz w:val="18"/>
                <w:szCs w:val="18"/>
              </w:rPr>
            </w:pPr>
          </w:p>
          <w:p>
            <w:pPr>
              <w:pStyle w:val="13"/>
              <w:widowControl/>
              <w:spacing w:beforeAutospacing="0" w:afterAutospacing="0" w:line="280" w:lineRule="exact"/>
              <w:jc w:val="center"/>
              <w:rPr>
                <w:rFonts w:cs="宋体"/>
                <w:color w:val="auto"/>
                <w:sz w:val="18"/>
                <w:szCs w:val="18"/>
              </w:rPr>
            </w:pPr>
            <w:r>
              <w:rPr>
                <w:rFonts w:hint="eastAsia" w:cs="宋体"/>
                <w:color w:val="auto"/>
                <w:sz w:val="18"/>
                <w:szCs w:val="18"/>
              </w:rPr>
              <w:t>税务行政补偿申请表</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Style w:val="17"/>
                <w:rFonts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napToGrid w:val="0"/>
              <w:spacing w:beforeAutospacing="0" w:afterAutospacing="0" w:line="280" w:lineRule="exact"/>
              <w:ind w:firstLine="352" w:firstLineChars="200"/>
              <w:rPr>
                <w:rFonts w:cs="宋体"/>
                <w:color w:val="auto"/>
                <w:sz w:val="18"/>
                <w:szCs w:val="18"/>
              </w:rPr>
            </w:pPr>
            <w:r>
              <w:rPr>
                <w:rFonts w:hint="eastAsia" w:ascii="宋体" w:hAnsi="宋体" w:eastAsia="宋体" w:cs="微软雅黑"/>
                <w:color w:val="auto"/>
                <w:sz w:val="18"/>
                <w:szCs w:val="18"/>
              </w:rPr>
              <w:t>税务行政管理相对人认为税务机关因国家利益、公共利益或其他法定事由需要撤回或变更行政决定，从而使其受到了财产损失，向税务机关提出税务行政补偿申请书，请求税务机关依法予以补偿。</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税务机关具体行政行为对税务行政管理相对人的合法权益造成损害的证据材料</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Style w:val="17"/>
                <w:rFonts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napToGrid w:val="0"/>
              <w:spacing w:beforeAutospacing="0" w:afterAutospacing="0" w:line="280" w:lineRule="exact"/>
              <w:ind w:firstLine="352" w:firstLineChars="200"/>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jc w:val="center"/>
              <w:rPr>
                <w:rFonts w:cs="宋体"/>
                <w:color w:val="auto"/>
                <w:sz w:val="18"/>
                <w:szCs w:val="18"/>
              </w:rPr>
            </w:pPr>
            <w:r>
              <w:rPr>
                <w:rFonts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税务机关具体行政行为对税务行政管理相对人的合法权益造成损害的证据材料复印件</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Style w:val="17"/>
                <w:rFonts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napToGrid w:val="0"/>
              <w:spacing w:beforeAutospacing="0" w:afterAutospacing="0" w:line="280" w:lineRule="exact"/>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jc w:val="center"/>
              <w:rPr>
                <w:rFonts w:cs="宋体"/>
                <w:color w:val="auto"/>
                <w:sz w:val="18"/>
                <w:szCs w:val="18"/>
              </w:rPr>
            </w:pPr>
            <w:r>
              <w:rPr>
                <w:rFonts w:ascii="宋体" w:hAnsi="宋体" w:eastAsia="宋体" w:cs="微软雅黑"/>
                <w:color w:val="auto"/>
                <w:sz w:val="18"/>
                <w:szCs w:val="18"/>
              </w:rPr>
              <w:t>4</w:t>
            </w:r>
          </w:p>
        </w:tc>
        <w:tc>
          <w:tcPr>
            <w:tcW w:w="2551" w:type="dxa"/>
            <w:shd w:val="clear" w:color="auto" w:fill="auto"/>
            <w:vAlign w:val="center"/>
          </w:tcPr>
          <w:p>
            <w:pPr>
              <w:ind w:firstLine="352"/>
              <w:jc w:val="center"/>
              <w:rPr>
                <w:rFonts w:cs="Arial"/>
                <w:snapToGrid w:val="0"/>
                <w:color w:val="auto"/>
                <w:kern w:val="0"/>
                <w:sz w:val="18"/>
                <w:szCs w:val="18"/>
              </w:rPr>
            </w:pPr>
          </w:p>
          <w:p>
            <w:pPr>
              <w:widowControl/>
              <w:spacing w:line="280" w:lineRule="exact"/>
              <w:ind w:firstLine="0" w:firstLineChars="0"/>
              <w:jc w:val="center"/>
              <w:rPr>
                <w:rFonts w:cs="宋体"/>
                <w:color w:val="auto"/>
                <w:kern w:val="0"/>
                <w:sz w:val="18"/>
                <w:szCs w:val="18"/>
              </w:rPr>
            </w:pPr>
          </w:p>
          <w:p>
            <w:pPr>
              <w:widowControl/>
              <w:spacing w:line="280" w:lineRule="exact"/>
              <w:ind w:firstLine="0" w:firstLineChars="0"/>
              <w:jc w:val="center"/>
              <w:rPr>
                <w:rFonts w:cs="宋体"/>
                <w:color w:val="auto"/>
                <w:kern w:val="0"/>
                <w:sz w:val="18"/>
                <w:szCs w:val="18"/>
              </w:rPr>
            </w:pP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居民身份证</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Style w:val="17"/>
                <w:rFonts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napToGrid w:val="0"/>
              <w:spacing w:beforeAutospacing="0" w:afterAutospacing="0" w:line="280" w:lineRule="exact"/>
              <w:ind w:firstLine="352" w:firstLineChars="200"/>
              <w:rPr>
                <w:rFonts w:cs="宋体"/>
                <w:color w:val="auto"/>
                <w:sz w:val="18"/>
                <w:szCs w:val="18"/>
              </w:rPr>
            </w:pPr>
            <w:r>
              <w:rPr>
                <w:rFonts w:hint="eastAsia" w:ascii="宋体" w:hAnsi="宋体" w:eastAsia="宋体" w:cs="微软雅黑"/>
                <w:color w:val="auto"/>
                <w:sz w:val="18"/>
                <w:szCs w:val="18"/>
              </w:rPr>
              <w:t>申请人为公民个人的，提交居民身份证原件；申请人为办理税务登记且未实行实名制的纳税人，则需要提供居民身份证原件。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jc w:val="center"/>
              <w:rPr>
                <w:rFonts w:cs="宋体"/>
                <w:color w:val="auto"/>
                <w:sz w:val="18"/>
                <w:szCs w:val="18"/>
              </w:rPr>
            </w:pPr>
            <w:r>
              <w:rPr>
                <w:rFonts w:ascii="宋体" w:hAnsi="宋体" w:eastAsia="宋体"/>
                <w:color w:val="auto"/>
                <w:sz w:val="18"/>
                <w:szCs w:val="18"/>
              </w:rPr>
              <w:t>5</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居民身份证复印件</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Style w:val="17"/>
                <w:rFonts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napToGrid w:val="0"/>
              <w:spacing w:beforeAutospacing="0" w:afterAutospacing="0" w:line="280" w:lineRule="exact"/>
              <w:ind w:firstLine="352" w:firstLineChars="200"/>
              <w:rPr>
                <w:rFonts w:cs="宋体"/>
                <w:color w:val="auto"/>
                <w:sz w:val="18"/>
                <w:szCs w:val="18"/>
              </w:rPr>
            </w:pPr>
            <w:r>
              <w:rPr>
                <w:rFonts w:hint="eastAsia" w:ascii="宋体" w:hAnsi="宋体" w:eastAsia="宋体" w:cs="微软雅黑"/>
                <w:color w:val="auto"/>
                <w:sz w:val="18"/>
                <w:szCs w:val="18"/>
              </w:rPr>
              <w:t>申请人为公民个人的，提交居民身份证复印件；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jc w:val="center"/>
              <w:rPr>
                <w:rFonts w:cs="宋体"/>
                <w:color w:val="auto"/>
                <w:sz w:val="18"/>
                <w:szCs w:val="18"/>
              </w:rPr>
            </w:pPr>
            <w:r>
              <w:rPr>
                <w:rFonts w:ascii="宋体" w:hAnsi="宋体" w:eastAsia="宋体" w:cs="微软雅黑"/>
                <w:color w:val="auto"/>
                <w:sz w:val="18"/>
                <w:szCs w:val="18"/>
              </w:rPr>
              <w:t>6</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法定代表人（负责人）居民身份证复印件</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Style w:val="17"/>
                <w:rFonts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napToGrid w:val="0"/>
              <w:spacing w:beforeAutospacing="0" w:afterAutospacing="0" w:line="280" w:lineRule="exact"/>
              <w:ind w:firstLine="352" w:firstLineChars="200"/>
              <w:rPr>
                <w:rFonts w:cs="宋体"/>
                <w:color w:val="auto"/>
                <w:sz w:val="18"/>
                <w:szCs w:val="18"/>
              </w:rPr>
            </w:pPr>
            <w:r>
              <w:rPr>
                <w:rFonts w:hint="eastAsia" w:ascii="宋体" w:hAnsi="宋体" w:eastAsia="宋体" w:cs="微软雅黑"/>
                <w:color w:val="auto"/>
                <w:sz w:val="18"/>
                <w:szCs w:val="18"/>
              </w:rPr>
              <w:t>申请人为法人或其他组织的，提交法定代表人（负责人）居民身份证复印件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199" o:spt="75" type="#_x0000_t75" style="height:215.35pt;width:431.35pt;" o:ole="t" filled="f" o:preferrelative="t" stroked="f" coordsize="21600,21600">
            <v:path/>
            <v:fill on="f" focussize="0,0"/>
            <v:stroke on="f" joinstyle="miter"/>
            <v:imagedata r:id="rId11" o:title=""/>
            <o:lock v:ext="edit" aspectratio="t"/>
            <w10:wrap type="none"/>
            <w10:anchorlock/>
          </v:shape>
          <o:OLEObject Type="Embed" ProgID="Visio.Drawing.11" ShapeID="_x0000_i1199"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szCs w:val="24"/>
        </w:rPr>
        <w:t>限时办结</w:t>
      </w:r>
      <w:r>
        <w:rPr>
          <w:rFonts w:hint="eastAsia"/>
          <w:color w:val="auto"/>
        </w:rPr>
        <w:t>。</w:t>
      </w:r>
    </w:p>
    <w:p>
      <w:pPr>
        <w:pStyle w:val="3"/>
        <w:ind w:firstLine="552"/>
        <w:rPr>
          <w:color w:val="auto"/>
        </w:rPr>
      </w:pPr>
      <w:r>
        <w:rPr>
          <w:rFonts w:hint="eastAsia"/>
          <w:color w:val="auto"/>
        </w:rPr>
        <w:t>八、表证单书</w:t>
      </w:r>
    </w:p>
    <w:p>
      <w:pPr>
        <w:ind w:firstLine="472"/>
        <w:rPr>
          <w:color w:val="auto"/>
        </w:rPr>
      </w:pPr>
      <w:r>
        <w:rPr>
          <w:rFonts w:hint="eastAsia"/>
          <w:color w:val="auto"/>
        </w:rPr>
        <w:t>1.A12005《税务行政补偿申请表》(A12005《税务行政补偿申请表》（填写样例）)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1.附报资料中，已进行实名认证的不再进行身份证扫描，已提交电子资料的不再报送纸质资料。</w:t>
      </w:r>
    </w:p>
    <w:p>
      <w:pPr>
        <w:ind w:firstLine="472"/>
        <w:rPr>
          <w:color w:val="auto"/>
        </w:rPr>
      </w:pPr>
      <w:r>
        <w:rPr>
          <w:rFonts w:hint="eastAsia"/>
          <w:color w:val="auto"/>
        </w:rPr>
        <w:t>2.纳税人对报送资料的真实性和合法性承担责任。</w:t>
      </w:r>
    </w:p>
    <w:p>
      <w:pPr>
        <w:ind w:firstLine="472"/>
        <w:jc w:val="left"/>
        <w:rPr>
          <w:rFonts w:hint="eastAsia"/>
          <w:color w:val="auto"/>
        </w:rPr>
      </w:pPr>
      <w:r>
        <w:rPr>
          <w:rFonts w:hint="eastAsia"/>
          <w:color w:val="auto"/>
        </w:rPr>
        <w:t>3.最多跑一次是在资料完整且符合法定受理条件的前提下，最多只需要到税务机关跑一次。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lang w:val="en-US" w:eastAsia="zh-CN"/>
        </w:rPr>
        <w:t>主管税务机关</w:t>
      </w:r>
      <w:r>
        <w:rPr>
          <w:rFonts w:hint="eastAsia"/>
          <w:color w:val="auto"/>
        </w:rPr>
        <w:t>办理时间可在国家税务总局河南省税务局网站查询</w:t>
      </w:r>
    </w:p>
    <w:p>
      <w:pPr>
        <w:ind w:firstLine="472"/>
        <w:rPr>
          <w:color w:val="auto"/>
        </w:rPr>
      </w:pPr>
      <w:r>
        <w:rPr>
          <w:rFonts w:hint="eastAsia"/>
          <w:color w:val="auto"/>
        </w:rPr>
        <w:t>网址：http://henan.chinatax.gov.cn</w:t>
      </w:r>
    </w:p>
    <w:p>
      <w:pPr>
        <w:pStyle w:val="3"/>
        <w:ind w:firstLine="552"/>
        <w:rPr>
          <w:color w:val="auto"/>
        </w:rPr>
      </w:pPr>
      <w:r>
        <w:rPr>
          <w:rFonts w:hint="eastAsia"/>
          <w:color w:val="auto"/>
        </w:rPr>
        <w:t>十一、办理地点</w:t>
      </w:r>
    </w:p>
    <w:p>
      <w:pPr>
        <w:ind w:firstLine="472"/>
        <w:rPr>
          <w:rFonts w:hint="eastAsia"/>
          <w:color w:val="auto"/>
          <w:lang w:val="en-US" w:eastAsia="zh-CN"/>
        </w:rPr>
      </w:pPr>
      <w:r>
        <w:rPr>
          <w:rFonts w:hint="eastAsia"/>
          <w:color w:val="auto"/>
          <w:lang w:val="en-US" w:eastAsia="zh-CN"/>
        </w:rPr>
        <w:t>主管税务机关法制管理部门</w:t>
      </w:r>
    </w:p>
    <w:p>
      <w:pPr>
        <w:ind w:firstLine="472"/>
        <w:rPr>
          <w:rFonts w:hint="eastAsia"/>
          <w:color w:val="auto"/>
        </w:rPr>
      </w:pPr>
      <w:r>
        <w:rPr>
          <w:rFonts w:hint="eastAsia"/>
          <w:color w:val="auto"/>
          <w:lang w:val="en-US" w:eastAsia="zh-CN"/>
        </w:rPr>
        <w:t>主管税务机关地址</w:t>
      </w:r>
      <w:r>
        <w:rPr>
          <w:rFonts w:hint="eastAsia"/>
          <w:color w:val="auto"/>
        </w:rPr>
        <w:t>可在国家税务总局河南省税务局网站查询</w:t>
      </w:r>
    </w:p>
    <w:p>
      <w:pPr>
        <w:ind w:firstLine="472"/>
        <w:rPr>
          <w:rFonts w:hint="eastAsia"/>
          <w:color w:val="auto"/>
        </w:rPr>
      </w:pPr>
      <w:r>
        <w:rPr>
          <w:rFonts w:hint="eastAsia"/>
          <w:color w:val="auto"/>
        </w:rPr>
        <w:t>网址：http://henan.chinatax.gov.cn</w:t>
      </w:r>
    </w:p>
    <w:p>
      <w:pPr>
        <w:pStyle w:val="3"/>
        <w:ind w:firstLine="552"/>
        <w:rPr>
          <w:rFonts w:hint="eastAsia"/>
          <w:color w:val="auto"/>
        </w:rPr>
      </w:pPr>
      <w:r>
        <w:rPr>
          <w:rFonts w:hint="eastAsia"/>
          <w:color w:val="auto"/>
        </w:rPr>
        <w:t>十二、办理机构</w:t>
      </w:r>
    </w:p>
    <w:p>
      <w:pPr>
        <w:ind w:firstLine="472"/>
        <w:rPr>
          <w:rFonts w:hint="eastAsia" w:eastAsia="宋体"/>
          <w:color w:val="auto"/>
          <w:lang w:val="en-US" w:eastAsia="zh-CN"/>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w:t>
      </w:r>
    </w:p>
    <w:p>
      <w:pPr>
        <w:ind w:firstLine="472"/>
        <w:rPr>
          <w:rFonts w:hint="eastAsia"/>
          <w:color w:val="auto"/>
        </w:rPr>
      </w:pP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20464"/>
    <w:multiLevelType w:val="multilevel"/>
    <w:tmpl w:val="0B520464"/>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AA37EA5"/>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2019-10-31T05:19:56Z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