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72"/>
        <w:rPr>
          <w:rFonts w:hint="eastAsia"/>
          <w:color w:val="auto"/>
        </w:rPr>
      </w:pPr>
      <w:bookmarkStart w:id="1" w:name="_GoBack"/>
      <w:bookmarkEnd w:id="1"/>
    </w:p>
    <w:p>
      <w:pPr>
        <w:pStyle w:val="2"/>
        <w:rPr>
          <w:rFonts w:hint="default" w:ascii="黑体" w:hAnsi="黑体"/>
          <w:color w:val="auto"/>
        </w:rPr>
      </w:pPr>
      <w:bookmarkStart w:id="0" w:name="_Toc19327"/>
      <w:r>
        <w:rPr>
          <w:rFonts w:hint="eastAsia" w:ascii="黑体" w:hAnsi="黑体"/>
          <w:color w:val="auto"/>
        </w:rPr>
        <w:t>3.1.1.4纳税信用补充评价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纳税信用</w:t>
      </w:r>
      <w:r>
        <w:rPr>
          <w:color w:val="auto"/>
        </w:rPr>
        <w:t>补充评价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9"/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pStyle w:val="49"/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办结方式：限时办结</w:t>
      </w:r>
    </w:p>
    <w:p>
      <w:pPr>
        <w:pStyle w:val="49"/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pStyle w:val="49"/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网上办理：是</w:t>
      </w:r>
    </w:p>
    <w:p>
      <w:pPr>
        <w:pStyle w:val="49"/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适用层级：省、市、县(市、区)级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rFonts w:hint="eastAsia" w:eastAsia="黑体"/>
          <w:color w:val="auto"/>
          <w:lang w:eastAsia="zh-CN"/>
        </w:rPr>
      </w:pPr>
      <w:r>
        <w:rPr>
          <w:color w:val="auto"/>
        </w:rPr>
        <w:t>三、</w:t>
      </w:r>
      <w:r>
        <w:rPr>
          <w:rFonts w:hint="eastAsia"/>
          <w:color w:val="auto"/>
          <w:lang w:eastAsia="zh-CN"/>
        </w:rPr>
        <w:t>办理条件</w:t>
      </w:r>
    </w:p>
    <w:p>
      <w:pPr>
        <w:ind w:left="0" w:leftChars="0" w:firstLine="472" w:firstLineChars="200"/>
        <w:rPr>
          <w:color w:val="auto"/>
        </w:rPr>
      </w:pPr>
      <w:r>
        <w:rPr>
          <w:rFonts w:hint="eastAsia"/>
          <w:color w:val="auto"/>
        </w:rPr>
        <w:t>纳税人因涉嫌税收违法被立案查处尚未结案的；被审计、财政部门依法查出税收违法行为，税务机关正在依法处理，尚未办结的；已申请税务行政复议、提起行政诉讼尚未结案的原因未参加当年评价的，待上述情形解除或对当期未予评价有异议的，可填写《纳税信用补评申请表》，向主管税务机关申请补充评价。纳税人主管税务机关应按《国家税务总局关于发布〈纳税信用管理办法（试行）〉的公告》（国家税务总局公告2014年第40号）第三章的规定开展纳税信用补评工作。自受理申请之日起15个工作日内完成补评工作，并向纳税人反馈纳税信用评价信息或提供评价结果的自我查询服务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t>1.《国家税务总局关于发布〈纳税信用管理办法（试行）〉的公告》（国家税务总局公告2014年第40号）第二十五条</w:t>
      </w:r>
    </w:p>
    <w:p>
      <w:pPr>
        <w:ind w:firstLine="472"/>
        <w:rPr>
          <w:color w:val="auto"/>
        </w:rPr>
      </w:pPr>
      <w:r>
        <w:rPr>
          <w:color w:val="auto"/>
        </w:rPr>
        <w:t>“</w:t>
      </w:r>
      <w:r>
        <w:rPr>
          <w:rFonts w:hint="eastAsia"/>
          <w:color w:val="auto"/>
        </w:rPr>
        <w:t>纳税信用评价采取年度评价指标得分和直接判级方式。评价指标包括税务内部信息和外部评价信息。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年度评价指标得分采取扣分方式。纳税人评价年度内经常性指标和非经常性指标信息齐全的，从100分起评；非经常性指标缺失的，从90分起评。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直接判级适用于有严重失信行为的纳税人。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纳税信用评价指标由国家税务总局另行规定。</w:t>
      </w:r>
      <w:r>
        <w:rPr>
          <w:color w:val="auto"/>
        </w:rPr>
        <w:t>”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2.《国家税务总局关于明确纳税信用补评和复评事项的公告》（国家税务总局公告2015年第46号）全文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352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auto"/>
                <w:spacing w:val="-2"/>
                <w:sz w:val="18"/>
                <w:szCs w:val="18"/>
              </w:rPr>
              <w:t>《</w:t>
            </w:r>
            <w:r>
              <w:rPr>
                <w:rFonts w:hint="eastAsia" w:ascii="宋体" w:hAnsi="宋体" w:eastAsia="宋体"/>
                <w:color w:val="auto"/>
                <w:sz w:val="18"/>
                <w:szCs w:val="18"/>
              </w:rPr>
              <w:t>纳税信用补评申请表</w:t>
            </w:r>
            <w:r>
              <w:rPr>
                <w:rFonts w:hint="eastAsia" w:ascii="宋体" w:hAnsi="宋体" w:eastAsia="宋体"/>
                <w:color w:val="auto"/>
                <w:spacing w:val="-2"/>
                <w:sz w:val="18"/>
                <w:szCs w:val="18"/>
              </w:rPr>
              <w:t>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352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352"/>
              <w:rPr>
                <w:rFonts w:cs="宋体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税务机关留存1份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</w:tbl>
    <w:p>
      <w:pPr>
        <w:pStyle w:val="3"/>
        <w:numPr>
          <w:ilvl w:val="0"/>
          <w:numId w:val="5"/>
        </w:numPr>
        <w:ind w:firstLine="552"/>
        <w:rPr>
          <w:color w:val="auto"/>
        </w:rPr>
      </w:pPr>
      <w:r>
        <w:rPr>
          <w:color w:val="auto"/>
        </w:rPr>
        <w:t>办理流程</w:t>
      </w:r>
    </w:p>
    <w:p>
      <w:pPr>
        <w:spacing w:line="240" w:lineRule="auto"/>
        <w:ind w:left="471" w:firstLine="0" w:firstLineChars="0"/>
        <w:rPr>
          <w:color w:val="auto"/>
        </w:rPr>
      </w:pPr>
      <w:r>
        <w:rPr>
          <w:color w:val="auto"/>
        </w:rPr>
        <w:object>
          <v:shape id="_x0000_i1185" o:spt="75" type="#_x0000_t75" style="height:162pt;width:379.1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Visio.Drawing.11" ShapeID="_x0000_i1185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资料齐全、符合法定形式的，税务机关受理后15个工作日办结。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</w:t>
      </w:r>
      <w:r>
        <w:rPr>
          <w:rStyle w:val="22"/>
          <w:rFonts w:ascii="宋体" w:hAnsi="宋体" w:eastAsia="宋体"/>
          <w:color w:val="auto"/>
        </w:rPr>
        <w:t>A13096</w:t>
      </w:r>
      <w:r>
        <w:rPr>
          <w:rFonts w:hint="eastAsia"/>
          <w:color w:val="auto"/>
        </w:rPr>
        <w:t>《纳税信用补评申请表》(A13096《纳税信用补评申请表》（填写样例）)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1.纳税人使用符合电子签名法规定条件的电子签名，与手写签名或者盖章具有同等法律效力。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  <w:lang w:val="en-US" w:eastAsia="zh-CN"/>
        </w:rPr>
        <w:t>2.</w:t>
      </w:r>
      <w:r>
        <w:rPr>
          <w:rFonts w:hint="eastAsia"/>
          <w:color w:val="auto"/>
        </w:rPr>
        <w:t>纳税人对报送材料的真实性和合法性承担责任。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.纳税人在资料完整且符合法定受理条件的前提下，最多只需要到税务机关跑一次。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4.</w:t>
      </w:r>
      <w:r>
        <w:rPr>
          <w:rFonts w:hint="eastAsia"/>
          <w:color w:val="auto"/>
        </w:rPr>
        <w:t>主管税务机关完成纳税信用补评工作后，于次月初5个工作日内将纳税信用补评情况层报至省税务机关备案，并发布A级纳税人变动情况通告。省税务机关据此更新税务网站公布的纳税信用评价信息，并于每月前10个工作日内将A级纳税人变动情况汇总报送税务总局（纳税服务司）。</w:t>
      </w:r>
    </w:p>
    <w:p>
      <w:pPr>
        <w:ind w:firstLine="472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5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</w:t>
      </w:r>
      <w:r>
        <w:rPr>
          <w:rFonts w:hint="eastAsia"/>
          <w:color w:val="auto"/>
        </w:rPr>
        <w:t>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81CBA7"/>
    <w:multiLevelType w:val="singleLevel"/>
    <w:tmpl w:val="FE81CBA7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2">
    <w:nsid w:val="69C906D2"/>
    <w:multiLevelType w:val="multilevel"/>
    <w:tmpl w:val="69C906D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3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7703C0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2019-10-31T05:14:04Z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