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5610"/>
      <w:r>
        <w:rPr>
          <w:rFonts w:hint="eastAsia" w:ascii="黑体" w:hAnsi="黑体"/>
          <w:color w:val="auto"/>
        </w:rPr>
        <w:t>1.2.1.6增值税专用发票核定调整</w:t>
      </w:r>
      <w:bookmarkEnd w:id="0"/>
    </w:p>
    <w:p>
      <w:pPr>
        <w:pStyle w:val="3"/>
        <w:ind w:firstLine="552"/>
        <w:rPr>
          <w:color w:val="auto"/>
        </w:rPr>
      </w:pPr>
      <w:r>
        <w:rPr>
          <w:color w:val="auto"/>
        </w:rPr>
        <w:t>一、事项名称</w:t>
      </w:r>
    </w:p>
    <w:p>
      <w:pPr>
        <w:ind w:firstLine="472"/>
        <w:rPr>
          <w:color w:val="auto"/>
        </w:rPr>
      </w:pPr>
      <w:r>
        <w:rPr>
          <w:rFonts w:hint="eastAsia"/>
          <w:color w:val="auto"/>
        </w:rPr>
        <w:t>增值税专用发票核定调整</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发起方式：纳税人</w:t>
      </w:r>
    </w:p>
    <w:p>
      <w:pPr>
        <w:pStyle w:val="47"/>
        <w:numPr>
          <w:ilvl w:val="0"/>
          <w:numId w:val="3"/>
        </w:numPr>
        <w:ind w:firstLineChars="0"/>
        <w:rPr>
          <w:color w:val="auto"/>
        </w:rPr>
      </w:pPr>
      <w:r>
        <w:rPr>
          <w:rFonts w:hint="eastAsia"/>
          <w:color w:val="auto"/>
        </w:rPr>
        <w:t>办结方式：条件即办</w:t>
      </w:r>
    </w:p>
    <w:p>
      <w:pPr>
        <w:pStyle w:val="47"/>
        <w:numPr>
          <w:ilvl w:val="0"/>
          <w:numId w:val="3"/>
        </w:numPr>
        <w:ind w:firstLineChars="0"/>
        <w:rPr>
          <w:color w:val="auto"/>
        </w:rPr>
      </w:pPr>
      <w:r>
        <w:rPr>
          <w:rFonts w:hint="eastAsia"/>
          <w:color w:val="auto"/>
        </w:rPr>
        <w:t>全省通办：否</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rPr>
        <w:t>办理条件</w:t>
      </w:r>
    </w:p>
    <w:p>
      <w:pPr>
        <w:ind w:firstLine="472"/>
        <w:rPr>
          <w:color w:val="auto"/>
        </w:rPr>
      </w:pPr>
      <w:r>
        <w:rPr>
          <w:rFonts w:hint="eastAsia"/>
          <w:color w:val="auto"/>
        </w:rPr>
        <w:t>税务机关依据已办理增值税发票核定纳税人的申请，根据其生产经营变化情况，对其使用税控系统开具的增值税专用发票和机动车销售统一发票单次（月）领用量、离线开具时限、离线开具总金额进行调整，以及机动车销售统一发票最高开票限额予以变更。</w:t>
      </w:r>
    </w:p>
    <w:p>
      <w:pPr>
        <w:pStyle w:val="3"/>
        <w:ind w:firstLine="552"/>
        <w:rPr>
          <w:color w:val="auto"/>
        </w:rPr>
      </w:pPr>
      <w:r>
        <w:rPr>
          <w:rFonts w:hint="eastAsia"/>
          <w:color w:val="auto"/>
        </w:rPr>
        <w:t>四、设定依据</w:t>
      </w:r>
    </w:p>
    <w:p>
      <w:pPr>
        <w:ind w:firstLine="472"/>
        <w:rPr>
          <w:color w:val="auto"/>
        </w:rPr>
      </w:pPr>
      <w:r>
        <w:rPr>
          <w:rFonts w:hint="eastAsia"/>
          <w:color w:val="auto"/>
        </w:rPr>
        <w:t>1.《中华人民共和国发票管理办法》第十五条</w:t>
      </w:r>
    </w:p>
    <w:p>
      <w:pPr>
        <w:ind w:firstLine="472"/>
        <w:rPr>
          <w:color w:val="auto"/>
        </w:rPr>
      </w:pPr>
      <w:r>
        <w:rPr>
          <w:rFonts w:hint="eastAsia"/>
          <w:color w:val="auto"/>
        </w:rPr>
        <w:t>“依法办理税务登记的单位和个人，在领取税务登记证件后，向主管税务机关申请领购发票。”</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jc w:val="center"/>
              <w:rPr>
                <w:rFonts w:cs="宋体"/>
                <w:color w:val="auto"/>
                <w:sz w:val="18"/>
                <w:szCs w:val="18"/>
              </w:rPr>
            </w:pPr>
            <w:r>
              <w:rPr>
                <w:rFonts w:hint="eastAsia" w:ascii="宋体" w:hAnsi="宋体" w:eastAsia="宋体" w:cs="微软雅黑"/>
                <w:color w:val="auto"/>
                <w:sz w:val="18"/>
                <w:szCs w:val="18"/>
              </w:rPr>
              <w:t>1</w:t>
            </w:r>
          </w:p>
        </w:tc>
        <w:tc>
          <w:tcPr>
            <w:tcW w:w="2551" w:type="dxa"/>
            <w:shd w:val="clear" w:color="auto" w:fill="auto"/>
            <w:vAlign w:val="center"/>
          </w:tcPr>
          <w:p>
            <w:pPr>
              <w:pStyle w:val="13"/>
              <w:widowControl/>
              <w:spacing w:before="100" w:after="100" w:line="280" w:lineRule="exact"/>
              <w:rPr>
                <w:rFonts w:cs="宋体"/>
                <w:color w:val="auto"/>
                <w:sz w:val="18"/>
                <w:szCs w:val="18"/>
              </w:rPr>
            </w:pPr>
            <w:r>
              <w:rPr>
                <w:rFonts w:hint="eastAsia" w:ascii="宋体" w:hAnsi="宋体" w:eastAsia="宋体"/>
                <w:color w:val="auto"/>
                <w:sz w:val="18"/>
                <w:szCs w:val="18"/>
              </w:rPr>
              <w:t>《纳税人领用发票票种核定表》</w:t>
            </w:r>
          </w:p>
        </w:tc>
        <w:tc>
          <w:tcPr>
            <w:tcW w:w="709" w:type="dxa"/>
            <w:shd w:val="clear" w:color="auto" w:fill="auto"/>
            <w:vAlign w:val="center"/>
          </w:tcPr>
          <w:p>
            <w:pPr>
              <w:pStyle w:val="13"/>
              <w:widowControl/>
              <w:spacing w:before="100" w:after="100"/>
              <w:jc w:val="center"/>
              <w:rPr>
                <w:rFonts w:cs="宋体"/>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100" w:after="100"/>
              <w:jc w:val="center"/>
              <w:rPr>
                <w:rFonts w:cs="宋体"/>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after="100"/>
              <w:jc w:val="center"/>
              <w:rPr>
                <w:rFonts w:cs="宋体"/>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jc w:val="center"/>
              <w:rPr>
                <w:rFonts w:cs="宋体"/>
                <w:color w:val="auto"/>
                <w:sz w:val="18"/>
                <w:szCs w:val="18"/>
              </w:rPr>
            </w:pPr>
            <w:r>
              <w:rPr>
                <w:rFonts w:hint="eastAsia" w:ascii="宋体" w:hAnsi="宋体" w:eastAsia="宋体" w:cs="微软雅黑"/>
                <w:color w:val="auto"/>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经办人身份证明</w:t>
            </w:r>
          </w:p>
        </w:tc>
        <w:tc>
          <w:tcPr>
            <w:tcW w:w="709" w:type="dxa"/>
            <w:shd w:val="clear" w:color="auto" w:fill="auto"/>
            <w:vAlign w:val="center"/>
          </w:tcPr>
          <w:p>
            <w:pPr>
              <w:pStyle w:val="13"/>
              <w:widowControl/>
              <w:spacing w:before="100" w:after="100"/>
              <w:jc w:val="center"/>
              <w:rPr>
                <w:rFonts w:cs="宋体"/>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100" w:after="100"/>
              <w:jc w:val="center"/>
              <w:rPr>
                <w:rFonts w:cs="宋体"/>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after="100"/>
              <w:jc w:val="center"/>
              <w:rPr>
                <w:rFonts w:cs="宋体"/>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spacing w:line="240" w:lineRule="auto"/>
        <w:ind w:firstLine="552"/>
        <w:rPr>
          <w:color w:val="auto"/>
        </w:rPr>
      </w:pPr>
      <w:r>
        <w:rPr>
          <w:rFonts w:hint="eastAsia"/>
          <w:color w:val="auto"/>
        </w:rPr>
        <w:t>六</w:t>
      </w:r>
      <w:r>
        <w:rPr>
          <w:color w:val="auto"/>
        </w:rPr>
        <w:t>、办理流程</w:t>
      </w:r>
    </w:p>
    <w:p>
      <w:pPr>
        <w:spacing w:line="240" w:lineRule="auto"/>
        <w:ind w:left="472" w:firstLine="0" w:firstLineChars="0"/>
        <w:rPr>
          <w:color w:val="auto"/>
        </w:rPr>
      </w:pPr>
      <w:r>
        <w:rPr>
          <w:color w:val="auto"/>
        </w:rPr>
        <w:object>
          <v:shape id="_x0000_i1061" o:spt="75" type="#_x0000_t75" style="height:159.9pt;width:457.95pt;" o:ole="t" filled="f" o:preferrelative="t" stroked="f" coordsize="21600,21600">
            <v:path/>
            <v:fill on="f" focussize="0,0"/>
            <v:stroke on="f" joinstyle="miter"/>
            <v:imagedata r:id="rId11" o:title=""/>
            <o:lock v:ext="edit" aspectratio="t"/>
            <w10:wrap type="none"/>
            <w10:anchorlock/>
          </v:shape>
          <o:OLEObject Type="Embed" ProgID="Visio.Drawing.11" ShapeID="_x0000_i1061"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资料齐全、符合法定形式的，税务机关受理后即时办结或自税务机关受理之日起5个工作日办结。</w:t>
      </w:r>
    </w:p>
    <w:p>
      <w:pPr>
        <w:pStyle w:val="3"/>
        <w:ind w:firstLine="552"/>
        <w:rPr>
          <w:color w:val="auto"/>
        </w:rPr>
      </w:pPr>
      <w:r>
        <w:rPr>
          <w:rFonts w:hint="eastAsia"/>
          <w:color w:val="auto"/>
        </w:rPr>
        <w:t>八、表证单书</w:t>
      </w:r>
    </w:p>
    <w:p>
      <w:pPr>
        <w:ind w:firstLine="472"/>
        <w:rPr>
          <w:color w:val="auto"/>
        </w:rPr>
      </w:pPr>
      <w:r>
        <w:rPr>
          <w:rFonts w:hint="eastAsia"/>
          <w:color w:val="auto"/>
        </w:rPr>
        <w:t>1.A02008《纳税人领用发票票种核定表》</w:t>
      </w:r>
    </w:p>
    <w:p>
      <w:pPr>
        <w:pStyle w:val="3"/>
        <w:ind w:firstLine="552"/>
        <w:rPr>
          <w:color w:val="auto"/>
        </w:rPr>
      </w:pPr>
      <w:r>
        <w:rPr>
          <w:rFonts w:hint="eastAsia"/>
          <w:color w:val="auto"/>
        </w:rPr>
        <w:t>九、注意事项</w:t>
      </w:r>
    </w:p>
    <w:p>
      <w:pPr>
        <w:ind w:firstLine="472"/>
        <w:rPr>
          <w:color w:val="auto"/>
        </w:rPr>
      </w:pPr>
      <w:r>
        <w:rPr>
          <w:rFonts w:hint="eastAsia"/>
          <w:color w:val="auto"/>
        </w:rPr>
        <w:t>1.主管税务机关应根据增值税一般纳税人类型及生产经营变化情况，依照相关规定对其增值税专用发票用量进行合理核定和动态调整：</w:t>
      </w:r>
    </w:p>
    <w:p>
      <w:pPr>
        <w:ind w:firstLine="472"/>
        <w:rPr>
          <w:color w:val="auto"/>
        </w:rPr>
      </w:pPr>
      <w:r>
        <w:rPr>
          <w:rFonts w:hint="eastAsia"/>
          <w:color w:val="auto"/>
        </w:rPr>
        <w:t>——对实行纳税辅导期管理的增值税一般纳税人每次核定发放的增值税专用发票数量不超过25份；</w:t>
      </w:r>
    </w:p>
    <w:p>
      <w:pPr>
        <w:ind w:firstLine="472"/>
        <w:rPr>
          <w:color w:val="auto"/>
        </w:rPr>
      </w:pPr>
      <w:r>
        <w:rPr>
          <w:rFonts w:hint="eastAsia"/>
          <w:color w:val="auto"/>
        </w:rPr>
        <w:t>——对连续三个月以上（含三个月）月申报销售收入低于3万元的一般纳税人，应依法核减其专用发票用量；</w:t>
      </w:r>
    </w:p>
    <w:p>
      <w:pPr>
        <w:ind w:firstLine="472"/>
        <w:rPr>
          <w:color w:val="auto"/>
        </w:rPr>
      </w:pPr>
      <w:r>
        <w:rPr>
          <w:rFonts w:hint="eastAsia"/>
          <w:color w:val="auto"/>
        </w:rPr>
        <w:t>——对纳税信用等级A级企业、上市公司、大型国有企业的新办分支机构以及被主管税务机关认定为纳税信誉好的纳税人，有大额交易意向并能够提供相关合同、协议、运输工具等证明资料的，主管税务机关可根据纳税人生产经营需要依法进行核定。</w:t>
      </w:r>
    </w:p>
    <w:p>
      <w:pPr>
        <w:ind w:firstLine="472"/>
        <w:rPr>
          <w:color w:val="auto"/>
        </w:rPr>
      </w:pPr>
      <w:r>
        <w:rPr>
          <w:rFonts w:hint="eastAsia"/>
          <w:color w:val="auto"/>
        </w:rPr>
        <w:t>2.上述纳税信用A级、B级、市级税务机关确定的纳税信用好、税收风险等级低的其他类型纳税人2年内有涉税违法行为、移交司法机关处理记录，或者正在接受税务机关立案稽查的，不适用即时办理的规定。</w:t>
      </w:r>
    </w:p>
    <w:p>
      <w:pPr>
        <w:ind w:firstLine="472"/>
        <w:rPr>
          <w:color w:val="auto"/>
        </w:rPr>
      </w:pPr>
      <w:r>
        <w:rPr>
          <w:rFonts w:hint="eastAsia"/>
          <w:color w:val="auto"/>
        </w:rPr>
        <w:t>3.提示纳税人增值税发票系统升级版专用设备的变更事宜。</w:t>
      </w:r>
    </w:p>
    <w:p>
      <w:pPr>
        <w:ind w:firstLine="472"/>
        <w:rPr>
          <w:color w:val="auto"/>
        </w:rPr>
      </w:pPr>
      <w:r>
        <w:rPr>
          <w:rFonts w:hint="eastAsia"/>
          <w:color w:val="auto"/>
        </w:rPr>
        <w:t>4.附报资料中通过电子税务局等渠道已提交电子资料的不再报送纸质资料。</w:t>
      </w:r>
    </w:p>
    <w:p>
      <w:pPr>
        <w:ind w:firstLine="472"/>
        <w:rPr>
          <w:color w:val="auto"/>
        </w:rPr>
      </w:pPr>
      <w:r>
        <w:rPr>
          <w:rFonts w:hint="eastAsia"/>
          <w:color w:val="auto"/>
        </w:rPr>
        <w:t>5.纳税人对报送资料的真实性和合法性承担责任。</w:t>
      </w:r>
    </w:p>
    <w:p>
      <w:pPr>
        <w:ind w:firstLine="472"/>
        <w:jc w:val="left"/>
        <w:rPr>
          <w:color w:val="auto"/>
        </w:rPr>
      </w:pPr>
      <w:r>
        <w:rPr>
          <w:rFonts w:hint="eastAsia"/>
          <w:color w:val="auto"/>
        </w:rPr>
        <w:t>6.最多跑一次是在资料完整且符合法定受理条件的前提下，最多只需要到税务机关跑一次。</w:t>
      </w:r>
    </w:p>
    <w:p>
      <w:pPr>
        <w:ind w:firstLine="472"/>
        <w:jc w:val="left"/>
        <w:rPr>
          <w:color w:val="auto"/>
        </w:rPr>
      </w:pPr>
      <w:r>
        <w:rPr>
          <w:rFonts w:hint="eastAsia"/>
          <w:color w:val="auto"/>
        </w:rPr>
        <w:t>7.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5FC55487"/>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2019-10-31T03:39:31Z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