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olor w:val="auto"/>
        </w:rPr>
      </w:pPr>
      <w:bookmarkStart w:id="1" w:name="_GoBack"/>
      <w:bookmarkEnd w:id="1"/>
      <w:bookmarkStart w:id="0" w:name="_Toc19221"/>
      <w:r>
        <w:rPr>
          <w:rFonts w:hint="default" w:ascii="黑体" w:hAnsi="黑体"/>
          <w:color w:val="auto"/>
        </w:rPr>
        <w:t>4.3.3.1赔偿申请处理</w:t>
      </w:r>
      <w:bookmarkEnd w:id="0"/>
    </w:p>
    <w:p>
      <w:pPr>
        <w:pStyle w:val="3"/>
        <w:ind w:firstLine="552"/>
        <w:rPr>
          <w:color w:val="auto"/>
        </w:rPr>
      </w:pPr>
      <w:r>
        <w:rPr>
          <w:color w:val="auto"/>
        </w:rPr>
        <w:t>一、事项名称</w:t>
      </w:r>
    </w:p>
    <w:p>
      <w:pPr>
        <w:ind w:firstLine="472"/>
        <w:rPr>
          <w:color w:val="auto"/>
        </w:rPr>
      </w:pPr>
      <w:r>
        <w:rPr>
          <w:rFonts w:hint="eastAsia"/>
          <w:color w:val="auto"/>
        </w:rPr>
        <w:t>赔偿申请处理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color w:val="auto"/>
          <w:szCs w:val="24"/>
        </w:rPr>
        <w:t>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4"/>
        </w:numPr>
        <w:ind w:firstLineChars="0"/>
        <w:rPr>
          <w:rFonts w:hint="eastAsia" w:eastAsia="黑体"/>
          <w:color w:val="auto"/>
          <w:lang w:eastAsia="zh-CN"/>
        </w:rPr>
      </w:pPr>
      <w:r>
        <w:rPr>
          <w:rFonts w:hint="eastAsia"/>
          <w:color w:val="auto"/>
        </w:rPr>
        <w:t>最多跑一次：否</w:t>
      </w:r>
    </w:p>
    <w:p>
      <w:pPr>
        <w:pStyle w:val="3"/>
        <w:ind w:firstLine="552"/>
        <w:rPr>
          <w:rFonts w:hint="eastAsia"/>
          <w:color w:val="auto"/>
          <w:lang w:eastAsia="zh-CN"/>
        </w:rPr>
      </w:pPr>
      <w:r>
        <w:rPr>
          <w:rFonts w:hint="eastAsia"/>
          <w:color w:val="auto"/>
        </w:rPr>
        <w:t>三、</w:t>
      </w:r>
      <w:r>
        <w:rPr>
          <w:rFonts w:hint="eastAsia"/>
          <w:color w:val="auto"/>
          <w:lang w:eastAsia="zh-CN"/>
        </w:rPr>
        <w:t>办理条件</w:t>
      </w:r>
    </w:p>
    <w:p>
      <w:pPr>
        <w:pStyle w:val="47"/>
        <w:numPr>
          <w:ilvl w:val="0"/>
          <w:numId w:val="0"/>
        </w:numPr>
        <w:ind w:firstLine="472" w:firstLineChars="200"/>
        <w:rPr>
          <w:rFonts w:hint="eastAsia"/>
          <w:color w:val="auto"/>
        </w:rPr>
      </w:pPr>
      <w:r>
        <w:rPr>
          <w:rFonts w:hint="eastAsia"/>
          <w:color w:val="auto"/>
        </w:rPr>
        <w:t>赔偿申请处理，是指由于税务机关及其工作人员、受税务机关委托的组织或个人违法行使职权，侵犯纳税人或其他税务当事人的合法权益并造成损害后，根据受害者的申请，由国家承担赔偿责任，并由致害的税务机关作为赔偿义务机关代表国家予以赔偿的过程。</w:t>
      </w:r>
    </w:p>
    <w:p>
      <w:pPr>
        <w:pStyle w:val="47"/>
        <w:numPr>
          <w:ilvl w:val="0"/>
          <w:numId w:val="0"/>
        </w:numPr>
        <w:ind w:firstLine="472" w:firstLineChars="200"/>
        <w:rPr>
          <w:rFonts w:hint="eastAsia" w:asciiTheme="minorEastAsia" w:hAnsiTheme="minorEastAsia" w:eastAsiaTheme="minorEastAsia" w:cstheme="minorEastAsia"/>
          <w:color w:val="auto"/>
          <w:sz w:val="24"/>
          <w:szCs w:val="24"/>
        </w:rPr>
      </w:pPr>
      <w:r>
        <w:rPr>
          <w:rFonts w:hint="eastAsia"/>
          <w:color w:val="auto"/>
        </w:rPr>
        <w:t>赔偿请求人可以自行提起税务行政赔偿（书面或口头形式），也可以委托他人向作为赔偿义务机关的税务机关提起行政赔偿申</w:t>
      </w:r>
      <w:r>
        <w:rPr>
          <w:rFonts w:hint="eastAsia" w:asciiTheme="minorEastAsia" w:hAnsiTheme="minorEastAsia" w:eastAsiaTheme="minorEastAsia" w:cstheme="minorEastAsia"/>
          <w:color w:val="auto"/>
          <w:sz w:val="24"/>
          <w:szCs w:val="24"/>
        </w:rPr>
        <w:t>请，赔偿请求人提出赔偿申请后，赔偿义务机关须及时登记赔偿请求信息。</w:t>
      </w:r>
    </w:p>
    <w:p>
      <w:pPr>
        <w:pStyle w:val="47"/>
        <w:numPr>
          <w:ilvl w:val="0"/>
          <w:numId w:val="0"/>
        </w:numPr>
        <w:ind w:firstLine="47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赔偿义务机关在受理后，经过审查、审理和审批后，作出给予或不予赔偿的决定，送达赔偿请求人，履行赔偿义务；赔偿决定须在受理赔偿申请后两个月内作出。</w:t>
      </w:r>
    </w:p>
    <w:p>
      <w:pPr>
        <w:pStyle w:val="47"/>
        <w:numPr>
          <w:ilvl w:val="0"/>
          <w:numId w:val="0"/>
        </w:numPr>
        <w:ind w:firstLine="472"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赔偿请求人对税务机关作出的具体行政行为不服，提出税务行政复议或税务行政诉讼时一并提出赔偿请求，此时由行政复议机关或人民法院按照行政复议程序和行政诉讼程序，根据国家赔偿法的有关规定，在作出行政复议决定或判决（或裁定）的同时作出行政赔偿决定或裁判，则不适用本流程。</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1.《中华人民共和国行政处罚法》第六条，第五十九条，第六十条</w:t>
      </w:r>
    </w:p>
    <w:p>
      <w:pPr>
        <w:ind w:firstLine="472"/>
        <w:rPr>
          <w:color w:val="auto"/>
        </w:rPr>
      </w:pPr>
      <w:r>
        <w:rPr>
          <w:rFonts w:hint="eastAsia"/>
          <w:color w:val="auto"/>
        </w:rPr>
        <w:t>“第六条公民、法人或者其他组织对行政机关所给予的行政处罚，享有陈述权、申辩权；对行政处罚不服的，有权依法申请行政复议或者提起行政诉讼。</w:t>
      </w:r>
    </w:p>
    <w:p>
      <w:pPr>
        <w:ind w:firstLine="472"/>
        <w:rPr>
          <w:color w:val="auto"/>
        </w:rPr>
      </w:pPr>
      <w:r>
        <w:rPr>
          <w:rFonts w:hint="eastAsia"/>
          <w:color w:val="auto"/>
        </w:rPr>
        <w:t>公民、法人或者其他组织因行政机关违法给予行政处罚受到损害的，有权依法提出赔偿要求。</w:t>
      </w:r>
    </w:p>
    <w:p>
      <w:pPr>
        <w:ind w:firstLine="472"/>
        <w:rPr>
          <w:color w:val="auto"/>
        </w:rPr>
      </w:pPr>
      <w:r>
        <w:rPr>
          <w:rFonts w:hint="eastAsia"/>
          <w:color w:val="auto"/>
        </w:rPr>
        <w:t>第五十九条行政机关使用或者损毁扣押的财物，对当事人造成损失的，应当依法予以赔偿，对直接负责的主管人员和其他直接责任人员依法给予行政处分。</w:t>
      </w:r>
    </w:p>
    <w:p>
      <w:pPr>
        <w:ind w:firstLine="472"/>
        <w:rPr>
          <w:color w:val="auto"/>
        </w:rPr>
      </w:pPr>
      <w:r>
        <w:rPr>
          <w:rFonts w:hint="eastAsia"/>
          <w:color w:val="auto"/>
        </w:rPr>
        <w:t>第六十条行政机关违法实行检查措施或者执行措施，给公民人身或者财产造成损害、给法人或者其他组织造成损失的，应当依法予以赔偿，对直接负责的主管人员和其他直接责任人员依法给予行政处分；情节严重构成犯罪的，依法追究刑事责任。”</w:t>
      </w:r>
    </w:p>
    <w:p>
      <w:pPr>
        <w:ind w:firstLine="472"/>
        <w:rPr>
          <w:rFonts w:hint="eastAsia" w:eastAsia="宋体"/>
          <w:color w:val="auto"/>
          <w:lang w:eastAsia="zh-CN"/>
        </w:rPr>
      </w:pPr>
      <w:r>
        <w:rPr>
          <w:color w:val="auto"/>
        </w:rPr>
        <w:t>2.</w:t>
      </w:r>
      <w:r>
        <w:rPr>
          <w:rFonts w:hint="eastAsia"/>
          <w:color w:val="auto"/>
        </w:rPr>
        <w:t>《中华人民共和国行政复议法》第二十九条</w:t>
      </w:r>
    </w:p>
    <w:p>
      <w:pPr>
        <w:ind w:firstLine="472"/>
        <w:rPr>
          <w:color w:val="auto"/>
        </w:rPr>
      </w:pPr>
      <w:r>
        <w:rPr>
          <w:rFonts w:hint="eastAsia"/>
          <w:color w:val="auto"/>
        </w:rPr>
        <w:t>“申请人在申请行政复议时可以一并提出行政赔偿请求，行政复议机关对符合国家赔偿法的有关规定应当给予赔偿的，在决定撤销、变更具体行政行为或者确认具体行政行为违法时，应当同时决定被申请人依法给予赔偿。</w:t>
      </w:r>
    </w:p>
    <w:p>
      <w:pPr>
        <w:ind w:firstLine="472"/>
        <w:rPr>
          <w:color w:val="auto"/>
        </w:rPr>
      </w:pPr>
      <w:r>
        <w:rPr>
          <w:rFonts w:hint="eastAsia"/>
          <w:color w:val="auto"/>
        </w:rPr>
        <w:t>申请人在申请行政复议时没有提出行政赔偿请求的，行政复议机关在依法决定撤销或者变更罚款，撤销违法集资、没收财物、征收财物、摊派费用以及对财产的查封、扣押、冻结等具体行政行为时，应当同时责令被申请人返还财产，解除对财产的查封、扣押、冻结措施，或者赔偿相应的价款。”</w:t>
      </w:r>
    </w:p>
    <w:p>
      <w:pPr>
        <w:ind w:firstLine="472"/>
        <w:rPr>
          <w:rFonts w:hint="eastAsia" w:eastAsia="宋体"/>
          <w:color w:val="auto"/>
          <w:lang w:eastAsia="zh-CN"/>
        </w:rPr>
      </w:pPr>
      <w:r>
        <w:rPr>
          <w:color w:val="auto"/>
        </w:rPr>
        <w:t>3.</w:t>
      </w:r>
      <w:r>
        <w:rPr>
          <w:rFonts w:hint="eastAsia"/>
          <w:color w:val="auto"/>
        </w:rPr>
        <w:t>《中华人民共和国税收征收管理法》第八条，第四十三条</w:t>
      </w:r>
    </w:p>
    <w:p>
      <w:pPr>
        <w:ind w:firstLine="472"/>
        <w:rPr>
          <w:color w:val="auto"/>
        </w:rPr>
      </w:pPr>
      <w:r>
        <w:rPr>
          <w:rFonts w:hint="eastAsia"/>
          <w:color w:val="auto"/>
        </w:rPr>
        <w:t>“第八条纳税人、扣缴义务人有权向税务机关了解国家税收法律、行政法规的规定以及与纳税程序有关的情况。</w:t>
      </w:r>
    </w:p>
    <w:p>
      <w:pPr>
        <w:ind w:firstLine="472"/>
        <w:rPr>
          <w:color w:val="auto"/>
        </w:rPr>
      </w:pPr>
      <w:r>
        <w:rPr>
          <w:rFonts w:hint="eastAsia"/>
          <w:color w:val="auto"/>
        </w:rPr>
        <w:t>第四十三条税务机关滥用职权违法采取税收保全措施、强制执行措施，或者采取税收保全措施、强制执行措施不当，使纳税人、扣缴义务人或者纳税担保人的合法权益遭受损失的，应当依法承担赔偿责任。”</w:t>
      </w:r>
    </w:p>
    <w:p>
      <w:pPr>
        <w:ind w:firstLine="472"/>
        <w:rPr>
          <w:rFonts w:hint="eastAsia" w:eastAsia="宋体"/>
          <w:color w:val="auto"/>
          <w:lang w:eastAsia="zh-CN"/>
        </w:rPr>
      </w:pPr>
      <w:r>
        <w:rPr>
          <w:color w:val="auto"/>
        </w:rPr>
        <w:t>4.</w:t>
      </w:r>
      <w:r>
        <w:rPr>
          <w:rFonts w:hint="eastAsia"/>
          <w:color w:val="auto"/>
        </w:rPr>
        <w:t>《中华人民共和国国家赔偿法》全文</w:t>
      </w:r>
    </w:p>
    <w:p>
      <w:pPr>
        <w:ind w:firstLine="472"/>
        <w:rPr>
          <w:rFonts w:hint="eastAsia" w:eastAsia="宋体"/>
          <w:color w:val="auto"/>
          <w:lang w:eastAsia="zh-CN"/>
        </w:rPr>
      </w:pPr>
      <w:r>
        <w:rPr>
          <w:color w:val="auto"/>
        </w:rPr>
        <w:t>5.</w:t>
      </w:r>
      <w:r>
        <w:rPr>
          <w:rFonts w:hint="eastAsia"/>
          <w:color w:val="auto"/>
        </w:rPr>
        <w:t>《中华人民共和国行政诉讼法》第四十六条</w:t>
      </w:r>
    </w:p>
    <w:p>
      <w:pPr>
        <w:ind w:firstLine="472"/>
        <w:rPr>
          <w:color w:val="auto"/>
        </w:rPr>
      </w:pPr>
      <w:r>
        <w:rPr>
          <w:rFonts w:hint="eastAsia"/>
          <w:color w:val="auto"/>
        </w:rPr>
        <w:t>“公民、法人或者其他组织直接向人民法院提起诉讼的，应当自知道或者应当知道作出行政行为之日起六个月内提出。法律另有规定的除外。因不动产提起诉讼的案件自行政行为作出之日起超过二十年，其他案件自行政行为作出之日起超过五年提起诉讼的，人民法院不予受理。”</w:t>
      </w:r>
    </w:p>
    <w:p>
      <w:pPr>
        <w:ind w:firstLine="472"/>
        <w:rPr>
          <w:rFonts w:hint="eastAsia" w:eastAsia="宋体"/>
          <w:color w:val="auto"/>
          <w:lang w:eastAsia="zh-CN"/>
        </w:rPr>
      </w:pPr>
      <w:r>
        <w:rPr>
          <w:color w:val="auto"/>
        </w:rPr>
        <w:t>6.</w:t>
      </w:r>
      <w:r>
        <w:rPr>
          <w:rFonts w:hint="eastAsia"/>
          <w:color w:val="auto"/>
        </w:rPr>
        <w:t>《国家赔偿费用管理条例》（中华人民共和国国务院令第</w:t>
      </w:r>
      <w:r>
        <w:rPr>
          <w:color w:val="auto"/>
        </w:rPr>
        <w:t>589号）全文</w:t>
      </w:r>
    </w:p>
    <w:p>
      <w:pPr>
        <w:ind w:firstLine="472"/>
        <w:rPr>
          <w:color w:val="auto"/>
        </w:rPr>
      </w:pPr>
      <w:r>
        <w:rPr>
          <w:color w:val="auto"/>
        </w:rPr>
        <w:t>7.</w:t>
      </w:r>
      <w:r>
        <w:rPr>
          <w:rFonts w:hint="eastAsia"/>
          <w:color w:val="auto"/>
        </w:rPr>
        <w:t>《国家税务总局关于印发〈税务行政应诉工作规程（试行）〉的通知》（税总发〔</w:t>
      </w:r>
      <w:r>
        <w:rPr>
          <w:color w:val="auto"/>
        </w:rPr>
        <w:t>2017〕135号）</w:t>
      </w:r>
      <w:r>
        <w:rPr>
          <w:rFonts w:hint="eastAsia"/>
          <w:color w:val="auto"/>
        </w:rPr>
        <w:t>第</w:t>
      </w:r>
      <w:r>
        <w:rPr>
          <w:color w:val="auto"/>
        </w:rPr>
        <w:t>二十五条</w:t>
      </w:r>
    </w:p>
    <w:p>
      <w:pPr>
        <w:ind w:firstLine="472"/>
        <w:rPr>
          <w:color w:val="auto"/>
        </w:rPr>
      </w:pPr>
      <w:r>
        <w:rPr>
          <w:rFonts w:hint="eastAsia"/>
          <w:color w:val="auto"/>
        </w:rPr>
        <w:t>“工作小组在开庭审理前应当组织召开庭前准备会议，研究拟定质证意见、法庭辩论提纲和最后陈述，并对可能出现的突发状况准备应急预案。对行政赔偿、补偿及税务机关行使法律、法规规定的自由裁量权的案件，还应当做好是否接受调解的预案并报领导小组审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Style w:val="17"/>
                <w:rFonts w:hint="eastAsia" w:ascii="宋体" w:hAnsi="宋体" w:eastAsia="宋体" w:cs="微软雅黑"/>
                <w:b w:val="0"/>
                <w:color w:val="auto"/>
                <w:sz w:val="18"/>
                <w:szCs w:val="18"/>
              </w:rPr>
              <w:t>《行政赔偿申请书》</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如果口头提起行政赔偿申请，可不递交行政赔偿申请书</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居民身份证复印件</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ind w:firstLine="352"/>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法定代表人（负责人）居民身份证复印件</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ind w:firstLine="352"/>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ascii="宋体" w:hAnsi="宋体" w:eastAsia="宋体"/>
                <w:color w:val="auto"/>
                <w:sz w:val="18"/>
                <w:szCs w:val="18"/>
              </w:rPr>
              <w:t>《税务行政复议决定书》</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olor w:val="auto"/>
                <w:sz w:val="18"/>
                <w:szCs w:val="18"/>
              </w:rPr>
              <w:t>如未经复议，无需报送复议决定书</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人民法院的裁定书、裁判书等确认税务机关具体行政行为违法的文件资料复印件</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olor w:val="auto"/>
                <w:sz w:val="18"/>
                <w:szCs w:val="18"/>
              </w:rPr>
              <w:t>未就赔偿申请对应具体行政行为提起诉讼，无需提供人民法院的判决书或裁定书复印件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ascii="宋体" w:hAnsi="宋体" w:eastAsia="宋体" w:cs="微软雅黑"/>
                <w:color w:val="auto"/>
                <w:sz w:val="18"/>
                <w:szCs w:val="18"/>
              </w:rPr>
              <w:t>6</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税务机关具体行政行为对税务行政管理相对人的合法权益造成损害的证据材料</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264" w:firstLineChars="150"/>
              <w:rPr>
                <w:rFonts w:cs="宋体"/>
                <w:color w:val="auto"/>
                <w:sz w:val="18"/>
                <w:szCs w:val="18"/>
              </w:rPr>
            </w:pPr>
            <w:r>
              <w:rPr>
                <w:rFonts w:ascii="宋体" w:hAnsi="宋体" w:eastAsia="宋体" w:cs="微软雅黑"/>
                <w:color w:val="auto"/>
                <w:sz w:val="18"/>
                <w:szCs w:val="18"/>
              </w:rPr>
              <w:t>7</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授权委托书（赔偿请求人委托他人提出申请）复印件</w:t>
            </w:r>
          </w:p>
        </w:tc>
        <w:tc>
          <w:tcPr>
            <w:tcW w:w="709" w:type="dxa"/>
            <w:shd w:val="clear" w:color="auto" w:fill="auto"/>
            <w:vAlign w:val="center"/>
          </w:tcPr>
          <w:p>
            <w:pPr>
              <w:pStyle w:val="13"/>
              <w:widowControl/>
              <w:spacing w:before="100" w:after="100" w:line="280" w:lineRule="exact"/>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未就赔偿申请委托他人处理的，无需提供授权委托书复印件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197" o:spt="75" type="#_x0000_t75" style="height:218.5pt;width:413.2pt;" o:ole="t" filled="f" o:preferrelative="t" stroked="f" coordsize="21600,21600">
            <v:path/>
            <v:fill on="f" focussize="0,0"/>
            <v:stroke on="f" joinstyle="miter"/>
            <v:imagedata r:id="rId11" o:title=""/>
            <o:lock v:ext="edit" aspectratio="t"/>
            <w10:wrap type="none"/>
            <w10:anchorlock/>
          </v:shape>
          <o:OLEObject Type="Embed" ProgID="Visio.Drawing.11" ShapeID="_x0000_i119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szCs w:val="24"/>
        </w:rPr>
        <w:t>限时办结</w:t>
      </w:r>
      <w:r>
        <w:rPr>
          <w:rFonts w:hint="eastAsia"/>
          <w:color w:val="auto"/>
        </w:rPr>
        <w:t>。</w:t>
      </w:r>
    </w:p>
    <w:p>
      <w:pPr>
        <w:pStyle w:val="3"/>
        <w:ind w:firstLine="552"/>
        <w:rPr>
          <w:color w:val="auto"/>
        </w:rPr>
      </w:pPr>
      <w:r>
        <w:rPr>
          <w:rFonts w:hint="eastAsia"/>
          <w:color w:val="auto"/>
        </w:rPr>
        <w:t>八、表证单书</w:t>
      </w:r>
    </w:p>
    <w:p>
      <w:pPr>
        <w:ind w:firstLine="472"/>
        <w:rPr>
          <w:color w:val="auto"/>
        </w:rPr>
      </w:pPr>
      <w:r>
        <w:rPr>
          <w:rFonts w:hint="eastAsia"/>
          <w:color w:val="auto"/>
        </w:rPr>
        <w:t>1.A12001《行政赔偿申请书》(A12001《行政赔偿申请书》（填写样例）)</w:t>
      </w:r>
    </w:p>
    <w:p>
      <w:pPr>
        <w:pStyle w:val="3"/>
        <w:ind w:firstLine="552"/>
        <w:rPr>
          <w:color w:val="auto"/>
        </w:rPr>
      </w:pPr>
      <w:r>
        <w:rPr>
          <w:rFonts w:hint="eastAsia"/>
          <w:color w:val="auto"/>
        </w:rPr>
        <w:t>九、注意事项</w:t>
      </w:r>
    </w:p>
    <w:p>
      <w:pPr>
        <w:ind w:firstLine="472"/>
        <w:rPr>
          <w:snapToGrid w:val="0"/>
          <w:color w:val="auto"/>
          <w:kern w:val="20"/>
          <w:szCs w:val="24"/>
        </w:rPr>
      </w:pPr>
      <w:r>
        <w:rPr>
          <w:rFonts w:hint="eastAsia"/>
          <w:color w:val="auto"/>
        </w:rPr>
        <w:t>1.</w:t>
      </w:r>
      <w:r>
        <w:rPr>
          <w:rFonts w:hint="eastAsia"/>
          <w:snapToGrid w:val="0"/>
          <w:color w:val="auto"/>
          <w:kern w:val="20"/>
          <w:szCs w:val="24"/>
        </w:rPr>
        <w:t>赔偿义务机关应在接到赔偿请求人的赔偿请求之日起</w:t>
      </w:r>
      <w:r>
        <w:rPr>
          <w:snapToGrid w:val="0"/>
          <w:color w:val="auto"/>
          <w:kern w:val="20"/>
          <w:szCs w:val="24"/>
        </w:rPr>
        <w:t>2</w:t>
      </w:r>
      <w:r>
        <w:rPr>
          <w:rFonts w:hint="eastAsia"/>
          <w:snapToGrid w:val="0"/>
          <w:color w:val="auto"/>
          <w:kern w:val="20"/>
          <w:szCs w:val="24"/>
        </w:rPr>
        <w:t>个月内作出赔偿决定。</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主管税务机关法制管理部门</w:t>
      </w:r>
    </w:p>
    <w:p>
      <w:pPr>
        <w:ind w:firstLine="472"/>
        <w:rPr>
          <w:rFonts w:hint="eastAsia"/>
          <w:color w:val="auto"/>
        </w:rPr>
      </w:pPr>
      <w:r>
        <w:rPr>
          <w:rFonts w:hint="eastAsia"/>
          <w:color w:val="auto"/>
          <w:lang w:val="en-US" w:eastAsia="zh-CN"/>
        </w:rPr>
        <w:t>主管税务机关地址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7D560DB0"/>
    <w:multiLevelType w:val="multilevel"/>
    <w:tmpl w:val="7D560DB0"/>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CFA4E0A"/>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2019-10-31T05:19:34Z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