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5378"/>
      <w:r>
        <w:rPr>
          <w:rFonts w:hint="eastAsia" w:ascii="黑体" w:hAnsi="黑体" w:cs="黑体"/>
          <w:color w:val="auto"/>
        </w:rPr>
        <w:t>1.1.5.5跨境应税行为免征增值税报告</w:t>
      </w:r>
      <w:bookmarkEnd w:id="0"/>
    </w:p>
    <w:p>
      <w:pPr>
        <w:pStyle w:val="3"/>
        <w:ind w:firstLine="552"/>
        <w:rPr>
          <w:color w:val="auto"/>
        </w:rPr>
      </w:pPr>
      <w:r>
        <w:rPr>
          <w:color w:val="auto"/>
        </w:rPr>
        <w:t>一、事项名称</w:t>
      </w:r>
    </w:p>
    <w:p>
      <w:pPr>
        <w:ind w:firstLine="472"/>
        <w:rPr>
          <w:rFonts w:hint="eastAsia" w:eastAsia="宋体"/>
          <w:color w:val="auto"/>
          <w:lang w:eastAsia="zh-CN"/>
        </w:rPr>
      </w:pPr>
      <w:r>
        <w:rPr>
          <w:rFonts w:hint="eastAsia"/>
          <w:color w:val="auto"/>
        </w:rPr>
        <w:t>跨境应税行为免征增值税报告</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w:t>
      </w:r>
      <w:r>
        <w:rPr>
          <w:rFonts w:hint="eastAsia"/>
          <w:color w:val="auto"/>
          <w:lang w:eastAsia="zh-CN"/>
        </w:rPr>
        <w:t>即办</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适用层级：省、市、县(市、区)级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eastAsia="黑体" w:asciiTheme="majorHAnsi" w:hAnsiTheme="majorHAnsi" w:cstheme="majorBidi"/>
          <w:bCs/>
          <w:color w:val="auto"/>
          <w:sz w:val="28"/>
          <w:szCs w:val="32"/>
          <w:lang w:eastAsia="zh-CN"/>
        </w:rPr>
        <w:t>办理条件</w:t>
      </w:r>
    </w:p>
    <w:p>
      <w:pPr>
        <w:ind w:firstLine="472"/>
        <w:rPr>
          <w:rFonts w:hint="eastAsia"/>
          <w:color w:val="auto"/>
        </w:rPr>
      </w:pPr>
      <w:r>
        <w:rPr>
          <w:rFonts w:hint="eastAsia"/>
          <w:color w:val="auto"/>
        </w:rPr>
        <w:t>按《国家税务总局关于发布〈营业税改征增值税跨境应税行为增值税免税管理办法（试行）〉的公告》（国家税务总局公告2016年第29号发布，国家税务总局公告2018年第31号修改）规定，纳税人向境外单位销售服务或无形资产免征增值税的，该项销售服务或无形资产的全部收入应从境外取得，否则，不予免征增值税。</w:t>
      </w:r>
    </w:p>
    <w:p>
      <w:pPr>
        <w:ind w:firstLine="472"/>
        <w:rPr>
          <w:rFonts w:hint="eastAsia"/>
          <w:color w:val="auto"/>
        </w:rPr>
      </w:pPr>
      <w:r>
        <w:rPr>
          <w:rFonts w:hint="eastAsia"/>
          <w:color w:val="auto"/>
        </w:rPr>
        <w:t>原签订的跨境销售服务或无形资产合同发生变更，或者跨境销售服务或无形资产的有关情况发生变化，变化后仍属于免税范围的，纳税人应向主管税务机关重新办理跨境应税行为免税备案手续。</w:t>
      </w:r>
    </w:p>
    <w:p>
      <w:pPr>
        <w:ind w:firstLine="472"/>
        <w:rPr>
          <w:color w:val="auto"/>
        </w:rPr>
      </w:pPr>
      <w:r>
        <w:rPr>
          <w:rFonts w:hint="eastAsia"/>
          <w:color w:val="auto"/>
        </w:rPr>
        <w:t>2016年4月30日前签订的合同，符合《财政部国家税务总局关于将铁路运输和邮政业纳入营业税改征增值税试点的通知》（财税〔2013〕106号）附件4和《财政部国家税务总局关于影视等出口服务适用增值税零税率政策的通知》（财税〔2015〕118号）规定的零税率或者免税政策条件的，在合同到期前可以继续享受零税率或者免税政策。已办理免税备案手续的，不再重新办理免税备案手续；未办理免税备案手续但已进行免税申报的，按照现行规定补办备案手续。</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1.《中华人民共和国税收征收管理法》第三十三条第一款</w:t>
      </w:r>
    </w:p>
    <w:p>
      <w:pPr>
        <w:ind w:firstLine="472"/>
        <w:rPr>
          <w:rFonts w:hint="eastAsia"/>
          <w:color w:val="auto"/>
        </w:rPr>
      </w:pPr>
      <w:r>
        <w:rPr>
          <w:rFonts w:hint="eastAsia"/>
          <w:color w:val="auto"/>
          <w:lang w:eastAsia="zh-CN"/>
        </w:rPr>
        <w:t>“</w:t>
      </w:r>
      <w:r>
        <w:rPr>
          <w:rFonts w:hint="eastAsia"/>
          <w:color w:val="auto"/>
        </w:rPr>
        <w:t>纳税人依照法律、行政法规的规定办理减税、免税。</w:t>
      </w:r>
      <w:r>
        <w:rPr>
          <w:rFonts w:hint="eastAsia"/>
          <w:color w:val="auto"/>
          <w:lang w:eastAsia="zh-CN"/>
        </w:rPr>
        <w:t>”</w:t>
      </w:r>
    </w:p>
    <w:p>
      <w:pPr>
        <w:numPr>
          <w:ilvl w:val="0"/>
          <w:numId w:val="0"/>
        </w:numPr>
        <w:ind w:firstLine="472" w:firstLineChars="200"/>
        <w:rPr>
          <w:rFonts w:hint="eastAsia"/>
          <w:color w:val="auto"/>
        </w:rPr>
      </w:pPr>
      <w:r>
        <w:rPr>
          <w:rFonts w:hint="eastAsia"/>
          <w:color w:val="auto"/>
          <w:lang w:val="en-US" w:eastAsia="zh-CN"/>
        </w:rPr>
        <w:t>2.</w:t>
      </w:r>
      <w:r>
        <w:rPr>
          <w:rFonts w:hint="eastAsia"/>
          <w:color w:val="auto"/>
        </w:rPr>
        <w:t>《国家税务总局关于发布&lt;营业税改征增值税跨境应税行为增值税免税管理办法（试行）&gt;的公告》（国家税务总局公告2016年第29号）第八条</w:t>
      </w:r>
    </w:p>
    <w:p>
      <w:pPr>
        <w:numPr>
          <w:ilvl w:val="0"/>
          <w:numId w:val="0"/>
        </w:numPr>
        <w:ind w:firstLine="472" w:firstLineChars="200"/>
        <w:rPr>
          <w:rFonts w:hint="eastAsia"/>
          <w:color w:val="auto"/>
        </w:rPr>
      </w:pPr>
      <w:r>
        <w:rPr>
          <w:rFonts w:hint="eastAsia"/>
          <w:color w:val="auto"/>
          <w:lang w:eastAsia="zh-CN"/>
        </w:rPr>
        <w:t>“</w:t>
      </w:r>
      <w:r>
        <w:rPr>
          <w:rFonts w:hint="eastAsia"/>
          <w:color w:val="auto"/>
        </w:rPr>
        <w:t>在境外提供的文化体育服务、教育医疗服务、旅游服务。</w:t>
      </w:r>
    </w:p>
    <w:p>
      <w:pPr>
        <w:ind w:firstLine="472"/>
        <w:rPr>
          <w:rFonts w:hint="eastAsia"/>
          <w:color w:val="auto"/>
        </w:rPr>
      </w:pPr>
      <w:r>
        <w:rPr>
          <w:rFonts w:hint="eastAsia"/>
          <w:color w:val="auto"/>
        </w:rPr>
        <w:t>在境外提供的文化体育服务和教育医疗服务，是指纳税人在境外现场提供的文化体育服务和教育医疗服务。</w:t>
      </w:r>
    </w:p>
    <w:p>
      <w:pPr>
        <w:ind w:left="0" w:leftChars="0" w:firstLine="0" w:firstLineChars="0"/>
        <w:rPr>
          <w:rFonts w:hint="eastAsia"/>
          <w:color w:val="auto"/>
        </w:rPr>
      </w:pPr>
      <w:r>
        <w:rPr>
          <w:rFonts w:hint="eastAsia"/>
          <w:color w:val="auto"/>
        </w:rPr>
        <w:t>　　为参加在境外举办的科技活动、文化活动、文化演出、文化比赛、体育比赛、体育表演、体育活动而提供的组织安排服务，属于在境外提供的文化体育服务。</w:t>
      </w:r>
    </w:p>
    <w:p>
      <w:pPr>
        <w:ind w:left="0" w:leftChars="0" w:firstLine="0" w:firstLineChars="0"/>
        <w:rPr>
          <w:rFonts w:hint="eastAsia" w:eastAsia="宋体"/>
          <w:color w:val="auto"/>
          <w:lang w:val="en-US" w:eastAsia="zh-CN"/>
        </w:rPr>
      </w:pPr>
      <w:r>
        <w:rPr>
          <w:rFonts w:hint="eastAsia"/>
          <w:color w:val="auto"/>
        </w:rPr>
        <w:t>　　通过境内的电台、电视台、卫星通信、互联网、有线电视等媒体向境外单位或个人提供的文化体育服务或教育医疗服务，不属于在境外提供的文化体育服务、教育医疗服务。</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724"/>
        <w:gridCol w:w="644"/>
        <w:gridCol w:w="960"/>
        <w:gridCol w:w="2062"/>
        <w:gridCol w:w="1130"/>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0" w:lineRule="exact"/>
              <w:jc w:val="center"/>
              <w:textAlignment w:val="auto"/>
              <w:rPr>
                <w:rFonts w:cs="宋体"/>
                <w:b/>
                <w:color w:val="auto"/>
                <w:sz w:val="18"/>
                <w:szCs w:val="18"/>
              </w:rPr>
            </w:pPr>
            <w:r>
              <w:rPr>
                <w:rStyle w:val="17"/>
                <w:rFonts w:hint="eastAsia" w:ascii="宋体" w:hAnsi="宋体" w:eastAsia="宋体" w:cs="微软雅黑"/>
                <w:color w:val="auto"/>
                <w:sz w:val="18"/>
                <w:szCs w:val="18"/>
              </w:rPr>
              <w:t>序号</w:t>
            </w:r>
          </w:p>
        </w:tc>
        <w:tc>
          <w:tcPr>
            <w:tcW w:w="1724"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0" w:lineRule="exact"/>
              <w:jc w:val="center"/>
              <w:textAlignment w:val="auto"/>
              <w:rPr>
                <w:rFonts w:cs="宋体"/>
                <w:b/>
                <w:color w:val="auto"/>
                <w:sz w:val="18"/>
                <w:szCs w:val="18"/>
              </w:rPr>
            </w:pPr>
            <w:r>
              <w:rPr>
                <w:rStyle w:val="17"/>
                <w:rFonts w:hint="eastAsia" w:ascii="宋体" w:hAnsi="宋体" w:eastAsia="宋体" w:cs="微软雅黑"/>
                <w:color w:val="auto"/>
                <w:sz w:val="18"/>
                <w:szCs w:val="18"/>
              </w:rPr>
              <w:t>资料名称</w:t>
            </w:r>
          </w:p>
        </w:tc>
        <w:tc>
          <w:tcPr>
            <w:tcW w:w="644"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0" w:lineRule="exact"/>
              <w:jc w:val="center"/>
              <w:textAlignment w:val="auto"/>
              <w:rPr>
                <w:rFonts w:cs="宋体"/>
                <w:b/>
                <w:color w:val="auto"/>
                <w:sz w:val="18"/>
                <w:szCs w:val="18"/>
              </w:rPr>
            </w:pPr>
            <w:r>
              <w:rPr>
                <w:rStyle w:val="17"/>
                <w:rFonts w:hint="eastAsia" w:ascii="宋体" w:hAnsi="宋体" w:eastAsia="宋体" w:cs="微软雅黑"/>
                <w:color w:val="auto"/>
                <w:sz w:val="18"/>
                <w:szCs w:val="18"/>
              </w:rPr>
              <w:t>份数</w:t>
            </w:r>
          </w:p>
        </w:tc>
        <w:tc>
          <w:tcPr>
            <w:tcW w:w="960"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0" w:lineRule="exact"/>
              <w:jc w:val="center"/>
              <w:textAlignment w:val="auto"/>
              <w:rPr>
                <w:rFonts w:cs="宋体"/>
                <w:b/>
                <w:color w:val="auto"/>
                <w:sz w:val="18"/>
                <w:szCs w:val="18"/>
              </w:rPr>
            </w:pPr>
            <w:r>
              <w:rPr>
                <w:rStyle w:val="17"/>
                <w:rFonts w:hint="eastAsia" w:ascii="宋体" w:hAnsi="宋体" w:eastAsia="宋体" w:cs="微软雅黑"/>
                <w:color w:val="auto"/>
                <w:sz w:val="18"/>
                <w:szCs w:val="18"/>
              </w:rPr>
              <w:t>报送类型</w:t>
            </w:r>
          </w:p>
        </w:tc>
        <w:tc>
          <w:tcPr>
            <w:tcW w:w="2062" w:type="dxa"/>
            <w:shd w:val="clear" w:color="auto" w:fill="auto"/>
            <w:vAlign w:val="center"/>
          </w:tcPr>
          <w:p>
            <w:pPr>
              <w:pStyle w:val="13"/>
              <w:keepNext w:val="0"/>
              <w:keepLines w:val="0"/>
              <w:pageBreakBefore w:val="0"/>
              <w:widowControl/>
              <w:kinsoku/>
              <w:wordWrap/>
              <w:overflowPunct/>
              <w:topLinePunct w:val="0"/>
              <w:autoSpaceDE/>
              <w:autoSpaceDN/>
              <w:bidi w:val="0"/>
              <w:spacing w:before="100" w:after="100" w:line="280" w:lineRule="exact"/>
              <w:jc w:val="center"/>
              <w:textAlignment w:val="auto"/>
              <w:rPr>
                <w:rFonts w:cs="宋体"/>
                <w:b/>
                <w:color w:val="auto"/>
                <w:sz w:val="18"/>
                <w:szCs w:val="18"/>
              </w:rPr>
            </w:pPr>
            <w:r>
              <w:rPr>
                <w:rStyle w:val="17"/>
                <w:rFonts w:hint="eastAsia" w:ascii="宋体" w:hAnsi="宋体" w:eastAsia="宋体" w:cs="微软雅黑"/>
                <w:color w:val="auto"/>
                <w:sz w:val="18"/>
                <w:szCs w:val="18"/>
              </w:rPr>
              <w:t>报送条件</w:t>
            </w:r>
          </w:p>
        </w:tc>
        <w:tc>
          <w:tcPr>
            <w:tcW w:w="1130" w:type="dxa"/>
            <w:shd w:val="clear" w:color="auto" w:fill="auto"/>
            <w:vAlign w:val="center"/>
          </w:tcPr>
          <w:p>
            <w:pPr>
              <w:pStyle w:val="13"/>
              <w:keepNext w:val="0"/>
              <w:keepLines w:val="0"/>
              <w:pageBreakBefore w:val="0"/>
              <w:widowControl/>
              <w:kinsoku/>
              <w:wordWrap/>
              <w:overflowPunct/>
              <w:topLinePunct w:val="0"/>
              <w:autoSpaceDE/>
              <w:autoSpaceDN/>
              <w:bidi w:val="0"/>
              <w:adjustRightInd w:val="0"/>
              <w:snapToGrid w:val="0"/>
              <w:spacing w:before="100" w:after="100" w:line="280" w:lineRule="exact"/>
              <w:jc w:val="center"/>
              <w:textAlignment w:val="auto"/>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val="0"/>
              <w:snapToGrid w:val="0"/>
              <w:spacing w:before="100" w:after="100" w:line="280" w:lineRule="exact"/>
              <w:jc w:val="center"/>
              <w:textAlignment w:val="auto"/>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352" w:firstLineChars="200"/>
              <w:jc w:val="center"/>
              <w:textAlignment w:val="auto"/>
              <w:rPr>
                <w:rFonts w:cs="宋体"/>
                <w:color w:val="auto"/>
                <w:kern w:val="0"/>
                <w:sz w:val="18"/>
                <w:szCs w:val="18"/>
              </w:rPr>
            </w:pPr>
            <w:r>
              <w:rPr>
                <w:color w:val="auto"/>
                <w:sz w:val="18"/>
                <w:szCs w:val="18"/>
              </w:rPr>
              <w:t>1</w:t>
            </w:r>
          </w:p>
        </w:tc>
        <w:tc>
          <w:tcPr>
            <w:tcW w:w="172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textAlignment w:val="auto"/>
              <w:rPr>
                <w:rFonts w:cs="宋体"/>
                <w:color w:val="auto"/>
                <w:kern w:val="0"/>
                <w:sz w:val="18"/>
                <w:szCs w:val="18"/>
              </w:rPr>
            </w:pPr>
            <w:r>
              <w:rPr>
                <w:rFonts w:hint="eastAsia" w:cs="Arial"/>
                <w:color w:val="auto"/>
                <w:sz w:val="18"/>
                <w:szCs w:val="18"/>
              </w:rPr>
              <w:t>《跨境应税行为免税备案表》</w:t>
            </w:r>
          </w:p>
        </w:tc>
        <w:tc>
          <w:tcPr>
            <w:tcW w:w="64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352" w:firstLineChars="200"/>
              <w:jc w:val="center"/>
              <w:textAlignment w:val="auto"/>
              <w:rPr>
                <w:rFonts w:cs="宋体"/>
                <w:color w:val="auto"/>
                <w:kern w:val="0"/>
                <w:sz w:val="18"/>
                <w:szCs w:val="18"/>
              </w:rPr>
            </w:pPr>
            <w:r>
              <w:rPr>
                <w:color w:val="auto"/>
                <w:sz w:val="18"/>
                <w:szCs w:val="18"/>
              </w:rPr>
              <w:t>2</w:t>
            </w:r>
          </w:p>
        </w:tc>
        <w:tc>
          <w:tcPr>
            <w:tcW w:w="96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both"/>
              <w:textAlignment w:val="auto"/>
              <w:rPr>
                <w:rFonts w:cs="宋体"/>
                <w:color w:val="auto"/>
                <w:kern w:val="0"/>
                <w:sz w:val="18"/>
                <w:szCs w:val="18"/>
              </w:rPr>
            </w:pPr>
            <w:r>
              <w:rPr>
                <w:rFonts w:hint="eastAsia"/>
                <w:color w:val="auto"/>
                <w:sz w:val="18"/>
                <w:szCs w:val="18"/>
              </w:rPr>
              <w:t>必报</w:t>
            </w:r>
          </w:p>
        </w:tc>
        <w:tc>
          <w:tcPr>
            <w:tcW w:w="206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352" w:firstLineChars="200"/>
              <w:jc w:val="center"/>
              <w:textAlignment w:val="auto"/>
              <w:rPr>
                <w:rFonts w:cs="宋体"/>
                <w:color w:val="auto"/>
                <w:kern w:val="0"/>
                <w:sz w:val="18"/>
                <w:szCs w:val="18"/>
              </w:rPr>
            </w:pPr>
          </w:p>
        </w:tc>
        <w:tc>
          <w:tcPr>
            <w:tcW w:w="1130" w:type="dxa"/>
            <w:vAlign w:val="center"/>
          </w:tcPr>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both"/>
              <w:textAlignment w:val="auto"/>
              <w:rPr>
                <w:rFonts w:cs="宋体"/>
                <w:color w:val="auto"/>
                <w:kern w:val="0"/>
                <w:sz w:val="18"/>
                <w:szCs w:val="18"/>
              </w:rPr>
            </w:pPr>
            <w:r>
              <w:rPr>
                <w:rFonts w:hint="eastAsia"/>
                <w:color w:val="auto"/>
                <w:kern w:val="0"/>
                <w:sz w:val="18"/>
                <w:szCs w:val="18"/>
                <w:lang w:eastAsia="zh-CN"/>
              </w:rPr>
              <w:t>税务机关</w:t>
            </w:r>
            <w:r>
              <w:rPr>
                <w:rFonts w:hint="eastAsia"/>
                <w:color w:val="auto"/>
                <w:kern w:val="0"/>
                <w:sz w:val="18"/>
                <w:szCs w:val="18"/>
              </w:rPr>
              <w:t>留存</w:t>
            </w:r>
            <w:r>
              <w:rPr>
                <w:color w:val="auto"/>
                <w:kern w:val="0"/>
                <w:sz w:val="18"/>
                <w:szCs w:val="18"/>
              </w:rPr>
              <w:t>1</w:t>
            </w:r>
            <w:r>
              <w:rPr>
                <w:rFonts w:hint="eastAsia"/>
                <w:color w:val="auto"/>
                <w:kern w:val="0"/>
                <w:sz w:val="18"/>
                <w:szCs w:val="18"/>
              </w:rPr>
              <w:t>份</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auto"/>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cs="宋体"/>
                <w:color w:val="auto"/>
                <w:kern w:val="0"/>
                <w:sz w:val="18"/>
                <w:szCs w:val="18"/>
              </w:rPr>
            </w:pPr>
            <w:r>
              <w:rPr>
                <w:rFonts w:hint="eastAsia"/>
                <w:color w:val="auto"/>
                <w:sz w:val="18"/>
                <w:szCs w:val="18"/>
              </w:rPr>
              <w:t>2</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cs="宋体"/>
                <w:color w:val="auto"/>
                <w:kern w:val="0"/>
                <w:sz w:val="18"/>
                <w:szCs w:val="18"/>
              </w:rPr>
            </w:pPr>
            <w:r>
              <w:rPr>
                <w:rFonts w:hint="eastAsia" w:ascii="宋体" w:hAnsi="宋体"/>
                <w:color w:val="auto"/>
                <w:sz w:val="18"/>
                <w:szCs w:val="18"/>
              </w:rPr>
              <w:t>跨境销售服务或无形资产的合同复印件（能够获取相关信息的可取消复印件的报送）</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cs="宋体"/>
                <w:color w:val="auto"/>
                <w:kern w:val="0"/>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cs="宋体"/>
                <w:color w:val="auto"/>
                <w:kern w:val="0"/>
                <w:sz w:val="18"/>
                <w:szCs w:val="18"/>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cs="宋体"/>
                <w:color w:val="auto"/>
                <w:kern w:val="0"/>
                <w:sz w:val="18"/>
                <w:szCs w:val="18"/>
              </w:rPr>
            </w:pPr>
            <w:r>
              <w:rPr>
                <w:rFonts w:hint="eastAsia" w:ascii="宋体" w:hAnsi="宋体"/>
                <w:color w:val="auto"/>
                <w:sz w:val="18"/>
                <w:szCs w:val="18"/>
              </w:rPr>
              <w:t>提供除“符合零税率政策但适用简易计税方法或声明放弃适用零税率选择免税的国际运输服务、航天运输服务及向境外单位提供的完全在境外消费的研发服务、合同能源管理服务、设计服务、广播影视节目</w:t>
            </w:r>
            <w:r>
              <w:rPr>
                <w:rFonts w:ascii="宋体" w:hAnsi="宋体"/>
                <w:color w:val="auto"/>
                <w:sz w:val="18"/>
                <w:szCs w:val="18"/>
              </w:rPr>
              <w:t>(作品)</w:t>
            </w:r>
            <w:r>
              <w:rPr>
                <w:rFonts w:hint="eastAsia" w:ascii="宋体" w:hAnsi="宋体"/>
                <w:color w:val="auto"/>
                <w:sz w:val="18"/>
                <w:szCs w:val="18"/>
              </w:rPr>
              <w:t>的制作和发行服务、软件服务、电路设计及测试服务、信息系统服务、业务流程管理服务、离岸服务外包业务和向境外单位转让完全在境外消费的技术”以外的跨境应税销售服务或无形资产申请免征增值税的</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cs="宋体"/>
                <w:color w:val="auto"/>
                <w:kern w:val="0"/>
                <w:sz w:val="18"/>
                <w:szCs w:val="18"/>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cs="宋体"/>
                <w:color w:val="auto"/>
                <w:kern w:val="0"/>
                <w:sz w:val="18"/>
                <w:szCs w:val="18"/>
              </w:rPr>
            </w:pPr>
            <w:r>
              <w:rPr>
                <w:rFonts w:hint="eastAsia"/>
                <w:color w:val="auto"/>
                <w:sz w:val="18"/>
                <w:szCs w:val="18"/>
              </w:rPr>
              <w:t>3</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hint="eastAsia" w:ascii="宋体" w:hAnsi="宋体"/>
                <w:color w:val="auto"/>
                <w:sz w:val="18"/>
                <w:szCs w:val="18"/>
              </w:rPr>
              <w:t>服务地点在境外的证明材料复印件（能够获取相关信息的可取消复印件的报送）</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cs="宋体"/>
                <w:color w:val="auto"/>
                <w:kern w:val="0"/>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cs="宋体"/>
                <w:color w:val="auto"/>
                <w:kern w:val="0"/>
                <w:sz w:val="18"/>
                <w:szCs w:val="18"/>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ascii="宋体" w:hAnsi="宋体"/>
                <w:color w:val="auto"/>
                <w:sz w:val="18"/>
                <w:szCs w:val="18"/>
              </w:rPr>
              <w:t>工程项目在境外的工程监理服务；工程、矿产资源在境外的工程勘察勘探服务；会议展览地点在境外的会议展览服务；存储地点在境外的仓储服务；标的物在境外使用的有形动产租赁服务；在境外提供的广播影视节目(作品)的播映服务；在境外提供的文化体育服务、教育医疗服务；向境外单位销售的广告投放地在境外的广告服务</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cs="宋体"/>
                <w:color w:val="auto"/>
                <w:kern w:val="0"/>
                <w:sz w:val="18"/>
                <w:szCs w:val="18"/>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cs="宋体"/>
                <w:color w:val="auto"/>
                <w:kern w:val="0"/>
                <w:sz w:val="18"/>
                <w:szCs w:val="18"/>
              </w:rPr>
            </w:pPr>
            <w:r>
              <w:rPr>
                <w:rFonts w:hint="eastAsia"/>
                <w:color w:val="auto"/>
                <w:sz w:val="18"/>
                <w:szCs w:val="18"/>
              </w:rPr>
              <w:t>4</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hint="eastAsia" w:ascii="宋体" w:hAnsi="宋体"/>
                <w:color w:val="auto"/>
                <w:sz w:val="18"/>
                <w:szCs w:val="18"/>
              </w:rPr>
              <w:t>实际发生国际运输业务的证明材料</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cs="宋体"/>
                <w:color w:val="auto"/>
                <w:kern w:val="0"/>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cs="宋体"/>
                <w:color w:val="auto"/>
                <w:kern w:val="0"/>
                <w:sz w:val="18"/>
                <w:szCs w:val="18"/>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hint="eastAsia" w:ascii="宋体" w:hAnsi="宋体"/>
                <w:color w:val="auto"/>
                <w:sz w:val="18"/>
                <w:szCs w:val="18"/>
              </w:rPr>
              <w:t>提供国际运输服务</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cs="宋体"/>
                <w:color w:val="auto"/>
                <w:kern w:val="0"/>
                <w:sz w:val="18"/>
                <w:szCs w:val="18"/>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5</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Arial"/>
                <w:color w:val="auto"/>
                <w:sz w:val="18"/>
                <w:szCs w:val="18"/>
              </w:rPr>
            </w:pPr>
            <w:r>
              <w:rPr>
                <w:rFonts w:hint="eastAsia" w:ascii="宋体" w:hAnsi="宋体"/>
                <w:color w:val="auto"/>
                <w:sz w:val="18"/>
                <w:szCs w:val="18"/>
              </w:rPr>
              <w:t>服务或无形资产购买方的机构所在地在境外的证明材料</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ascii="宋体" w:hAnsi="宋体"/>
                <w:color w:val="auto"/>
                <w:sz w:val="18"/>
                <w:szCs w:val="18"/>
              </w:rPr>
              <w:t>向境外单位销售服务或无形资产</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6</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Arial"/>
                <w:color w:val="auto"/>
                <w:sz w:val="18"/>
                <w:szCs w:val="18"/>
              </w:rPr>
            </w:pPr>
            <w:r>
              <w:rPr>
                <w:rFonts w:hint="eastAsia" w:ascii="宋体" w:hAnsi="宋体"/>
                <w:color w:val="auto"/>
                <w:sz w:val="18"/>
                <w:szCs w:val="18"/>
              </w:rPr>
              <w:t>放弃适用增值税零税率声明</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ascii="宋体" w:hAnsi="宋体"/>
                <w:color w:val="auto"/>
                <w:sz w:val="18"/>
                <w:szCs w:val="18"/>
              </w:rPr>
              <w:t>纳税人发生符合零税率政策但适用简易计税方法或声明放弃适用零税率选择免税应税行为，并在首次享受免税的纳税申报期内或在各省、自治区、直辖市和计划单列市</w:t>
            </w:r>
            <w:r>
              <w:rPr>
                <w:rFonts w:hint="eastAsia" w:ascii="宋体" w:hAnsi="宋体"/>
                <w:color w:val="auto"/>
                <w:sz w:val="18"/>
                <w:szCs w:val="18"/>
              </w:rPr>
              <w:t>税务局规定的申报征期后的其他期限内</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7</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Arial"/>
                <w:color w:val="auto"/>
                <w:sz w:val="18"/>
                <w:szCs w:val="18"/>
              </w:rPr>
            </w:pPr>
            <w:r>
              <w:rPr>
                <w:rFonts w:hint="eastAsia" w:ascii="宋体" w:hAnsi="宋体"/>
                <w:color w:val="auto"/>
                <w:sz w:val="18"/>
                <w:szCs w:val="18"/>
              </w:rPr>
              <w:t>享受零税率到主管税务机关办理增值税免抵退税或免退税申报时需报送的材料和原始凭证</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ascii="宋体" w:hAnsi="宋体"/>
                <w:color w:val="auto"/>
                <w:sz w:val="18"/>
                <w:szCs w:val="18"/>
              </w:rPr>
              <w:t>纳税人发生符合零税率政策但适用简易计税方法或声明放弃适用零税率选择免税应税行为，并在首次享受免税的纳税申报期内或在各省、自治区、直辖市和计划单列市国家税务局规定的申报征期后的其他期限内</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8</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Arial"/>
                <w:color w:val="auto"/>
                <w:sz w:val="18"/>
                <w:szCs w:val="18"/>
              </w:rPr>
            </w:pPr>
            <w:r>
              <w:rPr>
                <w:rFonts w:hint="eastAsia" w:ascii="宋体" w:hAnsi="宋体"/>
                <w:color w:val="auto"/>
                <w:sz w:val="18"/>
                <w:szCs w:val="18"/>
              </w:rPr>
              <w:t>关于纳税人基本情况和业务介绍的说明</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hint="eastAsia" w:ascii="宋体" w:hAnsi="宋体"/>
                <w:color w:val="auto"/>
                <w:sz w:val="18"/>
                <w:szCs w:val="18"/>
              </w:rPr>
              <w:t>提供国际运输服务</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9</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Arial"/>
                <w:color w:val="auto"/>
                <w:sz w:val="18"/>
                <w:szCs w:val="18"/>
              </w:rPr>
            </w:pPr>
            <w:r>
              <w:rPr>
                <w:rFonts w:hint="eastAsia" w:ascii="宋体" w:hAnsi="宋体"/>
                <w:color w:val="auto"/>
                <w:sz w:val="18"/>
                <w:szCs w:val="18"/>
              </w:rPr>
              <w:t>依据的税收协定或国际运输协定复印件</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hint="eastAsia" w:ascii="宋体" w:hAnsi="宋体"/>
                <w:color w:val="auto"/>
                <w:sz w:val="18"/>
                <w:szCs w:val="18"/>
              </w:rPr>
              <w:t>提供国际运输服务</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10</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Arial"/>
                <w:color w:val="auto"/>
                <w:sz w:val="18"/>
                <w:szCs w:val="18"/>
              </w:rPr>
            </w:pPr>
            <w:r>
              <w:rPr>
                <w:rFonts w:hint="eastAsia" w:ascii="宋体" w:hAnsi="宋体"/>
                <w:color w:val="auto"/>
                <w:sz w:val="18"/>
                <w:szCs w:val="18"/>
              </w:rPr>
              <w:t>出境业务人员的出境证件首页及出境记录页复印件</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hint="eastAsia" w:ascii="宋体" w:hAnsi="宋体"/>
                <w:color w:val="auto"/>
                <w:sz w:val="18"/>
                <w:szCs w:val="18"/>
              </w:rPr>
              <w:t>境内的单位和个人在境外提供旅游服务，旅游服务提供方派业务人员随同出境的</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11</w:t>
            </w:r>
          </w:p>
        </w:tc>
        <w:tc>
          <w:tcPr>
            <w:tcW w:w="1724"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Arial"/>
                <w:color w:val="auto"/>
                <w:sz w:val="18"/>
                <w:szCs w:val="18"/>
              </w:rPr>
            </w:pPr>
            <w:r>
              <w:rPr>
                <w:rFonts w:hint="eastAsia" w:ascii="宋体" w:hAnsi="宋体"/>
                <w:color w:val="auto"/>
                <w:sz w:val="18"/>
                <w:szCs w:val="18"/>
              </w:rPr>
              <w:t>旅游服务购买方的出境证件首页及出境记录页复印件</w:t>
            </w:r>
          </w:p>
        </w:tc>
        <w:tc>
          <w:tcPr>
            <w:tcW w:w="64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352" w:firstLineChars="200"/>
              <w:jc w:val="center"/>
              <w:textAlignment w:val="auto"/>
              <w:rPr>
                <w:rFonts w:hint="eastAsia" w:ascii="宋体" w:hAnsi="宋体" w:cs="宋体"/>
                <w:color w:val="auto"/>
                <w:sz w:val="18"/>
                <w:szCs w:val="18"/>
              </w:rPr>
            </w:pPr>
            <w:r>
              <w:rPr>
                <w:rFonts w:hint="eastAsia"/>
                <w:color w:val="auto"/>
                <w:sz w:val="18"/>
                <w:szCs w:val="18"/>
              </w:rPr>
              <w:t>1</w:t>
            </w:r>
          </w:p>
        </w:tc>
        <w:tc>
          <w:tcPr>
            <w:tcW w:w="960"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sz w:val="18"/>
                <w:szCs w:val="18"/>
              </w:rPr>
              <w:t>条件报送</w:t>
            </w:r>
          </w:p>
        </w:tc>
        <w:tc>
          <w:tcPr>
            <w:tcW w:w="2062" w:type="dxa"/>
            <w:shd w:val="clear" w:color="auto" w:fill="auto"/>
            <w:vAlign w:val="center"/>
          </w:tcPr>
          <w:p>
            <w:pPr>
              <w:keepNext w:val="0"/>
              <w:keepLines w:val="0"/>
              <w:pageBreakBefore w:val="0"/>
              <w:kinsoku/>
              <w:wordWrap/>
              <w:overflowPunct/>
              <w:topLinePunct w:val="0"/>
              <w:autoSpaceDE/>
              <w:autoSpaceDN/>
              <w:bidi w:val="0"/>
              <w:spacing w:line="280" w:lineRule="exact"/>
              <w:ind w:left="0" w:leftChars="0" w:firstLine="0" w:firstLineChars="0"/>
              <w:textAlignment w:val="auto"/>
              <w:rPr>
                <w:rFonts w:hint="eastAsia" w:cs="宋体"/>
                <w:color w:val="auto"/>
                <w:kern w:val="0"/>
                <w:sz w:val="18"/>
                <w:szCs w:val="18"/>
              </w:rPr>
            </w:pPr>
            <w:r>
              <w:rPr>
                <w:rFonts w:hint="eastAsia" w:ascii="宋体" w:hAnsi="宋体"/>
                <w:color w:val="auto"/>
                <w:sz w:val="18"/>
                <w:szCs w:val="18"/>
              </w:rPr>
              <w:t>境内的单位和个人在境外提供旅游服务，旅游服务购买方超过</w:t>
            </w:r>
            <w:r>
              <w:rPr>
                <w:rFonts w:ascii="宋体" w:hAnsi="宋体"/>
                <w:color w:val="auto"/>
                <w:sz w:val="18"/>
                <w:szCs w:val="18"/>
              </w:rPr>
              <w:t>2人的，只需提供其中2人的出境证件复印件</w:t>
            </w:r>
          </w:p>
        </w:tc>
        <w:tc>
          <w:tcPr>
            <w:tcW w:w="1130" w:type="dxa"/>
            <w:vAlign w:val="center"/>
          </w:tcPr>
          <w:p>
            <w:pPr>
              <w:keepNext w:val="0"/>
              <w:keepLines w:val="0"/>
              <w:pageBreakBefore w:val="0"/>
              <w:widowControl/>
              <w:kinsoku/>
              <w:wordWrap/>
              <w:overflowPunct/>
              <w:topLinePunct w:val="0"/>
              <w:autoSpaceDE/>
              <w:autoSpaceDN/>
              <w:bidi w:val="0"/>
              <w:spacing w:line="280" w:lineRule="exact"/>
              <w:ind w:left="0" w:leftChars="0" w:firstLine="0" w:firstLineChars="0"/>
              <w:jc w:val="both"/>
              <w:textAlignment w:val="auto"/>
              <w:rPr>
                <w:rFonts w:hint="eastAsia" w:ascii="宋体" w:hAnsi="宋体" w:eastAsia="宋体" w:cs="Arial"/>
                <w:color w:val="auto"/>
                <w:kern w:val="2"/>
                <w:sz w:val="18"/>
                <w:szCs w:val="18"/>
                <w:lang w:val="en-US" w:eastAsia="zh-CN" w:bidi="ar-SA"/>
              </w:rPr>
            </w:pPr>
            <w:r>
              <w:rPr>
                <w:rFonts w:hint="eastAsia"/>
                <w:color w:val="auto"/>
                <w:kern w:val="0"/>
                <w:sz w:val="18"/>
                <w:szCs w:val="18"/>
              </w:rPr>
              <w:t>查验后返还</w:t>
            </w:r>
          </w:p>
        </w:tc>
        <w:tc>
          <w:tcPr>
            <w:tcW w:w="1134" w:type="dxa"/>
            <w:shd w:val="clear" w:color="auto" w:fill="auto"/>
            <w:vAlign w:val="center"/>
          </w:tcPr>
          <w:p>
            <w:pPr>
              <w:keepNext w:val="0"/>
              <w:keepLines w:val="0"/>
              <w:pageBreakBefore w:val="0"/>
              <w:widowControl/>
              <w:kinsoku/>
              <w:wordWrap/>
              <w:overflowPunct/>
              <w:topLinePunct w:val="0"/>
              <w:autoSpaceDE/>
              <w:autoSpaceDN/>
              <w:bidi w:val="0"/>
              <w:spacing w:line="280" w:lineRule="exact"/>
              <w:ind w:firstLine="0" w:firstLineChars="0"/>
              <w:jc w:val="center"/>
              <w:textAlignment w:val="auto"/>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42" o:spt="75" type="#_x0000_t75" style="height:101.2pt;width:400.75pt;" o:ole="t" filled="f" o:preferrelative="t" stroked="f" coordsize="21600,21600">
            <v:path/>
            <v:fill on="f" focussize="0,0"/>
            <v:stroke on="f"/>
            <v:imagedata r:id="rId11" o:title=""/>
            <o:lock v:ext="edit" aspectratio="t"/>
            <w10:wrap type="none"/>
            <w10:anchorlock/>
          </v:shape>
          <o:OLEObject Type="Embed" ProgID="Msxml2.SAXXMLReader.5.0" ShapeID="_x0000_i1042"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eastAsia="zh-CN"/>
        </w:rPr>
        <w:t>即时办结</w:t>
      </w:r>
      <w:r>
        <w:rPr>
          <w:rFonts w:hint="eastAsia"/>
          <w:color w:val="auto"/>
        </w:rPr>
        <w:t>。</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rPr>
        <w:t>1.A03068《跨境应税行为免税备案表》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1.纳税人对报送资料的真实性和合法性承担责任。</w:t>
      </w:r>
    </w:p>
    <w:p>
      <w:pPr>
        <w:ind w:firstLine="472"/>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rPr>
          <w:rFonts w:hint="eastAsia"/>
          <w:color w:val="auto"/>
        </w:rPr>
      </w:pPr>
      <w:r>
        <w:rPr>
          <w:rFonts w:hint="eastAsia"/>
          <w:color w:val="auto"/>
          <w:lang w:val="en-US" w:eastAsia="zh-CN"/>
        </w:rPr>
        <w:t>3</w:t>
      </w:r>
      <w:r>
        <w:rPr>
          <w:rFonts w:hint="eastAsia"/>
          <w:color w:val="auto"/>
        </w:rPr>
        <w:t>.</w:t>
      </w:r>
      <w:r>
        <w:rPr>
          <w:rFonts w:hint="eastAsia"/>
          <w:color w:val="auto"/>
          <w:lang w:val="en-US" w:eastAsia="zh-CN"/>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2DA3CDD"/>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2019-10-31T03:34:18Z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