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6143"/>
      <w:r>
        <w:rPr>
          <w:rFonts w:ascii="黑体" w:hAnsi="黑体" w:cs="黑体"/>
          <w:color w:val="auto"/>
        </w:rPr>
        <w:t>1.1.2.13个人所得税分期缴纳报告</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个人所得税分期缴纳报告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网上办理：否</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rFonts w:hint="eastAsia"/>
          <w:color w:val="auto"/>
        </w:rPr>
      </w:pPr>
      <w:r>
        <w:rPr>
          <w:rFonts w:hint="eastAsia"/>
          <w:color w:val="auto"/>
        </w:rPr>
        <w:t>个人所得税分期缴纳报告，是指个人所得税纳税人按照政策的规定，可以分期缴纳个人所得税的，按规定由纳税人或扣缴义务人向主管机关报送相关资料进行报告。具体可分为非货币性资产投资分期缴纳个人所得税备案、股权奖励个人所得税分期缴纳备案、转增股本个人所得税分期缴纳备案和个人取得股票期权或认购股票等取得折扣或补贴收入分期缴纳个人所得税备案。</w:t>
      </w:r>
    </w:p>
    <w:p>
      <w:pPr>
        <w:pStyle w:val="3"/>
        <w:ind w:firstLine="552"/>
        <w:rPr>
          <w:color w:val="auto"/>
        </w:rPr>
      </w:pPr>
      <w:r>
        <w:rPr>
          <w:rFonts w:hint="eastAsia"/>
          <w:color w:val="auto"/>
        </w:rPr>
        <w:t>四、设定依据</w:t>
      </w:r>
    </w:p>
    <w:p>
      <w:pPr>
        <w:pStyle w:val="47"/>
        <w:ind w:firstLineChars="0"/>
        <w:rPr>
          <w:color w:val="auto"/>
        </w:rPr>
      </w:pPr>
      <w:r>
        <w:rPr>
          <w:color w:val="auto"/>
        </w:rPr>
        <w:t>1.《财政部　国家税务总局关于个人非货币性资产投资有关个人所得税政策的通知》（财税〔2015〕41号）第三条</w:t>
      </w:r>
    </w:p>
    <w:p>
      <w:pPr>
        <w:pStyle w:val="47"/>
        <w:ind w:firstLineChars="0"/>
        <w:rPr>
          <w:color w:val="auto"/>
        </w:rPr>
      </w:pPr>
      <w:r>
        <w:rPr>
          <w:color w:val="auto"/>
        </w:rPr>
        <w:t>“个人应在发生上述应税行为的次月15日内向主管税务机关申报纳税。</w:t>
      </w:r>
    </w:p>
    <w:p>
      <w:pPr>
        <w:pStyle w:val="47"/>
        <w:ind w:firstLineChars="0"/>
        <w:rPr>
          <w:color w:val="auto"/>
        </w:rPr>
      </w:pPr>
      <w:r>
        <w:rPr>
          <w:rFonts w:hint="eastAsia"/>
          <w:color w:val="auto"/>
        </w:rPr>
        <w:t>纳税人一次性缴税有困难的，可合理确定分期缴纳计划并报主管税务机关备案后，自发生上述应税行为之日起不超过</w:t>
      </w:r>
      <w:r>
        <w:rPr>
          <w:color w:val="auto"/>
        </w:rPr>
        <w:t>5个公历年度内（含）分期缴纳个人所得税。”</w:t>
      </w:r>
    </w:p>
    <w:p>
      <w:pPr>
        <w:pStyle w:val="47"/>
        <w:ind w:firstLineChars="0"/>
        <w:rPr>
          <w:rFonts w:hint="eastAsia" w:eastAsia="宋体"/>
          <w:color w:val="auto"/>
          <w:lang w:eastAsia="zh-CN"/>
        </w:rPr>
      </w:pPr>
      <w:r>
        <w:rPr>
          <w:color w:val="auto"/>
        </w:rPr>
        <w:t>2.《财政部　国家税务总局关于将国家自主创新示范区有关税收试点政策推广到全国范围实施的通知》（财税〔2015〕116号）第三条第一项、第四条第一项</w:t>
      </w:r>
    </w:p>
    <w:p>
      <w:pPr>
        <w:pStyle w:val="47"/>
        <w:ind w:firstLineChars="0"/>
        <w:rPr>
          <w:color w:val="auto"/>
        </w:rPr>
      </w:pPr>
      <w:r>
        <w:rPr>
          <w:color w:val="auto"/>
        </w:rPr>
        <w:t>“自2016年1月1日起，全国范围内的中小高新技术企业以未分配利润、盈余公积、资本公积向个人股东转增股本时，个人股东一次缴纳个人所得税确有困难的，可根据实际情况自行制定分期缴税计划，在不超过5个公历年度内（含）分期缴纳，并将有关资料报主管税务机关备案。自2016年1月1日起，全国范围内的高新技术企业转化科技成果，给予本企业相关技术人员的股权奖励，个人一次缴纳税款有</w:t>
      </w:r>
      <w:r>
        <w:rPr>
          <w:rFonts w:hint="eastAsia"/>
          <w:color w:val="auto"/>
        </w:rPr>
        <w:t>困难的，可根据实际情况自行制定分期缴税计划，在不超过</w:t>
      </w:r>
      <w:r>
        <w:rPr>
          <w:color w:val="auto"/>
        </w:rPr>
        <w:t>5个公历年度内（含）分期缴纳，并将有关资料报主管税务机关备案。”</w:t>
      </w:r>
    </w:p>
    <w:p>
      <w:pPr>
        <w:pStyle w:val="47"/>
        <w:ind w:firstLineChars="0"/>
        <w:rPr>
          <w:rFonts w:hint="eastAsia" w:eastAsia="宋体"/>
          <w:color w:val="auto"/>
          <w:lang w:eastAsia="zh-CN"/>
        </w:rPr>
      </w:pPr>
      <w:r>
        <w:rPr>
          <w:color w:val="auto"/>
        </w:rPr>
        <w:t>3.国家税务总局关于股权奖励和转增股本个人所得税征管问题的公告》（国家税务总局公告2015年第80号）第三条</w:t>
      </w:r>
    </w:p>
    <w:p>
      <w:pPr>
        <w:pStyle w:val="47"/>
        <w:ind w:firstLineChars="0"/>
        <w:rPr>
          <w:color w:val="auto"/>
        </w:rPr>
      </w:pPr>
      <w:r>
        <w:rPr>
          <w:color w:val="auto"/>
        </w:rPr>
        <w:t>“</w:t>
      </w:r>
      <w:r>
        <w:rPr>
          <w:rFonts w:hint="eastAsia"/>
          <w:color w:val="auto"/>
        </w:rPr>
        <w:t>（一）获得股权奖励的企业技术人员、企业转增股本涉及的股东需要分期缴纳个人所得税的，应自行制定分期缴税计划，由企业于发生股权奖励、转增股本的次月</w:t>
      </w:r>
      <w:r>
        <w:rPr>
          <w:color w:val="auto"/>
        </w:rPr>
        <w:t>15日内，向主管税务机关办理分期缴税备案手续。</w:t>
      </w:r>
    </w:p>
    <w:p>
      <w:pPr>
        <w:pStyle w:val="47"/>
        <w:ind w:firstLineChars="0"/>
        <w:rPr>
          <w:color w:val="auto"/>
        </w:rPr>
      </w:pPr>
      <w:r>
        <w:rPr>
          <w:rFonts w:hint="eastAsia"/>
          <w:color w:val="auto"/>
        </w:rPr>
        <w:t>办理股权奖励分期缴税，企业应向主管税务机关报送高新技术企业认定证书、股东大会或董事会决议、《个人所得税分期缴纳备案表（股权奖励）》、相关技术人员参与技术活动的说明材料、企业股权奖励计划、能够证明股权或股票价格的有关材料、企业转化科技成果的说明、最近一期企业财务报表等。</w:t>
      </w:r>
    </w:p>
    <w:p>
      <w:pPr>
        <w:pStyle w:val="47"/>
        <w:ind w:firstLineChars="0"/>
        <w:rPr>
          <w:color w:val="auto"/>
        </w:rPr>
      </w:pPr>
      <w:r>
        <w:rPr>
          <w:rFonts w:hint="eastAsia"/>
          <w:color w:val="auto"/>
        </w:rPr>
        <w:t>办理转增股本分期缴税，企业应向主管税务机关报送高新技术企业认定证书、股东大会或董事会决议、《个人所得税分期缴纳备案表（转增股本）》、上年度及转增股本当月企业财务报表、转增股本有关情况说明等。</w:t>
      </w:r>
    </w:p>
    <w:p>
      <w:pPr>
        <w:pStyle w:val="47"/>
        <w:ind w:firstLineChars="0"/>
        <w:rPr>
          <w:color w:val="auto"/>
        </w:rPr>
      </w:pPr>
      <w:r>
        <w:rPr>
          <w:rFonts w:hint="eastAsia"/>
          <w:color w:val="auto"/>
        </w:rPr>
        <w:t>高新技术企业认定证书、股东大会或董事会决议的原件，主管税务机关进行形式审核后退还企业，复印件及其他有关资料税务机关留存。</w:t>
      </w:r>
    </w:p>
    <w:p>
      <w:pPr>
        <w:pStyle w:val="47"/>
        <w:ind w:firstLineChars="0"/>
        <w:rPr>
          <w:color w:val="auto"/>
        </w:rPr>
      </w:pPr>
      <w:r>
        <w:rPr>
          <w:rFonts w:hint="eastAsia"/>
          <w:color w:val="auto"/>
        </w:rPr>
        <w:t>（二）纳税人分期缴税期间需要变更原分期缴税计划的，应重新制定分期缴税计划，由企业向主管税务机关重新报送《个人所得税分期缴纳备案表》。</w:t>
      </w:r>
      <w:r>
        <w:rPr>
          <w:color w:val="auto"/>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《非货币性资产投资分期缴纳个人所得税备案表》</w:t>
            </w:r>
          </w:p>
        </w:tc>
        <w:tc>
          <w:tcPr>
            <w:tcW w:w="709" w:type="dxa"/>
            <w:shd w:val="clear" w:color="auto" w:fill="auto"/>
            <w:vAlign w:val="center"/>
          </w:tcPr>
          <w:p>
            <w:pPr>
              <w:pStyle w:val="13"/>
              <w:widowControl/>
              <w:spacing w:before="100" w:after="100" w:line="280" w:lineRule="exact"/>
              <w:ind w:firstLine="352"/>
              <w:jc w:val="both"/>
              <w:rPr>
                <w:rStyle w:val="17"/>
                <w:rFonts w:ascii="宋体" w:hAnsi="宋体" w:eastAsia="宋体" w:cs="微软雅黑"/>
                <w:b w:val="0"/>
                <w:color w:val="auto"/>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both"/>
              <w:rPr>
                <w:rFonts w:ascii="宋体" w:hAnsi="宋体" w:eastAsia="宋体" w:cs="微软雅黑"/>
                <w:color w:val="auto"/>
                <w:sz w:val="18"/>
                <w:szCs w:val="18"/>
              </w:rPr>
            </w:pPr>
            <w:r>
              <w:rPr>
                <w:rFonts w:ascii="宋体" w:hAnsi="宋体" w:eastAsia="宋体" w:cs="微软雅黑"/>
                <w:color w:val="auto"/>
                <w:sz w:val="18"/>
                <w:szCs w:val="18"/>
              </w:rPr>
              <w:t>纳税人办理非货币性资产投资分期缴纳个人所得税备案时报送</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jc w:val="both"/>
              <w:rPr>
                <w:rFonts w:hint="eastAsia" w:eastAsia="宋体" w:cs="宋体"/>
                <w:color w:val="auto"/>
                <w:sz w:val="18"/>
                <w:szCs w:val="18"/>
                <w:lang w:eastAsia="zh-CN"/>
              </w:rPr>
            </w:pPr>
            <w:r>
              <w:rPr>
                <w:rFonts w:ascii="宋体" w:hAnsi="宋体" w:eastAsia="宋体" w:cs="微软雅黑"/>
                <w:color w:val="auto"/>
                <w:sz w:val="18"/>
                <w:szCs w:val="18"/>
              </w:rPr>
              <w:t>投资协议</w:t>
            </w:r>
          </w:p>
        </w:tc>
        <w:tc>
          <w:tcPr>
            <w:tcW w:w="709" w:type="dxa"/>
            <w:shd w:val="clear" w:color="auto" w:fill="auto"/>
            <w:vAlign w:val="center"/>
          </w:tcPr>
          <w:p>
            <w:pPr>
              <w:pStyle w:val="13"/>
              <w:widowControl/>
              <w:spacing w:before="100" w:after="100" w:line="280" w:lineRule="exact"/>
              <w:ind w:firstLine="352"/>
              <w:jc w:val="both"/>
              <w:rPr>
                <w:rStyle w:val="17"/>
                <w:rFonts w:ascii="宋体" w:hAnsi="宋体" w:eastAsia="宋体" w:cs="微软雅黑"/>
                <w:b w:val="0"/>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both"/>
              <w:rPr>
                <w:rFonts w:ascii="宋体" w:hAnsi="宋体" w:eastAsia="宋体" w:cs="微软雅黑"/>
                <w:color w:val="auto"/>
                <w:sz w:val="18"/>
                <w:szCs w:val="18"/>
              </w:rPr>
            </w:pPr>
            <w:r>
              <w:rPr>
                <w:rFonts w:ascii="宋体" w:hAnsi="宋体" w:eastAsia="宋体" w:cs="微软雅黑"/>
                <w:color w:val="auto"/>
                <w:sz w:val="18"/>
                <w:szCs w:val="18"/>
              </w:rPr>
              <w:t>纳税人办理非货币性资产投资分期缴纳个人所得税备案时报送</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jc w:val="both"/>
              <w:rPr>
                <w:rFonts w:ascii="宋体" w:hAnsi="宋体" w:eastAsia="宋体"/>
                <w:color w:val="auto"/>
                <w:sz w:val="18"/>
                <w:szCs w:val="18"/>
              </w:rPr>
            </w:pPr>
            <w:r>
              <w:rPr>
                <w:rFonts w:ascii="宋体" w:hAnsi="宋体" w:eastAsia="宋体" w:cs="微软雅黑"/>
                <w:color w:val="auto"/>
                <w:sz w:val="18"/>
                <w:szCs w:val="18"/>
              </w:rPr>
              <w:t>非货币性资产评估价格证明材料</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b/>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both"/>
              <w:rPr>
                <w:rFonts w:ascii="宋体" w:hAnsi="宋体" w:eastAsia="宋体"/>
                <w:color w:val="auto"/>
                <w:sz w:val="18"/>
                <w:szCs w:val="18"/>
              </w:rPr>
            </w:pPr>
            <w:r>
              <w:rPr>
                <w:rFonts w:ascii="宋体" w:hAnsi="宋体" w:eastAsia="宋体" w:cs="微软雅黑"/>
                <w:color w:val="auto"/>
                <w:sz w:val="18"/>
                <w:szCs w:val="18"/>
              </w:rPr>
              <w:t>纳税人办理非货币性资产投资分期缴纳个人所得税备案时报送</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jc w:val="both"/>
              <w:rPr>
                <w:rFonts w:ascii="宋体" w:hAnsi="宋体" w:eastAsia="宋体"/>
                <w:color w:val="auto"/>
                <w:sz w:val="18"/>
                <w:szCs w:val="18"/>
              </w:rPr>
            </w:pPr>
            <w:r>
              <w:rPr>
                <w:rFonts w:ascii="宋体" w:hAnsi="宋体" w:eastAsia="宋体" w:cs="微软雅黑"/>
                <w:color w:val="auto"/>
                <w:sz w:val="18"/>
                <w:szCs w:val="18"/>
              </w:rPr>
              <w:t>非货币性资产原值及合理税费的相关证明资料</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both"/>
              <w:rPr>
                <w:rFonts w:ascii="宋体" w:hAnsi="宋体" w:eastAsia="宋体"/>
                <w:color w:val="auto"/>
                <w:sz w:val="18"/>
                <w:szCs w:val="18"/>
              </w:rPr>
            </w:pPr>
            <w:r>
              <w:rPr>
                <w:rFonts w:ascii="宋体" w:hAnsi="宋体" w:eastAsia="宋体" w:cs="微软雅黑"/>
                <w:color w:val="auto"/>
                <w:sz w:val="18"/>
                <w:szCs w:val="18"/>
              </w:rPr>
              <w:t>纳税人办理非货币性资产投资分期缴纳个人所得税备案时报送</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widowControl/>
              <w:spacing w:before="100" w:after="100" w:line="280" w:lineRule="exact"/>
              <w:ind w:firstLine="0" w:firstLineChars="0"/>
              <w:rPr>
                <w:rFonts w:cs="微软雅黑"/>
                <w:color w:val="auto"/>
                <w:sz w:val="18"/>
                <w:szCs w:val="18"/>
              </w:rPr>
            </w:pPr>
            <w:r>
              <w:rPr>
                <w:rFonts w:cs="微软雅黑"/>
                <w:color w:val="auto"/>
                <w:kern w:val="0"/>
                <w:sz w:val="18"/>
                <w:szCs w:val="18"/>
              </w:rPr>
              <w:t>《个人所得税分期缴纳备案表（股权奖励）》</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hint="eastAsia" w:eastAsia="宋体" w:cs="微软雅黑"/>
                <w:color w:val="auto"/>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6</w:t>
            </w:r>
          </w:p>
        </w:tc>
        <w:tc>
          <w:tcPr>
            <w:tcW w:w="2551" w:type="dxa"/>
            <w:shd w:val="clear" w:color="auto" w:fill="auto"/>
            <w:vAlign w:val="center"/>
          </w:tcPr>
          <w:p>
            <w:pPr>
              <w:pStyle w:val="13"/>
              <w:widowControl/>
              <w:spacing w:before="100" w:after="100" w:line="280" w:lineRule="exact"/>
              <w:jc w:val="center"/>
              <w:rPr>
                <w:rFonts w:hint="eastAsia" w:ascii="宋体" w:hAnsi="宋体" w:eastAsia="宋体" w:cs="微软雅黑"/>
                <w:color w:val="auto"/>
                <w:sz w:val="18"/>
                <w:szCs w:val="18"/>
                <w:lang w:eastAsia="zh-CN"/>
              </w:rPr>
            </w:pPr>
            <w:r>
              <w:rPr>
                <w:rFonts w:ascii="宋体" w:hAnsi="宋体" w:eastAsia="宋体" w:cs="微软雅黑"/>
                <w:color w:val="auto"/>
                <w:sz w:val="18"/>
                <w:szCs w:val="18"/>
              </w:rPr>
              <w:t>高新技术企业认定证书</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cs="微软雅黑"/>
                <w:color w:val="auto"/>
                <w:sz w:val="18"/>
                <w:szCs w:val="18"/>
              </w:rPr>
            </w:pPr>
            <w:r>
              <w:rPr>
                <w:rFonts w:cs="微软雅黑"/>
                <w:color w:val="auto"/>
                <w:kern w:val="0"/>
                <w:sz w:val="18"/>
                <w:szCs w:val="18"/>
              </w:rPr>
              <w:t>扣缴义务人办理股权奖励个人所得税分期缴纳备案或转增股本个人所得税分期缴纳备案时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7</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高新技术企业认定证书</w:t>
            </w:r>
            <w:r>
              <w:rPr>
                <w:rFonts w:hint="eastAsia" w:ascii="宋体" w:hAnsi="宋体" w:eastAsia="宋体" w:cs="微软雅黑"/>
                <w:color w:val="auto"/>
                <w:sz w:val="18"/>
                <w:szCs w:val="18"/>
              </w:rPr>
              <w:t>复印件</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cs="微软雅黑"/>
                <w:color w:val="auto"/>
                <w:kern w:val="0"/>
                <w:sz w:val="18"/>
                <w:szCs w:val="18"/>
              </w:rPr>
            </w:pPr>
            <w:r>
              <w:rPr>
                <w:rFonts w:cs="微软雅黑"/>
                <w:color w:val="auto"/>
                <w:kern w:val="0"/>
                <w:sz w:val="18"/>
                <w:szCs w:val="18"/>
              </w:rPr>
              <w:t>扣缴义务人办理股权奖励个人所得税分期缴纳备案或转增股本个人所得税分期缴纳备案时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8</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股东大会或董事会决议</w:t>
            </w:r>
            <w:r>
              <w:rPr>
                <w:rFonts w:hint="eastAsia" w:ascii="宋体" w:hAnsi="宋体" w:eastAsia="宋体" w:cs="微软雅黑"/>
                <w:color w:val="auto"/>
                <w:sz w:val="18"/>
                <w:szCs w:val="18"/>
              </w:rPr>
              <w:t>原件</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jc w:val="left"/>
              <w:rPr>
                <w:rFonts w:cs="微软雅黑"/>
                <w:color w:val="auto"/>
                <w:kern w:val="0"/>
                <w:sz w:val="18"/>
                <w:szCs w:val="18"/>
              </w:rPr>
            </w:pPr>
            <w:r>
              <w:rPr>
                <w:rFonts w:cs="微软雅黑"/>
                <w:color w:val="auto"/>
                <w:kern w:val="0"/>
                <w:sz w:val="18"/>
                <w:szCs w:val="18"/>
              </w:rPr>
              <w:t>扣缴义务人办理股权奖励个人所得税分期缴纳备案或转增股本个人所得税分期缴纳备案时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9</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股东大会或董事会决议复印件</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jc w:val="left"/>
              <w:rPr>
                <w:rFonts w:cs="微软雅黑"/>
                <w:color w:val="auto"/>
                <w:sz w:val="18"/>
                <w:szCs w:val="18"/>
              </w:rPr>
            </w:pPr>
            <w:r>
              <w:rPr>
                <w:rFonts w:cs="微软雅黑"/>
                <w:color w:val="auto"/>
                <w:kern w:val="0"/>
                <w:sz w:val="18"/>
                <w:szCs w:val="18"/>
              </w:rPr>
              <w:t>扣缴义务人办理股权奖励个人所得税分期缴纳备案或转增股本个人所得税分期缴纳备案时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10</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技术人员参与技术活动的说明材料</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hint="eastAsia" w:eastAsia="宋体" w:cs="微软雅黑"/>
                <w:color w:val="auto"/>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11</w:t>
            </w:r>
          </w:p>
        </w:tc>
        <w:tc>
          <w:tcPr>
            <w:tcW w:w="2551" w:type="dxa"/>
            <w:shd w:val="clear" w:color="auto" w:fill="auto"/>
            <w:vAlign w:val="center"/>
          </w:tcPr>
          <w:p>
            <w:pPr>
              <w:pStyle w:val="13"/>
              <w:widowControl/>
              <w:spacing w:before="100" w:after="100" w:line="280" w:lineRule="exact"/>
              <w:rPr>
                <w:rFonts w:cs="微软雅黑"/>
                <w:color w:val="auto"/>
                <w:sz w:val="18"/>
                <w:szCs w:val="18"/>
              </w:rPr>
            </w:pPr>
            <w:r>
              <w:rPr>
                <w:rFonts w:ascii="宋体" w:hAnsi="宋体" w:eastAsia="宋体" w:cs="微软雅黑"/>
                <w:color w:val="auto"/>
                <w:sz w:val="18"/>
                <w:szCs w:val="18"/>
              </w:rPr>
              <w:t>企业股权奖励计划</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hint="eastAsia" w:eastAsia="宋体" w:cs="微软雅黑"/>
                <w:color w:val="auto"/>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12</w:t>
            </w:r>
          </w:p>
        </w:tc>
        <w:tc>
          <w:tcPr>
            <w:tcW w:w="2551" w:type="dxa"/>
            <w:shd w:val="clear" w:color="auto" w:fill="auto"/>
            <w:vAlign w:val="center"/>
          </w:tcPr>
          <w:p>
            <w:pPr>
              <w:widowControl/>
              <w:spacing w:before="100" w:after="100" w:line="280" w:lineRule="exact"/>
              <w:ind w:firstLine="0" w:firstLineChars="0"/>
              <w:rPr>
                <w:rFonts w:cs="微软雅黑"/>
                <w:color w:val="auto"/>
                <w:sz w:val="18"/>
                <w:szCs w:val="18"/>
              </w:rPr>
            </w:pPr>
            <w:r>
              <w:rPr>
                <w:rFonts w:cs="微软雅黑"/>
                <w:color w:val="auto"/>
                <w:kern w:val="0"/>
                <w:sz w:val="18"/>
                <w:szCs w:val="18"/>
              </w:rPr>
              <w:t>能够证明股权或股票价格的材料</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hint="eastAsia" w:eastAsia="宋体" w:cs="微软雅黑"/>
                <w:color w:val="auto"/>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13</w:t>
            </w:r>
          </w:p>
        </w:tc>
        <w:tc>
          <w:tcPr>
            <w:tcW w:w="2551"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企业转化科技成果的说明</w:t>
            </w:r>
          </w:p>
        </w:tc>
        <w:tc>
          <w:tcPr>
            <w:tcW w:w="709"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rPr>
                <w:rFonts w:hint="eastAsia" w:eastAsia="宋体" w:cs="微软雅黑"/>
                <w:color w:val="auto"/>
                <w:kern w:val="0"/>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14</w:t>
            </w:r>
          </w:p>
        </w:tc>
        <w:tc>
          <w:tcPr>
            <w:tcW w:w="2551"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最近一期企业财务报表</w:t>
            </w:r>
          </w:p>
        </w:tc>
        <w:tc>
          <w:tcPr>
            <w:tcW w:w="709"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before="100" w:after="100" w:line="280" w:lineRule="exact"/>
              <w:ind w:firstLine="0" w:firstLineChars="0"/>
              <w:jc w:val="left"/>
              <w:rPr>
                <w:rFonts w:hint="eastAsia" w:eastAsia="宋体" w:cs="微软雅黑"/>
                <w:color w:val="auto"/>
                <w:sz w:val="18"/>
                <w:szCs w:val="18"/>
                <w:lang w:eastAsia="zh-CN"/>
              </w:rPr>
            </w:pPr>
            <w:r>
              <w:rPr>
                <w:rFonts w:cs="微软雅黑"/>
                <w:color w:val="auto"/>
                <w:kern w:val="0"/>
                <w:sz w:val="18"/>
                <w:szCs w:val="18"/>
              </w:rPr>
              <w:t>扣缴义务人办理股权奖励个人所得税分期缴纳备案时。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15</w:t>
            </w:r>
          </w:p>
        </w:tc>
        <w:tc>
          <w:tcPr>
            <w:tcW w:w="2551"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《个人所得税分期缴纳备案表（转增股本）》</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16</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上年度及转增股本当月企业财务报表</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17</w:t>
            </w:r>
          </w:p>
        </w:tc>
        <w:tc>
          <w:tcPr>
            <w:tcW w:w="2551"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转增股本情况说明</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转增股本个人所得税分期缴纳备案时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18</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ascii="宋体" w:hAnsi="宋体" w:eastAsia="宋体" w:cs="微软雅黑"/>
                <w:color w:val="auto"/>
                <w:sz w:val="18"/>
                <w:szCs w:val="18"/>
              </w:rPr>
              <w:t>《个人取得股票期权或认购股票等取得折扣或补贴收入分期缴纳个人所得税备案表》</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hint="eastAsia" w:ascii="宋体" w:hAnsi="宋体" w:eastAsia="宋体" w:cs="微软雅黑"/>
                <w:color w:val="auto"/>
                <w:sz w:val="18"/>
                <w:szCs w:val="18"/>
                <w:lang w:eastAsia="zh-CN"/>
              </w:rPr>
            </w:pPr>
            <w:r>
              <w:rPr>
                <w:rFonts w:ascii="宋体" w:hAnsi="宋体" w:eastAsia="宋体" w:cs="微软雅黑"/>
                <w:color w:val="auto"/>
                <w:sz w:val="18"/>
                <w:szCs w:val="18"/>
              </w:rPr>
              <w:t>扣缴义务人办理个人取得股票期权或认购股票等取得折扣或补贴收入分期缴纳个人所得税备案时。</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19</w:t>
            </w:r>
          </w:p>
        </w:tc>
        <w:tc>
          <w:tcPr>
            <w:tcW w:w="2551"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《个人所得税基础信息表（B表）》</w:t>
            </w:r>
          </w:p>
        </w:tc>
        <w:tc>
          <w:tcPr>
            <w:tcW w:w="709" w:type="dxa"/>
            <w:shd w:val="clear" w:color="auto" w:fill="auto"/>
            <w:vAlign w:val="center"/>
          </w:tcPr>
          <w:p>
            <w:pPr>
              <w:pStyle w:val="13"/>
              <w:widowControl/>
              <w:spacing w:before="100" w:after="100" w:line="280" w:lineRule="exact"/>
              <w:ind w:firstLine="352"/>
              <w:jc w:val="both"/>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rPr>
                <w:rFonts w:ascii="宋体" w:hAnsi="宋体" w:eastAsia="宋体" w:cs="微软雅黑"/>
                <w:color w:val="auto"/>
                <w:sz w:val="18"/>
                <w:szCs w:val="18"/>
              </w:rPr>
            </w:pPr>
            <w:r>
              <w:rPr>
                <w:rFonts w:hint="eastAsia" w:ascii="宋体" w:hAnsi="宋体" w:eastAsia="宋体" w:cs="微软雅黑"/>
                <w:color w:val="auto"/>
                <w:sz w:val="18"/>
                <w:szCs w:val="18"/>
              </w:rPr>
              <w:t>未完成自然人信息采集</w:t>
            </w:r>
          </w:p>
        </w:tc>
        <w:tc>
          <w:tcPr>
            <w:tcW w:w="1134" w:type="dxa"/>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w:t>
            </w:r>
          </w:p>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27" o:spid="_x0000_s1027" o:spt="75" type="#_x0000_t75" style="position:absolute;left:0pt;margin-left:8.6pt;margin-top:16.6pt;height:104.45pt;width:439.3pt;mso-wrap-distance-bottom:0pt;mso-wrap-distance-left:9pt;mso-wrap-distance-right:9pt;mso-wrap-distance-top:0pt;z-index:25166336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27"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A06653《非货币性资产投资分期缴纳个人所得税备案表》</w:t>
      </w:r>
    </w:p>
    <w:p>
      <w:pPr>
        <w:ind w:firstLine="472"/>
        <w:rPr>
          <w:color w:val="auto"/>
        </w:rPr>
      </w:pPr>
      <w:r>
        <w:rPr>
          <w:rFonts w:hint="eastAsia"/>
          <w:color w:val="auto"/>
        </w:rPr>
        <w:t>2.</w:t>
      </w:r>
      <w:r>
        <w:rPr>
          <w:color w:val="auto"/>
        </w:rPr>
        <w:t>A06726《个人所得税分期缴纳备案表（股权奖励）》</w:t>
      </w:r>
    </w:p>
    <w:p>
      <w:pPr>
        <w:ind w:firstLine="472"/>
        <w:rPr>
          <w:color w:val="auto"/>
        </w:rPr>
      </w:pPr>
      <w:r>
        <w:rPr>
          <w:rFonts w:hint="eastAsia"/>
          <w:color w:val="auto"/>
        </w:rPr>
        <w:t>3.</w:t>
      </w:r>
      <w:r>
        <w:rPr>
          <w:color w:val="auto"/>
        </w:rPr>
        <w:t>A06727《个人所得税分期缴纳备案表（转增股本）》</w:t>
      </w:r>
    </w:p>
    <w:p>
      <w:pPr>
        <w:ind w:firstLine="472"/>
        <w:rPr>
          <w:rFonts w:hint="eastAsia"/>
          <w:color w:val="auto"/>
        </w:rPr>
      </w:pPr>
      <w:r>
        <w:rPr>
          <w:rFonts w:hint="eastAsia"/>
          <w:color w:val="auto"/>
        </w:rPr>
        <w:t>4.</w:t>
      </w:r>
      <w:r>
        <w:rPr>
          <w:color w:val="auto"/>
        </w:rPr>
        <w:t>A06739《个人取得股票期权或认购股票等取得折扣或补贴收入分期缴纳个人所得税备案表》</w:t>
      </w:r>
    </w:p>
    <w:p>
      <w:pPr>
        <w:ind w:firstLine="472"/>
        <w:rPr>
          <w:rFonts w:hint="default" w:eastAsia="宋体"/>
          <w:color w:val="auto"/>
          <w:lang w:val="en-US" w:eastAsia="zh-CN"/>
        </w:rPr>
      </w:pPr>
      <w:r>
        <w:rPr>
          <w:rFonts w:hint="eastAsia"/>
          <w:color w:val="auto"/>
        </w:rPr>
        <w:t>5.</w:t>
      </w:r>
      <w:r>
        <w:rPr>
          <w:color w:val="auto"/>
        </w:rPr>
        <w:t>A01053《个人所得税基础信息表（B表）》</w:t>
      </w:r>
      <w:r>
        <w:rPr>
          <w:rFonts w:hint="eastAsia"/>
          <w:color w:val="auto"/>
          <w:lang w:val="en-US" w:eastAsia="zh-CN"/>
        </w:rPr>
        <w:t>(</w:t>
      </w:r>
      <w:r>
        <w:rPr>
          <w:color w:val="auto"/>
        </w:rPr>
        <w:t>A01053《个人所得税基础信息表（B表）》</w:t>
      </w:r>
      <w:r>
        <w:rPr>
          <w:rFonts w:hint="eastAsia"/>
          <w:color w:val="auto"/>
          <w:lang w:val="en-US" w:eastAsia="zh-CN"/>
        </w:rPr>
        <w:t>(填写样例))</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1.纳税人对报送资料的真实性和合法性承担责任。</w:t>
      </w:r>
    </w:p>
    <w:p>
      <w:pPr>
        <w:ind w:firstLine="472"/>
        <w:rPr>
          <w:rFonts w:hint="eastAsia"/>
          <w:color w:val="auto"/>
        </w:rPr>
      </w:pPr>
      <w:r>
        <w:rPr>
          <w:rFonts w:hint="eastAsia"/>
          <w:color w:val="auto"/>
        </w:rPr>
        <w:t>2.最多跑一次是在资料完整且符合法定受理条件的前提下，最多只需要到税务机关跑一次。</w:t>
      </w:r>
    </w:p>
    <w:p>
      <w:pPr>
        <w:ind w:firstLine="472"/>
        <w:rPr>
          <w:rFonts w:hint="eastAsia"/>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4842AE0"/>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2019-10-31T03:30:27Z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