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shd w:val="clear" w:fill="FFFFFF"/>
        </w:rPr>
        <w:t>关于对行政命令业务的公告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年1月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日起至今，我单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位未开展行政命令，暂无业务信息公开。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2JhMjIyYjljNThiMjk4NjUwYTk4OTc2ZDM4NGUifQ=="/>
  </w:docVars>
  <w:rsids>
    <w:rsidRoot w:val="00000000"/>
    <w:rsid w:val="08EB634D"/>
    <w:rsid w:val="4D6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2022-11-26T11:46:00Z</dcterms:created>
  <dc:creator>Administrator</dc:creator>
  <cp:lastModifiedBy>常峰</cp:lastModifiedBy>
  <dcterms:modified xsi:type="dcterms:W3CDTF">2023-10-27T01:26:06Z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702AD11F28934B47A0A664D521AB36A5</vt:lpwstr>
  </property>
</Properties>
</file>