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54545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54545"/>
          <w:spacing w:val="0"/>
          <w:sz w:val="44"/>
          <w:szCs w:val="44"/>
          <w:shd w:val="clear" w:fill="FFFFFF"/>
        </w:rPr>
        <w:t>河南省火灾高危单位界定标准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《河南省火灾高危单位消防安全管理规定》中所称火灾高危单位，是指在本省行政区域内具备以下任一项条件的单位和场所：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（一）单层建筑面积超过1万平方米或者建筑总面积超过3万平方米、经营易燃可燃物品的商场；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（二）位于建筑的首层、二层、三层且建筑总面积超过 5000平方米，位于建筑的首层以下或者四层以上建筑总面积超过 2000平方米的公共娱乐场所；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（三）总储量超过1万立方米的甲、乙类可燃气体和总储量超过3万立方米的甲、乙类易燃液体的生产、充装、储存、销售单位；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（四）建筑高度超过 100米的高层公共建筑；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（五）建筑总面积超过 4000平方米的地下公众聚集场所；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（六）生产可燃易燃物品且单个生产加工车间建筑面积超过2500平方米的劳动密集型企业；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54545"/>
          <w:spacing w:val="0"/>
          <w:sz w:val="32"/>
          <w:szCs w:val="32"/>
          <w:shd w:val="clear" w:fill="FFFFFF"/>
        </w:rPr>
        <w:t>（七）其他发生火灾易造成重大人员伤亡或者财产损失的单位和场所。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jUwODg3OGRlN2M5NDQyMGQ5NGExZjNiMDZlNGEifQ=="/>
  </w:docVars>
  <w:rsids>
    <w:rsidRoot w:val="00000000"/>
    <w:rsid w:val="35116F99"/>
    <w:rsid w:val="6C4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446</Characters>
  <Lines>0</Lines>
  <Paragraphs>0</Paragraphs>
  <TotalTime>54</TotalTime>
  <ScaleCrop>false</ScaleCrop>
  <LinksUpToDate>false</LinksUpToDate>
  <CharactersWithSpaces>447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2023-04-04T00:02:00Z</dcterms:created>
  <dc:creator>Administrator</dc:creator>
  <cp:lastModifiedBy>Administrator</cp:lastModifiedBy>
  <dcterms:modified xsi:type="dcterms:W3CDTF">2023-04-04T03:29:56Z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EDA47A9C5F0E44169F22E9A50DF943FD_13</vt:lpwstr>
  </property>
</Properties>
</file>