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关于公共文化领域</w:t>
      </w:r>
      <w:r>
        <w:rPr>
          <w:rFonts w:hint="eastAsia"/>
          <w:sz w:val="32"/>
          <w:szCs w:val="32"/>
        </w:rPr>
        <w:t>未开展行政许可事项的情况说明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2022年以来，鄢陵县文广旅局涉及的行政许可事项，经过排查，未接到申请办理事项，因此，为开展行政许可审批事项。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鄢陵县文广旅局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jg2NzdhZTQxM2U5ODViM2YwN2EyNjg3Y2QxNTUifQ=="/>
  </w:docVars>
  <w:rsids>
    <w:rsidRoot w:val="00000000"/>
    <w:rsid w:val="5A3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2</TotalTime>
  <ScaleCrop>false</ScaleCrop>
  <LinksUpToDate>false</LinksUpToDate>
  <CharactersWithSpaces>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2022-11-25T09:21:55Z</dcterms:created>
  <dc:creator>Administrator</dc:creator>
  <cp:lastModifiedBy>Administrator</cp:lastModifiedBy>
  <dcterms:modified xsi:type="dcterms:W3CDTF">2022-11-25T09:24:54Z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F7C94C76D20148D785B0B62283A55E44</vt:lpwstr>
  </property>
</Properties>
</file>