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鄢陵县市场监督管理局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关于开展养老机构及老年助餐服务单位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食品安全专项整治的通知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各镇（区）市场监督管理所、综合执法大队、局机关相关股室：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为深入落实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纪委深化整治群众身边不正之风和腐败问题行动方案，在巩固深化“校园餐”问题整治的基础上，推动食品安全专项整治从校园向社会延伸，切实保障人民群众饮食安全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。经局党组研究，为规范我县养老机构及老年助餐服务单位供餐行为，切实保障养老机构供养对象、老年助餐单位就餐群体的身体健康和饮食安全，</w:t>
      </w:r>
      <w:r>
        <w:rPr>
          <w:rFonts w:hint="eastAsia" w:ascii="宋体" w:hAnsi="宋体" w:eastAsia="仿宋_GB2312" w:cs="仿宋"/>
          <w:sz w:val="32"/>
          <w:szCs w:val="32"/>
          <w:lang w:val="en-US" w:eastAsia="zh-CN"/>
        </w:rPr>
        <w:t>结合我县实际，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现就开展2025年养老机构及老年助餐服务单位食品安全专项整治工作通知如下：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一、整治目的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养老机构及老年助餐服务单位食品安全专项整治，督促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养老机构及老年助餐服务单位进一步增强食品安全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第一责任人意识，完善食品安全管理制度，落实食品安全管理责任，进一步提高食品安全保障水平，切实保障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老年人饮食安全和生命健康权益。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二、整治对象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全县养老机构食堂、老年助餐服务单位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三、整治步骤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开展自查自纠，落实主体责任（4月3日-4月10日）。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各市场监管所要督促指导养老机构食堂、老年助餐服务单位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一次全面自查自纠，重点自查从业人员健康管理和培训、原料采购、贮存、加工制作、场所及设施设备清洁消毒、餐饮具清洗消毒、食品留样等食品安全管理措施是否落实到位；是否按要求配齐配足食品安全总监和食品安全员，明确工作职责并落实到位；是否建立健全“日管控、周排查、月调度、年总结”工作机制；对自查发现问题，彻底整改，保障入住院民和用餐人员饮食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（二）开展专项检查，排查风险隐患（4月11日-5月30日）。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场监管所要对辖区所有养老机构食堂、老年助餐服务单位进行覆盖全项目的地毯式风险隐患排查，对于检查中发现的问题隐患，要列出问题清单，建立整改台账，实施销账式整改。重点检查养老机构食堂、老年助餐服务单位是否严格履行“日管控、周排查、月调度、年总结”工作机制；是否严格落实从业人员健康管理和每日晨检制度；是否对食堂加工场所、就餐场所、设施设备、餐用具等进行全面清洁消毒；是否严格执行《GB 31654-国家食品安全标准餐饮服务通用卫生规范》《餐饮服务食品安全操作规范》，确保食品加工烧熟煮透，生熟分开，防止交叉污染；是否严格落实食品留样等。对发现的食品安全违法违规行为要依法从严查处，涉嫌违法犯罪的要及时移送司法机关，充分发挥监督检查的震慑力，以检查促整改，以整改促提升，全面提升养老机构食堂、老年助餐服务单位食品安全保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 w:cs="Helvetic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（三）加强宣传培训，营造良好氛围（4月3日-5月30日）。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指导养老机构食堂、老年助餐服务单位深入开展反食品浪费宣传教育，建立防止食品浪费的监督检查机制，践行“光盘行动”。要督促指导养老机构食堂、老年助餐服务单位加强餐饮从业人员的食品安全培训，充分发挥“豫食考核APP”在线学习培训和抽查考核作用，着力解决从业人员操作不规范和安全管理人员能力不足的问题，不断提升养老机构食堂、老年助餐服务单位食品安全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四、整治要求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强化组织领导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机构供餐群体特殊，对食品营养和质量安全要求较高，各镇（区）市场监管所、局机关相关股室要高度重视养老机构和助餐单位食品安全工作，充分认识此次专项整治工作的重大意义，强化措施，落实责任，确保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30303"/>
          <w:kern w:val="0"/>
          <w:sz w:val="32"/>
          <w:szCs w:val="32"/>
          <w:lang w:val="en-US" w:eastAsia="zh-CN" w:bidi="ar"/>
        </w:rPr>
        <w:t>（二）加强督导检查。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县局相关股室要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随机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检查、有因检查为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主要方式，开展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检查实施“一查双督”（督促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主体责任、督促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镇区市场监管所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落实监管责任）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检查中发现的问题及时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，并督促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对收到的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线索要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依法依规进行处理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，处理和整改情况及时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对拒不整改的，要严肃查处，并将检查、查处的有关情况及时通报相关主管部门。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30303"/>
          <w:kern w:val="0"/>
          <w:sz w:val="32"/>
          <w:szCs w:val="32"/>
          <w:lang w:val="en-US" w:eastAsia="zh-CN" w:bidi="ar"/>
        </w:rPr>
        <w:t>（三）强化协调联动。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与民政部门加强协调联动，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加强信息共享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，对发现的问题要及时相互通告，开展定期会商，强化风</w:t>
      </w:r>
      <w:r>
        <w:rPr>
          <w:rFonts w:hint="eastAsia" w:ascii="仿宋_GB2312" w:hAnsi="仿宋_GB2312" w:eastAsia="仿宋_GB2312" w:cs="仿宋_GB2312"/>
          <w:sz w:val="32"/>
          <w:szCs w:val="32"/>
        </w:rPr>
        <w:t>险防控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养老机构、老年助餐服务单位食品安全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齐抓共管机制，强化联动执法，形成监管合力，严防发生重大食品安全事件。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1、请各镇（区）市场监管所于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4月14日前，把附件2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鄢陵县养老机构食品安全整治排查情况表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、现场检查表或日常监督检查结果记录表复印件（照片）一并报送餐饮股。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请各镇（区）市场监管所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日前，把附件4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鄢陵县老年助餐单位食品安全整治排查情况表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报送县局餐饮股。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联系人及联系方式：姚丹辉、李怡潇 0374-7791896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instrText xml:space="preserve"> HYPERLINK "mailto:shipincyk@163.com" </w:instrTex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yljcyg@163.com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鄢陵县养老机构信息一览表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鄢陵县养老机构食品安全整治排查情况表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鄢陵县老年助餐单位信息一览表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鄢陵县老年助餐单位食品安全整治排查情况表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>鄢陵县市场监督管理局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w w:val="1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2025年4月3日</w:t>
      </w:r>
    </w:p>
    <w:p>
      <w:pPr>
        <w:pStyle w:val="3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鄢陵县养老机构基本信息一览表 </w:t>
      </w:r>
    </w:p>
    <w:tbl>
      <w:tblPr>
        <w:tblStyle w:val="9"/>
        <w:tblW w:w="9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597"/>
        <w:gridCol w:w="3540"/>
        <w:gridCol w:w="1170"/>
        <w:gridCol w:w="156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镇别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机构法人代表姓名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安陵镇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许昌市怡康苑养老服务有限公司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晋雪正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13700892678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平安托老院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15136868933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安陵镇西街社区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东街社区老年公寓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苏俊辉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18437497666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安陵镇东街社区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鄢陵县福玲养老中心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张付玲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13643744887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安陵镇西街社区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安陵镇卫生院医养结合中心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杨冲冲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13137407379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安陵镇东大街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陈化店镇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鄢陵县松鹤居老年公寓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杨琴亮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15939933870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陈化店镇后杨村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陈化店镇陶然养老服务管理有限公司鄢陵分公司（陈化店镇敬老院）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焦培娟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18103744911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柏梁镇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鄢陵县心暖养老服务有限公司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陈梅连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18681422468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柏梁镇湾子杨社区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鄢陵县颐轩健康养老服务有限公司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李风玲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13782226926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柏梁镇许鄢快速通道北侧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鄢陵县常美养老服务有限公司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刘长根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15836520184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柏梁镇老洼刘村南段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鄢陵县祥宁养老服务有限公司（彭店镇敬老院赵家）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刘宁毅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15303996000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鄢陵县修奕养老服务有限公司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安桂玲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15290964792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彭店镇凤岗村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鄢陵县代岗安康养老院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赵凤枝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15136831211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彭店镇代岗村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马坊镇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马坊镇综合养老服务中心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陶红霞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13273861696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马坊镇马坊寨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鄢陵县怡心园养老院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13938162229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马坊镇后彪村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鄢陵县柏福养老院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13462180268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马坊镇岗河崖村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马坊镇卫生院医养结合中心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贾国防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13938903433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马坊镇马坊集村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鄢陵县祥鹤居养老服务有限公司（马栏镇敬老院）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杜群燕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15937426188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鄢陵县名仕苑老年公寓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15993691918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马栏镇支家村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鄢陵县银发公寓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马元祥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13837443587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马栏镇梁老村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鄢陵县东章甫养老中心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周青云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13733604158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马栏镇东章甫村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鄢陵县大马福寿养老中心（大马镇敬老院）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18339076834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鄢陵县二道河夕阳红养老院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18339076834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大马镇任营村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鄢陵县陵南康养有限公司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张敬轩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13733666076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大马镇三道河东头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鄢陵县慈佑家园养老服务有限公司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15237452363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大马镇大圣寺村向东100米路南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张桥镇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鄢陵福寿居老年公寓（张桥镇综合养老服务中心、敬老院）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陈翠芳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15716509333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张桥镇丁岗村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鄢陵县颐和健康养老服有限公司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唐勇慧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13603740778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张桥镇和寨村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望田镇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鄢陵县福寿康养老中心（望田镇敬老院店东刘）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牛俊红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13183023708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望田镇敬老院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陶城镇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鄢陵县康健养老服务有限公司（陶城镇综合养老服务中心）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13080168518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陶城镇敬老院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陶城镇爱心老年公寓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13782278967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陶城镇陶南村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只乐镇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只乐镇敬老院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15637416292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只乐镇镇政府向东100米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只乐镇康寿养老院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15993633299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只乐镇庄刘社区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鄢陵县百岁兰养老服务有限公司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郑鎏军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18749577736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只乐镇丹阳路南段200米路西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南坞镇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许昌百岁兰养老服务有限公司鄢陵分公司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郑鎏军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18749577736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南坞镇红旗桥向东200米</w:t>
            </w:r>
          </w:p>
        </w:tc>
      </w:tr>
    </w:tbl>
    <w:p>
      <w:pPr>
        <w:pStyle w:val="3"/>
        <w:rPr>
          <w:rFonts w:hint="default"/>
          <w:sz w:val="21"/>
          <w:szCs w:val="21"/>
          <w:lang w:val="en-US" w:eastAsia="zh-CN"/>
        </w:rPr>
        <w:sectPr>
          <w:pgSz w:w="11906" w:h="16838"/>
          <w:pgMar w:top="1440" w:right="1080" w:bottom="1440" w:left="108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鄢陵县养老机构食品安全整治排查情况表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                                       填报时间：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692"/>
        <w:gridCol w:w="1883"/>
        <w:gridCol w:w="3093"/>
        <w:gridCol w:w="3287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4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排查时间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排查问题（1.2.3.）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整治情况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（当场整改、限期整改、下达责令改正、警告、立案等）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9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9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9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9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9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05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default"/>
          <w:lang w:val="en-US" w:eastAsia="zh-CN"/>
        </w:rPr>
        <w:sectPr>
          <w:pgSz w:w="16838" w:h="11906" w:orient="landscape"/>
          <w:pgMar w:top="1587" w:right="1757" w:bottom="1474" w:left="153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 xml:space="preserve"> 鄢陵县老年助餐单位信息一览表</w:t>
      </w:r>
    </w:p>
    <w:tbl>
      <w:tblPr>
        <w:tblStyle w:val="9"/>
        <w:tblW w:w="87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45"/>
        <w:gridCol w:w="2595"/>
        <w:gridCol w:w="277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鄢国花语老年助餐膳食营养餐厅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鄢陵县海紫云路与金瑞大道南100米路东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18637427877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安陵镇综合日间照料中心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鄢陵县安陵镇卫生院内1号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18236841700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马栏镇敬老院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马栏镇文化路东段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15937426188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大马镇敬老院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18339076834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陈化店镇敬老院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陈化店镇敬老院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7676599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张桥镇敬老院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张桥镇丁岗村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15603745499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只乐镇敬老院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只乐镇民乐路100号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15937436398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望田镇福寿康养老中心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望田镇福寿康养老中心西邻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13183023708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南坞镇敬老院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南坞敬老院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16637425777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陶城镇敬老院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陶北村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13080168518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马坊镇二郞庙幸福院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马坊镇二郎庙村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15836586688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老年食堂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彭店镇中心养老院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彭南村十字街向西500米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15136868588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俊龙饭店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马栏镇牛北社区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13733667498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辣妹酒家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马栏镇前杜郎社区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13271297179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曾记椒麻鸡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马栏镇周南社区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15993617018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小扣碗家常菜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马栏镇高庄社区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15939909766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大磊手擀面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马栏镇于寨社区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15037458992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吴妮饭荘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马栏镇吴家社区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13569460857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财源酒店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马栏镇议台社区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13598964786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东轩酒店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马栏镇周北社区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13213364222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宏民美食村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马栏镇韩井社区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15993695977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丁庄鲜羊肉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柏梁镇海棠社区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18703745044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鲜得来拉条馆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柏梁镇惠苑社区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18697399699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丁记羊肉汤烩面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柏梁镇花城社区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13253723851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老潼关肉夹馍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柏梁镇六湾社区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13460595366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王记手工拉条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柏梁镇王岗社区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13949808519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红卫羊肉汤烩面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柏梁镇学府社区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15037497051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岗底张农家院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柏梁镇岗底张社区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18839975702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豫丰园私房菜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柏梁镇官寨社区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13938789695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夕阳红养老院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大马镇任营社区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18339076834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慈佑养老院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大马镇大圣寺社区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13937423822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金筷子酒家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大马镇陈寨村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15664208884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龙马饭店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大马镇龙马社区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15638780790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红栓酒店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大马镇王店社区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13949815436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醉春园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大马镇高迁王村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15993664366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聚贤阁酒楼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陈化店镇武庄社区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13839004947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幸福酒楼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陈化店镇后杜社区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15037407877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东陈农家院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陈化店镇东陈社区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15137414061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黄陵剁椒大鱼头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陈化店镇黄陵社区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15137414061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沈寺日间照料中心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只乐镇沈寺社区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15993633299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康寿养老中心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只乐镇庄刘社区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17772886866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常寨村委会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只乐镇常寨村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15837486599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特色农家院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彭店镇田岗村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15993691089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培军酒店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彭店镇黑刘村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13783740987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农家院饭店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彭店镇东庄头村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13619885562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彦初烩面馆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张桥镇丁岗村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13569997628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新东饭店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张桥镇新东村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13849862686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建锋炒鸡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陶城镇陶北村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13569976571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爱心养老院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陶城镇陶南村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13782278967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鄢陵县食萃坊饭店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望田镇北村社区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15037498111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鄢陵县喜迎门羊肉馆分店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望田镇黄家社区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15837490992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鄢陵县红楼阁饭庄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望田镇逊耕村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13183023985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鄢陵县堤王农家院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望田镇堤王村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13271197062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溢香园酒店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南坞镇彭庄村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13623745768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红旗人家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南坞镇程庄村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13782346555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鲜溢阁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南坞镇南坞村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13837450590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怡心园养老院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马坊镇彪岗村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15603899996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柏福养老院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马坊镇岗河崖村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13462180268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段庄饭店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马坊镇段庄村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15603875952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老年餐桌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许昌市怡康苑养老服务有限公司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金瑞大道与梅里路交汇处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17639055725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sectPr>
          <w:pgSz w:w="11906" w:h="16838"/>
          <w:pgMar w:top="1757" w:right="1474" w:bottom="1531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鄢陵县老年助餐单位食品安全整治排查情况表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                                       填报时间：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692"/>
        <w:gridCol w:w="1883"/>
        <w:gridCol w:w="3093"/>
        <w:gridCol w:w="3287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4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排查时间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排查问题（1.2.3.）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整治情况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（当场整改、限期整改、下达责令改正、警告、立案等）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9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9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9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9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9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05</w:t>
            </w:r>
          </w:p>
        </w:tc>
        <w:tc>
          <w:tcPr>
            <w:tcW w:w="383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587" w:right="1757" w:bottom="147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2513965</wp:posOffset>
              </wp:positionH>
              <wp:positionV relativeFrom="paragraph">
                <wp:posOffset>-60325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95pt;margin-top:-4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FyNRN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C43A9"/>
    <w:multiLevelType w:val="singleLevel"/>
    <w:tmpl w:val="739C43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Y2U4MWUwYzBlYmExMDdiYTM5MDRmY2E3OWI2ZWYifQ=="/>
  </w:docVars>
  <w:rsids>
    <w:rsidRoot w:val="522D75AA"/>
    <w:rsid w:val="009577D4"/>
    <w:rsid w:val="02A82A3A"/>
    <w:rsid w:val="04BB724A"/>
    <w:rsid w:val="04F12429"/>
    <w:rsid w:val="068F0BD1"/>
    <w:rsid w:val="06F27FD8"/>
    <w:rsid w:val="073C0366"/>
    <w:rsid w:val="07DF5B9D"/>
    <w:rsid w:val="088B7712"/>
    <w:rsid w:val="08BD1936"/>
    <w:rsid w:val="08C16B19"/>
    <w:rsid w:val="09CE1DFC"/>
    <w:rsid w:val="0A6C6431"/>
    <w:rsid w:val="0B3545A0"/>
    <w:rsid w:val="0C756515"/>
    <w:rsid w:val="0E457DF0"/>
    <w:rsid w:val="0F16418E"/>
    <w:rsid w:val="100F4FF6"/>
    <w:rsid w:val="10F54E70"/>
    <w:rsid w:val="119F2A09"/>
    <w:rsid w:val="127151F7"/>
    <w:rsid w:val="14871C3B"/>
    <w:rsid w:val="14BE2EED"/>
    <w:rsid w:val="173408D6"/>
    <w:rsid w:val="1817296D"/>
    <w:rsid w:val="1869720E"/>
    <w:rsid w:val="186A0C64"/>
    <w:rsid w:val="18C70119"/>
    <w:rsid w:val="19387567"/>
    <w:rsid w:val="1A7E3C31"/>
    <w:rsid w:val="1AE001D9"/>
    <w:rsid w:val="1DE71591"/>
    <w:rsid w:val="20E144FE"/>
    <w:rsid w:val="21461641"/>
    <w:rsid w:val="226D7508"/>
    <w:rsid w:val="22DD6F4A"/>
    <w:rsid w:val="240008E6"/>
    <w:rsid w:val="249C4DB9"/>
    <w:rsid w:val="24B77702"/>
    <w:rsid w:val="24C51DD8"/>
    <w:rsid w:val="24C83100"/>
    <w:rsid w:val="253574E9"/>
    <w:rsid w:val="25917E41"/>
    <w:rsid w:val="2658200A"/>
    <w:rsid w:val="27C258CF"/>
    <w:rsid w:val="280E7144"/>
    <w:rsid w:val="28563873"/>
    <w:rsid w:val="29315FA2"/>
    <w:rsid w:val="29CB4DB9"/>
    <w:rsid w:val="2A265938"/>
    <w:rsid w:val="2AD774FF"/>
    <w:rsid w:val="2B1D7047"/>
    <w:rsid w:val="2CED3A7F"/>
    <w:rsid w:val="2D241E80"/>
    <w:rsid w:val="2E0D711A"/>
    <w:rsid w:val="2E732342"/>
    <w:rsid w:val="2F2020D8"/>
    <w:rsid w:val="30720B46"/>
    <w:rsid w:val="30953A8C"/>
    <w:rsid w:val="30A83C49"/>
    <w:rsid w:val="3176494B"/>
    <w:rsid w:val="32067C9F"/>
    <w:rsid w:val="34552E10"/>
    <w:rsid w:val="34A4085B"/>
    <w:rsid w:val="37075D54"/>
    <w:rsid w:val="38681F18"/>
    <w:rsid w:val="39554D9B"/>
    <w:rsid w:val="39C04669"/>
    <w:rsid w:val="3A4247D4"/>
    <w:rsid w:val="3B2B6BC5"/>
    <w:rsid w:val="3E8B4259"/>
    <w:rsid w:val="3F1F6AA1"/>
    <w:rsid w:val="412C6994"/>
    <w:rsid w:val="41795FF8"/>
    <w:rsid w:val="41E77DB0"/>
    <w:rsid w:val="43453C59"/>
    <w:rsid w:val="43766E93"/>
    <w:rsid w:val="440E34F5"/>
    <w:rsid w:val="451408AC"/>
    <w:rsid w:val="452D190C"/>
    <w:rsid w:val="45367AB2"/>
    <w:rsid w:val="454D294F"/>
    <w:rsid w:val="45672F81"/>
    <w:rsid w:val="45B02141"/>
    <w:rsid w:val="475A24C5"/>
    <w:rsid w:val="488566DE"/>
    <w:rsid w:val="4A21307B"/>
    <w:rsid w:val="4E53210E"/>
    <w:rsid w:val="4E856C48"/>
    <w:rsid w:val="4EBC62BA"/>
    <w:rsid w:val="4F0315D6"/>
    <w:rsid w:val="5053738A"/>
    <w:rsid w:val="522D75AA"/>
    <w:rsid w:val="52AD009F"/>
    <w:rsid w:val="53FD1582"/>
    <w:rsid w:val="540D672E"/>
    <w:rsid w:val="54A505BD"/>
    <w:rsid w:val="5505540A"/>
    <w:rsid w:val="56D818DD"/>
    <w:rsid w:val="57F00EF6"/>
    <w:rsid w:val="581650E2"/>
    <w:rsid w:val="581D2DBB"/>
    <w:rsid w:val="58EC3CA6"/>
    <w:rsid w:val="590A352E"/>
    <w:rsid w:val="592A4889"/>
    <w:rsid w:val="5A811816"/>
    <w:rsid w:val="5C077A28"/>
    <w:rsid w:val="5D445AA3"/>
    <w:rsid w:val="5D6E1FD6"/>
    <w:rsid w:val="5F796A42"/>
    <w:rsid w:val="60AB6F25"/>
    <w:rsid w:val="60FE7916"/>
    <w:rsid w:val="617443F0"/>
    <w:rsid w:val="61A54D18"/>
    <w:rsid w:val="63682F57"/>
    <w:rsid w:val="636A29D7"/>
    <w:rsid w:val="6444420E"/>
    <w:rsid w:val="64AB7435"/>
    <w:rsid w:val="64F51481"/>
    <w:rsid w:val="68174583"/>
    <w:rsid w:val="6844471E"/>
    <w:rsid w:val="69470AE2"/>
    <w:rsid w:val="69F55E93"/>
    <w:rsid w:val="6C14573F"/>
    <w:rsid w:val="6CDF2DFA"/>
    <w:rsid w:val="6E2B7351"/>
    <w:rsid w:val="6F53658A"/>
    <w:rsid w:val="6F624B4B"/>
    <w:rsid w:val="71CC7E55"/>
    <w:rsid w:val="72A0751B"/>
    <w:rsid w:val="73D13110"/>
    <w:rsid w:val="751B09AE"/>
    <w:rsid w:val="753233B2"/>
    <w:rsid w:val="764D773C"/>
    <w:rsid w:val="76B86A10"/>
    <w:rsid w:val="77C8301A"/>
    <w:rsid w:val="786D6748"/>
    <w:rsid w:val="78AE558D"/>
    <w:rsid w:val="78EB24B1"/>
    <w:rsid w:val="79625139"/>
    <w:rsid w:val="7A22717B"/>
    <w:rsid w:val="7A4F6CC3"/>
    <w:rsid w:val="7A57026F"/>
    <w:rsid w:val="7C6545B9"/>
    <w:rsid w:val="7CF03B2C"/>
    <w:rsid w:val="7F8F7FF4"/>
    <w:rsid w:val="7F9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eastAsia="楷体_GB2312"/>
      <w:sz w:val="32"/>
      <w:szCs w:val="20"/>
    </w:rPr>
  </w:style>
  <w:style w:type="paragraph" w:styleId="3">
    <w:name w:val="Body Text First Indent"/>
    <w:basedOn w:val="2"/>
    <w:next w:val="4"/>
    <w:qFormat/>
    <w:uiPriority w:val="0"/>
    <w:pPr>
      <w:widowControl w:val="0"/>
      <w:ind w:firstLine="420" w:firstLineChars="100"/>
      <w:jc w:val="both"/>
    </w:pPr>
    <w:rPr>
      <w:rFonts w:ascii="Times New Roman" w:hAnsi="Times New Roman" w:eastAsia="Arial" w:cs="Arial"/>
      <w:color w:val="000000"/>
      <w:kern w:val="2"/>
      <w:sz w:val="24"/>
      <w:szCs w:val="21"/>
      <w:lang w:val="en-US" w:eastAsia="en-US" w:bidi="ar-SA"/>
    </w:rPr>
  </w:style>
  <w:style w:type="paragraph" w:styleId="4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/>
      <w:w w:val="88"/>
      <w:sz w:val="21"/>
      <w:szCs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apple-converted-space"/>
    <w:basedOn w:val="11"/>
    <w:qFormat/>
    <w:uiPriority w:val="0"/>
  </w:style>
  <w:style w:type="character" w:customStyle="1" w:styleId="14">
    <w:name w:val="font1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01"/>
    <w:basedOn w:val="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4179</Words>
  <Characters>5272</Characters>
  <Lines>0</Lines>
  <Paragraphs>0</Paragraphs>
  <TotalTime>20</TotalTime>
  <ScaleCrop>false</ScaleCrop>
  <LinksUpToDate>false</LinksUpToDate>
  <CharactersWithSpaces>5457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2020-08-20T00:35:00Z</dcterms:created>
  <dc:creator>fanfan</dc:creator>
  <cp:lastModifiedBy>KE</cp:lastModifiedBy>
  <cp:lastPrinted>2025-04-10T08:10:00Z</cp:lastPrinted>
  <dcterms:modified xsi:type="dcterms:W3CDTF">2025-04-14T08:03:25Z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DocerSaveRecord">
    <vt:lpwstr>eyJoZGlkIjoiZjdhNzY4MWRhZGZhOTQyYWU4MmUzNGRiMmQ2NGQwNDkiLCJ1c2VySWQiOiIxMjUyOTUxMTY2In0=</vt:lpwstr>
  </property>
  <property fmtid="{D5CDD505-2E9C-101B-9397-08002B2CF9AE}" pid="4" name="ICV">
    <vt:lpwstr>8B76D7E4BD2648B694755BF279BB7AB5_13</vt:lpwstr>
  </property>
</Properties>
</file>