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许昌市城乡规划领域基层政务公开标准指引</w:t>
      </w:r>
    </w:p>
    <w:p>
      <w:pPr>
        <w:rPr>
          <w:rFonts w:ascii="仿宋_GB2312" w:eastAsia="仿宋_GB2312"/>
          <w:sz w:val="32"/>
          <w:szCs w:val="32"/>
        </w:rPr>
      </w:pPr>
    </w:p>
    <w:p>
      <w:pPr>
        <w:widowControl/>
        <w:shd w:val="clear" w:color="auto" w:fill="FFFFFF"/>
        <w:spacing w:line="393" w:lineRule="atLeast"/>
        <w:jc w:val="left"/>
        <w:outlineLvl w:val="2"/>
        <w:rPr>
          <w:rFonts w:ascii="仿宋_GB2312" w:eastAsia="仿宋_GB2312"/>
          <w:sz w:val="32"/>
          <w:szCs w:val="32"/>
        </w:rPr>
      </w:pPr>
      <w:r>
        <w:rPr>
          <w:rFonts w:hint="eastAsia" w:ascii="仿宋_GB2312" w:eastAsia="仿宋_GB2312"/>
          <w:sz w:val="32"/>
          <w:szCs w:val="32"/>
        </w:rPr>
        <w:t xml:space="preserve">    为贯彻落实《河南省人民政府办公厅关于全面推进基层政务公开标准化规范化工作的通知》（豫政办〔2020〕5号）、《</w:t>
      </w:r>
      <w:r>
        <w:rPr>
          <w:rFonts w:hint="eastAsia" w:ascii="仿宋_GB2312" w:hAnsi="宋体" w:eastAsia="仿宋_GB2312" w:cs="宋体"/>
          <w:color w:val="454545"/>
          <w:kern w:val="0"/>
          <w:sz w:val="32"/>
          <w:szCs w:val="32"/>
        </w:rPr>
        <w:t>许昌市人民政府办公室关于印发许昌市全面推进基层政务公开标准化规范化工作实施方案的通知》（</w:t>
      </w:r>
      <w:r>
        <w:rPr>
          <w:rFonts w:hint="eastAsia" w:ascii="仿宋_GB2312" w:hAnsi="宋体" w:eastAsia="仿宋_GB2312" w:cs="宋体"/>
          <w:bCs/>
          <w:color w:val="333333"/>
          <w:kern w:val="0"/>
          <w:sz w:val="32"/>
          <w:szCs w:val="32"/>
        </w:rPr>
        <w:t>许政办 [2020] 18号）</w:t>
      </w:r>
      <w:r>
        <w:rPr>
          <w:rFonts w:hint="eastAsia" w:ascii="仿宋_GB2312" w:eastAsia="仿宋_GB2312"/>
          <w:sz w:val="32"/>
          <w:szCs w:val="32"/>
        </w:rPr>
        <w:t xml:space="preserve">有关要求，进一步推进城乡规划领域基层政务公开标准化规范化，提升基层政务公开和政务服务水平，根据《自然资源部办公厅关于印发&lt;城乡规划领域基层政务公开标准指引&gt;的通知》（自然资办函〔2019〕981号）、《河南省自然资源厅办公室关于印发城乡规划领域基层政务公开标准指引的通知》，结合我市实际，制定了《许昌市城乡规划领域基层政务公开标准指引》，明确了《许昌市城乡规划领域基层政务公开标准目录》（以下简称《标准目录》）。 </w:t>
      </w:r>
    </w:p>
    <w:p>
      <w:pPr>
        <w:ind w:firstLine="643" w:firstLineChars="200"/>
        <w:jc w:val="left"/>
        <w:rPr>
          <w:rFonts w:ascii="仿宋_GB2312" w:eastAsia="仿宋_GB2312"/>
          <w:b/>
          <w:sz w:val="32"/>
          <w:szCs w:val="32"/>
        </w:rPr>
      </w:pPr>
      <w:r>
        <w:rPr>
          <w:rFonts w:hint="eastAsia" w:ascii="仿宋_GB2312" w:eastAsia="仿宋_GB2312"/>
          <w:b/>
          <w:sz w:val="32"/>
          <w:szCs w:val="32"/>
        </w:rPr>
        <w:t xml:space="preserve">一、总体要求 </w:t>
      </w:r>
    </w:p>
    <w:p>
      <w:pPr>
        <w:ind w:firstLine="640" w:firstLineChars="200"/>
        <w:jc w:val="left"/>
        <w:rPr>
          <w:rFonts w:ascii="仿宋_GB2312" w:eastAsia="仿宋_GB2312"/>
          <w:sz w:val="32"/>
          <w:szCs w:val="32"/>
        </w:rPr>
      </w:pPr>
      <w:r>
        <w:rPr>
          <w:rFonts w:hint="eastAsia" w:ascii="仿宋_GB2312" w:eastAsia="仿宋_GB2312"/>
          <w:sz w:val="32"/>
          <w:szCs w:val="32"/>
        </w:rPr>
        <w:t xml:space="preserve">开展城乡规划领域基层政务公开标准化规范化工作，是党中央、国务院、自然资源部、省委省政府、市委市政府部署的重要改革任务。《标准目录》基于自然资源部《城乡规划领域基层政务公开标准目录》、省自然资源厅《河南省城乡规划领域基层政务公开标准目录》，结合许昌市工作实际进行了细化完善，将城乡规划领域应公开、可公开事项和内容按照科学性、合理性、操作性的原则目录化，易于基层行政审批部门对照操作，便于社会公众查询监督。各级政府和自然资源管理部门在推进城乡规划领域基层政务公开标准化规范化工作中发挥好指导、监督、评估等作用。 </w:t>
      </w:r>
    </w:p>
    <w:p>
      <w:pPr>
        <w:ind w:firstLine="643" w:firstLineChars="200"/>
        <w:jc w:val="left"/>
        <w:rPr>
          <w:rFonts w:ascii="仿宋_GB2312" w:eastAsia="仿宋_GB2312"/>
          <w:b/>
          <w:sz w:val="32"/>
          <w:szCs w:val="32"/>
        </w:rPr>
      </w:pPr>
      <w:r>
        <w:rPr>
          <w:rFonts w:hint="eastAsia" w:ascii="仿宋_GB2312" w:eastAsia="仿宋_GB2312"/>
          <w:b/>
          <w:sz w:val="32"/>
          <w:szCs w:val="32"/>
        </w:rPr>
        <w:t xml:space="preserve">二、适用范围 </w:t>
      </w:r>
    </w:p>
    <w:p>
      <w:pPr>
        <w:ind w:firstLine="640" w:firstLineChars="200"/>
        <w:jc w:val="left"/>
        <w:rPr>
          <w:rFonts w:ascii="仿宋_GB2312" w:eastAsia="仿宋_GB2312"/>
          <w:sz w:val="32"/>
          <w:szCs w:val="32"/>
        </w:rPr>
      </w:pPr>
      <w:r>
        <w:rPr>
          <w:rFonts w:hint="eastAsia" w:ascii="仿宋_GB2312" w:eastAsia="仿宋_GB2312"/>
          <w:sz w:val="32"/>
          <w:szCs w:val="32"/>
        </w:rPr>
        <w:t xml:space="preserve">本指引所称城乡规划领域，包含城市规划、镇规划、乡规划和村庄规划以及同级的土地利用总体规划。其中城市规划、镇规划分为总体规划和详细规划，详细规划分为控制性详细规划和修建性详细规划。本指引主要适用于基层自然资源主管部门特别是县、区自然资源主管部门。 </w:t>
      </w:r>
    </w:p>
    <w:p>
      <w:pPr>
        <w:ind w:firstLine="640" w:firstLineChars="200"/>
        <w:jc w:val="left"/>
        <w:rPr>
          <w:rFonts w:ascii="仿宋_GB2312" w:eastAsia="仿宋_GB2312"/>
          <w:sz w:val="32"/>
          <w:szCs w:val="32"/>
        </w:rPr>
      </w:pPr>
      <w:r>
        <w:rPr>
          <w:rFonts w:hint="eastAsia" w:ascii="仿宋_GB2312" w:eastAsia="仿宋_GB2312"/>
          <w:sz w:val="32"/>
          <w:szCs w:val="32"/>
        </w:rPr>
        <w:t xml:space="preserve">新的国土空间规划批复后，将不再编制和审批土地利用总体规划和相对应的城乡规划，国土空间规划的公开标准指引将按照自然资源部统一部署另行制定。 </w:t>
      </w:r>
    </w:p>
    <w:p>
      <w:pPr>
        <w:ind w:firstLine="643" w:firstLineChars="200"/>
        <w:jc w:val="left"/>
        <w:rPr>
          <w:rFonts w:ascii="仿宋_GB2312" w:eastAsia="仿宋_GB2312"/>
          <w:b/>
          <w:sz w:val="32"/>
          <w:szCs w:val="32"/>
        </w:rPr>
      </w:pPr>
      <w:r>
        <w:rPr>
          <w:rFonts w:hint="eastAsia" w:ascii="仿宋_GB2312" w:eastAsia="仿宋_GB2312"/>
          <w:b/>
          <w:sz w:val="32"/>
          <w:szCs w:val="32"/>
        </w:rPr>
        <w:t>三、主要内容</w:t>
      </w:r>
    </w:p>
    <w:p>
      <w:pPr>
        <w:ind w:firstLine="640" w:firstLineChars="200"/>
        <w:jc w:val="left"/>
        <w:rPr>
          <w:rFonts w:ascii="仿宋_GB2312" w:eastAsia="仿宋_GB2312"/>
          <w:sz w:val="32"/>
          <w:szCs w:val="32"/>
        </w:rPr>
      </w:pPr>
      <w:r>
        <w:rPr>
          <w:rFonts w:hint="eastAsia" w:ascii="仿宋_GB2312" w:eastAsia="仿宋_GB2312"/>
          <w:sz w:val="32"/>
          <w:szCs w:val="32"/>
        </w:rPr>
        <w:t xml:space="preserve">《标准目录》明确了城乡规划领域4类一级事项13类二级事项的公开内容、公开依据、公开时限、公开主体、公开渠道、公开对象和公开方式、公开层级等，提供了开展城乡规划领域政务公开工作的基本框架。各级政府和自然资源管理部门应根据有关法律、法规、规章的要求，结合工作职责和实际情况进一步调整完善本级目录，明确政务公开的主体，增加公开（内容）要素、公开渠道等。 </w:t>
      </w:r>
    </w:p>
    <w:p>
      <w:pPr>
        <w:ind w:firstLine="643" w:firstLineChars="200"/>
        <w:jc w:val="left"/>
        <w:rPr>
          <w:rFonts w:ascii="仿宋_GB2312" w:eastAsia="仿宋_GB2312"/>
          <w:b/>
          <w:sz w:val="32"/>
          <w:szCs w:val="32"/>
        </w:rPr>
      </w:pPr>
      <w:r>
        <w:rPr>
          <w:rFonts w:hint="eastAsia" w:ascii="仿宋_GB2312" w:eastAsia="仿宋_GB2312"/>
          <w:b/>
          <w:sz w:val="32"/>
          <w:szCs w:val="32"/>
        </w:rPr>
        <w:t xml:space="preserve">四、组织实施 </w:t>
      </w:r>
    </w:p>
    <w:p>
      <w:pPr>
        <w:ind w:firstLine="640" w:firstLineChars="200"/>
        <w:jc w:val="left"/>
      </w:pPr>
      <w:r>
        <w:rPr>
          <w:rFonts w:hint="eastAsia" w:ascii="仿宋_GB2312" w:eastAsia="仿宋_GB2312"/>
          <w:sz w:val="32"/>
          <w:szCs w:val="32"/>
        </w:rPr>
        <w:t>各县（市、区）自然资源管理部门应当细化制定本级标准目录，指导本级城乡规划领域基层政务公开工作。同时按照推进决策、执行、管理、服务、结果“五公开”要求，进一步明确公开内容的审查、发布、反馈机制，优化政务公开工作流程，整合力量，理顺机制，明确承担政务公开工作的机构，配齐配强工作人员，回应社会关切，推动发布、解读、回应的有序衔接。要定期抽查，对发现的应公开未公开等问题及时督促整改。要严格落实公开前保密审查机制，妥善处理好政务公开与保守国家秘密的关系。</w:t>
      </w:r>
      <w:r>
        <w:t xml:space="preserve"> </w:t>
      </w:r>
    </w:p>
    <w:p/>
    <w:p/>
    <w:p>
      <w:pPr>
        <w:ind w:firstLine="640" w:firstLineChars="200"/>
        <w:rPr>
          <w:rFonts w:ascii="仿宋_GB2312" w:eastAsia="仿宋_GB2312"/>
          <w:sz w:val="32"/>
          <w:szCs w:val="32"/>
        </w:rPr>
      </w:pPr>
      <w:r>
        <w:rPr>
          <w:rFonts w:hint="eastAsia" w:ascii="仿宋_GB2312" w:eastAsia="仿宋_GB2312"/>
          <w:sz w:val="32"/>
          <w:szCs w:val="32"/>
        </w:rPr>
        <w:t>附件：许昌市城乡规划领域基层政务公开标准目录</w:t>
      </w:r>
    </w:p>
    <w:p/>
    <w:p/>
    <w:p/>
    <w:p/>
    <w:p/>
    <w:p/>
    <w:p/>
    <w:p>
      <w:pPr>
        <w:jc w:val="right"/>
        <w:rPr>
          <w:rFonts w:ascii="仿宋_GB2312" w:eastAsia="仿宋_GB2312"/>
          <w:sz w:val="32"/>
          <w:szCs w:val="32"/>
        </w:rPr>
      </w:pPr>
      <w:r>
        <w:rPr>
          <w:rFonts w:hint="eastAsia" w:ascii="仿宋_GB2312" w:eastAsia="仿宋_GB2312"/>
          <w:sz w:val="32"/>
          <w:szCs w:val="32"/>
        </w:rPr>
        <w:t>2020年10月18日</w:t>
      </w:r>
    </w:p>
    <w:p/>
    <w:p/>
    <w:p/>
    <w:p/>
    <w:p/>
    <w:p>
      <w:pPr>
        <w:sectPr>
          <w:footerReference r:id="rId3" w:type="default"/>
          <w:footerReference r:id="rId4" w:type="even"/>
          <w:pgSz w:w="11906" w:h="16838"/>
          <w:pgMar w:top="1985" w:right="1474" w:bottom="1418" w:left="1474" w:header="1985" w:footer="1418" w:gutter="0"/>
          <w:cols w:space="425" w:num="1"/>
          <w:docGrid w:type="lines" w:linePitch="312" w:charSpace="0"/>
        </w:sectPr>
      </w:pPr>
      <w:bookmarkStart w:id="0" w:name="_GoBack"/>
      <w:bookmarkEnd w:id="0"/>
    </w:p>
    <w:p>
      <w:pPr>
        <w:rPr>
          <w:rFonts w:ascii="仿宋_GB2312" w:hAnsi="黑体" w:eastAsia="仿宋_GB2312"/>
          <w:b/>
          <w:sz w:val="32"/>
          <w:szCs w:val="32"/>
        </w:rPr>
      </w:pPr>
      <w:r>
        <w:rPr>
          <w:rFonts w:hint="eastAsia" w:ascii="仿宋_GB2312" w:hAnsi="黑体" w:eastAsia="仿宋_GB2312"/>
          <w:b/>
          <w:sz w:val="32"/>
          <w:szCs w:val="32"/>
        </w:rPr>
        <w:t>附件：</w:t>
      </w:r>
    </w:p>
    <w:p>
      <w:pPr>
        <w:jc w:val="center"/>
        <w:rPr>
          <w:rFonts w:ascii="仿宋_GB2312" w:hAnsi="黑体" w:eastAsia="仿宋_GB2312"/>
          <w:b/>
          <w:sz w:val="32"/>
          <w:szCs w:val="32"/>
        </w:rPr>
      </w:pPr>
      <w:r>
        <w:rPr>
          <w:rFonts w:hint="eastAsia" w:ascii="仿宋_GB2312" w:hAnsi="黑体" w:eastAsia="仿宋_GB2312"/>
          <w:b/>
          <w:sz w:val="32"/>
          <w:szCs w:val="32"/>
        </w:rPr>
        <w:t>许昌市城乡规划领域基层政务公开标准目录</w:t>
      </w:r>
    </w:p>
    <w:tbl>
      <w:tblPr>
        <w:tblStyle w:val="5"/>
        <w:tblW w:w="1381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73"/>
        <w:gridCol w:w="693"/>
        <w:gridCol w:w="1598"/>
        <w:gridCol w:w="1537"/>
        <w:gridCol w:w="910"/>
        <w:gridCol w:w="970"/>
        <w:gridCol w:w="2797"/>
        <w:gridCol w:w="799"/>
        <w:gridCol w:w="665"/>
        <w:gridCol w:w="700"/>
        <w:gridCol w:w="761"/>
        <w:gridCol w:w="409"/>
        <w:gridCol w:w="42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366" w:type="dxa"/>
            <w:gridSpan w:val="2"/>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598"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1537"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910"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时限</w:t>
            </w:r>
          </w:p>
        </w:tc>
        <w:tc>
          <w:tcPr>
            <w:tcW w:w="970"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公开主体</w:t>
            </w:r>
          </w:p>
        </w:tc>
        <w:tc>
          <w:tcPr>
            <w:tcW w:w="2797"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至少选择其一公开，法律法规</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规章另有规定的从其规定）</w:t>
            </w:r>
          </w:p>
        </w:tc>
        <w:tc>
          <w:tcPr>
            <w:tcW w:w="1464" w:type="dxa"/>
            <w:gridSpan w:val="2"/>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461" w:type="dxa"/>
            <w:gridSpan w:val="2"/>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260" w:type="dxa"/>
            <w:gridSpan w:val="3"/>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673"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一级</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693"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二级事项</w:t>
            </w:r>
          </w:p>
        </w:tc>
        <w:tc>
          <w:tcPr>
            <w:tcW w:w="1598"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1537"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910"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970"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2797"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799"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全社会</w:t>
            </w:r>
          </w:p>
        </w:tc>
        <w:tc>
          <w:tcPr>
            <w:tcW w:w="665"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特定</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群体</w:t>
            </w:r>
          </w:p>
        </w:tc>
        <w:tc>
          <w:tcPr>
            <w:tcW w:w="700"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主动</w:t>
            </w:r>
          </w:p>
        </w:tc>
        <w:tc>
          <w:tcPr>
            <w:tcW w:w="761"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依申请</w:t>
            </w:r>
          </w:p>
        </w:tc>
        <w:tc>
          <w:tcPr>
            <w:tcW w:w="409"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县</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6"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乡</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w:t>
            </w:r>
          </w:p>
        </w:tc>
        <w:tc>
          <w:tcPr>
            <w:tcW w:w="673" w:type="dxa"/>
            <w:vMerge w:val="restart"/>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公共服务</w:t>
            </w:r>
          </w:p>
        </w:tc>
        <w:tc>
          <w:tcPr>
            <w:tcW w:w="693"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法规文件</w:t>
            </w:r>
          </w:p>
        </w:tc>
        <w:tc>
          <w:tcPr>
            <w:tcW w:w="1598" w:type="dxa"/>
            <w:noWrap/>
            <w:vAlign w:val="center"/>
          </w:tcPr>
          <w:p>
            <w:pPr>
              <w:widowControl/>
              <w:spacing w:line="3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城乡规划领域相关法规、规章、规范性文件</w:t>
            </w:r>
          </w:p>
        </w:tc>
        <w:tc>
          <w:tcPr>
            <w:tcW w:w="1537" w:type="dxa"/>
            <w:noWrap/>
            <w:vAlign w:val="center"/>
          </w:tcPr>
          <w:p>
            <w:pPr>
              <w:widowControl/>
              <w:spacing w:line="3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《中华人民共和国城乡规划法》《中华人民共和国政府信息公开条例》《许昌市城乡规划条例》</w:t>
            </w:r>
          </w:p>
        </w:tc>
        <w:tc>
          <w:tcPr>
            <w:tcW w:w="910"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970"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797" w:type="dxa"/>
            <w:noWrap/>
            <w:vAlign w:val="center"/>
          </w:tcPr>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 xml:space="preserve">政府网站 </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政府公报</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6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799"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665" w:type="dxa"/>
            <w:noWrap/>
            <w:vAlign w:val="center"/>
          </w:tcPr>
          <w:p>
            <w:pPr>
              <w:widowControl/>
              <w:spacing w:line="360" w:lineRule="exact"/>
              <w:jc w:val="center"/>
              <w:rPr>
                <w:rFonts w:asciiTheme="minorEastAsia" w:hAnsiTheme="minorEastAsia" w:eastAsiaTheme="minorEastAsia"/>
                <w:kern w:val="0"/>
                <w:sz w:val="18"/>
                <w:szCs w:val="18"/>
              </w:rPr>
            </w:pPr>
          </w:p>
        </w:tc>
        <w:tc>
          <w:tcPr>
            <w:tcW w:w="700"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61" w:type="dxa"/>
            <w:noWrap/>
            <w:vAlign w:val="center"/>
          </w:tcPr>
          <w:p>
            <w:pPr>
              <w:widowControl/>
              <w:spacing w:line="360" w:lineRule="exact"/>
              <w:jc w:val="center"/>
              <w:rPr>
                <w:rFonts w:asciiTheme="minorEastAsia" w:hAnsiTheme="minorEastAsia" w:eastAsiaTheme="minorEastAsia"/>
                <w:kern w:val="0"/>
                <w:sz w:val="18"/>
                <w:szCs w:val="18"/>
              </w:rPr>
            </w:pPr>
          </w:p>
        </w:tc>
        <w:tc>
          <w:tcPr>
            <w:tcW w:w="409"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6"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w:t>
            </w:r>
          </w:p>
        </w:tc>
        <w:tc>
          <w:tcPr>
            <w:tcW w:w="673" w:type="dxa"/>
            <w:vMerge w:val="continue"/>
            <w:vAlign w:val="center"/>
          </w:tcPr>
          <w:p>
            <w:pPr>
              <w:widowControl/>
              <w:spacing w:line="360" w:lineRule="exact"/>
              <w:jc w:val="left"/>
              <w:rPr>
                <w:rFonts w:asciiTheme="minorEastAsia" w:hAnsiTheme="minorEastAsia" w:eastAsiaTheme="minorEastAsia"/>
                <w:kern w:val="0"/>
                <w:sz w:val="18"/>
                <w:szCs w:val="18"/>
              </w:rPr>
            </w:pPr>
          </w:p>
        </w:tc>
        <w:tc>
          <w:tcPr>
            <w:tcW w:w="693"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政民互动</w:t>
            </w:r>
          </w:p>
        </w:tc>
        <w:tc>
          <w:tcPr>
            <w:tcW w:w="1598" w:type="dxa"/>
            <w:noWrap/>
            <w:vAlign w:val="center"/>
          </w:tcPr>
          <w:p>
            <w:pPr>
              <w:widowControl/>
              <w:spacing w:line="3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城乡规划事项的意见征集、咨询、信访等</w:t>
            </w:r>
          </w:p>
        </w:tc>
        <w:tc>
          <w:tcPr>
            <w:tcW w:w="1537" w:type="dxa"/>
            <w:noWrap/>
            <w:vAlign w:val="center"/>
          </w:tcPr>
          <w:p>
            <w:pPr>
              <w:widowControl/>
              <w:spacing w:line="3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《中华人民共和国政府信息公开条例》</w:t>
            </w:r>
          </w:p>
        </w:tc>
        <w:tc>
          <w:tcPr>
            <w:tcW w:w="910"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实时</w:t>
            </w:r>
          </w:p>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公开</w:t>
            </w:r>
          </w:p>
        </w:tc>
        <w:tc>
          <w:tcPr>
            <w:tcW w:w="970"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797" w:type="dxa"/>
            <w:noWrap/>
            <w:vAlign w:val="center"/>
          </w:tcPr>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rPr>
              <w:t xml:space="preserve">         </w:t>
            </w:r>
          </w:p>
        </w:tc>
        <w:tc>
          <w:tcPr>
            <w:tcW w:w="799"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665" w:type="dxa"/>
            <w:noWrap/>
            <w:vAlign w:val="center"/>
          </w:tcPr>
          <w:p>
            <w:pPr>
              <w:widowControl/>
              <w:spacing w:line="360" w:lineRule="exact"/>
              <w:jc w:val="center"/>
              <w:rPr>
                <w:rFonts w:asciiTheme="minorEastAsia" w:hAnsiTheme="minorEastAsia" w:eastAsiaTheme="minorEastAsia"/>
                <w:kern w:val="0"/>
                <w:sz w:val="18"/>
                <w:szCs w:val="18"/>
              </w:rPr>
            </w:pPr>
          </w:p>
        </w:tc>
        <w:tc>
          <w:tcPr>
            <w:tcW w:w="700"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61" w:type="dxa"/>
            <w:noWrap/>
            <w:vAlign w:val="center"/>
          </w:tcPr>
          <w:p>
            <w:pPr>
              <w:widowControl/>
              <w:spacing w:line="360" w:lineRule="exact"/>
              <w:jc w:val="center"/>
              <w:rPr>
                <w:rFonts w:asciiTheme="minorEastAsia" w:hAnsiTheme="minorEastAsia" w:eastAsiaTheme="minorEastAsia"/>
                <w:kern w:val="0"/>
                <w:sz w:val="18"/>
                <w:szCs w:val="18"/>
              </w:rPr>
            </w:pPr>
          </w:p>
        </w:tc>
        <w:tc>
          <w:tcPr>
            <w:tcW w:w="409"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6"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bl>
    <w:p>
      <w:pPr>
        <w:spacing w:line="200" w:lineRule="exact"/>
        <w:ind w:firstLine="640" w:firstLineChars="200"/>
        <w:rPr>
          <w:rFonts w:eastAsia="仿宋_GB2312"/>
          <w:sz w:val="32"/>
          <w:szCs w:val="32"/>
        </w:rPr>
      </w:pPr>
    </w:p>
    <w:p>
      <w:pPr>
        <w:spacing w:line="200" w:lineRule="exact"/>
        <w:ind w:firstLine="640" w:firstLineChars="200"/>
        <w:rPr>
          <w:rFonts w:eastAsia="仿宋_GB2312"/>
          <w:sz w:val="32"/>
          <w:szCs w:val="32"/>
        </w:rPr>
      </w:pPr>
      <w:r>
        <w:rPr>
          <w:rFonts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5515610</wp:posOffset>
                </wp:positionV>
                <wp:extent cx="882650" cy="298450"/>
                <wp:effectExtent l="4445" t="4445" r="8255" b="20955"/>
                <wp:wrapNone/>
                <wp:docPr id="4" name="文本框 4"/>
                <wp:cNvGraphicFramePr/>
                <a:graphic xmlns:a="http://schemas.openxmlformats.org/drawingml/2006/main">
                  <a:graphicData uri="http://schemas.microsoft.com/office/word/2010/wordprocessingShape">
                    <wps:wsp>
                      <wps:cNvSpPr txBox="1"/>
                      <wps:spPr>
                        <a:xfrm>
                          <a:off x="0" y="0"/>
                          <a:ext cx="882650" cy="298450"/>
                        </a:xfrm>
                        <a:prstGeom prst="rect">
                          <a:avLst/>
                        </a:prstGeom>
                        <a:solidFill>
                          <a:srgbClr val="FFFFFF"/>
                        </a:solidFill>
                        <a:ln w="6350">
                          <a:solidFill>
                            <a:srgbClr val="FFFFFF"/>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434.3pt;height:23.5pt;width:69.5pt;z-index:251661312;mso-width-relative:page;mso-height-relative:page;" fillcolor="#FFFFFF" filled="t" stroked="t" coordsize="21600,21600" o:gfxdata="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i0dQ1wAAAAkBAAAP&#10;AAAAAAAAAAEAIAAAACIAAABkcnMvZG93bnJldi54bWxQSwECFAAUAAAACACHTuJAD6uZzFICAADF&#10;BAAADgAAAAAAAAABACAAAAAmAQAAZHJzL2Uyb0RvYy54bWxQSwUGAAAAAAYABgBZAQAA6gUAAAAA&#10;">
                <v:fill on="t" focussize="0,0"/>
                <v:stroke weight="0.5pt" color="#FFFFFF" joinstyle="round"/>
                <v:imagedata o:title=""/>
                <o:lock v:ext="edit" aspectratio="f"/>
                <v:textbox>
                  <w:txbxContent>
                    <w:p/>
                  </w:txbxContent>
                </v:textbox>
              </v:shape>
            </w:pict>
          </mc:Fallback>
        </mc:AlternateContent>
      </w:r>
    </w:p>
    <w:tbl>
      <w:tblPr>
        <w:tblStyle w:val="5"/>
        <w:tblpPr w:leftFromText="180" w:rightFromText="180" w:vertAnchor="text" w:horzAnchor="margin" w:tblpY="1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49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36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20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82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时限</w:t>
            </w:r>
          </w:p>
        </w:tc>
        <w:tc>
          <w:tcPr>
            <w:tcW w:w="72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公开主体</w:t>
            </w:r>
          </w:p>
        </w:tc>
        <w:tc>
          <w:tcPr>
            <w:tcW w:w="260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公开渠道和载体（在标注范围内至少选择其一公开，法律法规规章另有规定的从其规定）</w:t>
            </w:r>
          </w:p>
        </w:tc>
        <w:tc>
          <w:tcPr>
            <w:tcW w:w="162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41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64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一级</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二级</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2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全社会</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特定</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群体</w:t>
            </w: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主动</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依申请</w:t>
            </w: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县</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乡</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w:t>
            </w:r>
          </w:p>
        </w:tc>
        <w:tc>
          <w:tcPr>
            <w:tcW w:w="64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公共服务</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办事</w:t>
            </w:r>
          </w:p>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服务</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行政许可的事项、依据、条件、数量、程序、期限以及申请行政许可需要提交的全部材料目录</w:t>
            </w:r>
          </w:p>
        </w:tc>
        <w:tc>
          <w:tcPr>
            <w:tcW w:w="20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《中华人民共和国政府信息公开条例》</w:t>
            </w:r>
          </w:p>
        </w:tc>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实时</w:t>
            </w:r>
          </w:p>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公开</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60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 xml:space="preserve">广播电视 </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纸质载体</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rPr>
              <w:t xml:space="preserve">        </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w:t>
            </w:r>
          </w:p>
        </w:tc>
        <w:tc>
          <w:tcPr>
            <w:tcW w:w="64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规划编制</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市、县国土空间规划</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规划批准文件、脱密后的文本及图纸</w:t>
            </w:r>
          </w:p>
        </w:tc>
        <w:tc>
          <w:tcPr>
            <w:tcW w:w="20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《中华人民共和国土地管理法》《中华人民共和国城乡规划法》《中华人民共和国政府信息公开条例》</w:t>
            </w:r>
          </w:p>
        </w:tc>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自然资源管理部门或镇人民政府</w:t>
            </w:r>
          </w:p>
        </w:tc>
        <w:tc>
          <w:tcPr>
            <w:tcW w:w="260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w:t>
            </w: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乡、镇国土空间规划</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脱密后的文本及图纸等</w:t>
            </w:r>
          </w:p>
        </w:tc>
        <w:tc>
          <w:tcPr>
            <w:tcW w:w="20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《中华人民共和国土地管理法》《中华人民共和国城乡规划法》《中华人民共和国政府信息公开条例》</w:t>
            </w:r>
          </w:p>
        </w:tc>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乡人民政府</w:t>
            </w:r>
          </w:p>
        </w:tc>
        <w:tc>
          <w:tcPr>
            <w:tcW w:w="260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0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bl>
    <w:p>
      <w:pPr>
        <w:spacing w:line="200" w:lineRule="exact"/>
        <w:ind w:firstLine="640" w:firstLineChars="200"/>
        <w:rPr>
          <w:rFonts w:eastAsia="仿宋_GB2312"/>
          <w:sz w:val="32"/>
          <w:szCs w:val="32"/>
        </w:rPr>
      </w:pPr>
    </w:p>
    <w:tbl>
      <w:tblPr>
        <w:tblStyle w:val="5"/>
        <w:tblW w:w="1386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73"/>
        <w:gridCol w:w="709"/>
        <w:gridCol w:w="1213"/>
        <w:gridCol w:w="2145"/>
        <w:gridCol w:w="1050"/>
        <w:gridCol w:w="766"/>
        <w:gridCol w:w="2603"/>
        <w:gridCol w:w="897"/>
        <w:gridCol w:w="709"/>
        <w:gridCol w:w="540"/>
        <w:gridCol w:w="859"/>
        <w:gridCol w:w="398"/>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38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21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214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105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公开时限</w:t>
            </w:r>
          </w:p>
        </w:tc>
        <w:tc>
          <w:tcPr>
            <w:tcW w:w="76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主体</w:t>
            </w:r>
          </w:p>
        </w:tc>
        <w:tc>
          <w:tcPr>
            <w:tcW w:w="260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公开渠道和载体（在标注范围内至少选择其一公开，法律法规规章另有规定的从其规定）</w:t>
            </w:r>
          </w:p>
        </w:tc>
        <w:tc>
          <w:tcPr>
            <w:tcW w:w="16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2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673"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一级</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二级</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21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2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897"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全社会</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特定</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群体</w:t>
            </w: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动</w:t>
            </w:r>
          </w:p>
        </w:tc>
        <w:tc>
          <w:tcPr>
            <w:tcW w:w="85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依申请</w:t>
            </w:r>
          </w:p>
        </w:tc>
        <w:tc>
          <w:tcPr>
            <w:tcW w:w="398"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县</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乡</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w:t>
            </w:r>
          </w:p>
        </w:tc>
        <w:tc>
          <w:tcPr>
            <w:tcW w:w="673" w:type="dxa"/>
            <w:vMerge w:val="restart"/>
            <w:tcBorders>
              <w:top w:val="nil"/>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w:t>
            </w:r>
          </w:p>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编制</w:t>
            </w: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城市、镇详细规划</w:t>
            </w:r>
          </w:p>
        </w:tc>
        <w:tc>
          <w:tcPr>
            <w:tcW w:w="1213" w:type="dxa"/>
            <w:tcBorders>
              <w:top w:val="single" w:color="auto" w:sz="4" w:space="0"/>
              <w:left w:val="nil"/>
              <w:bottom w:val="single" w:color="auto" w:sz="4" w:space="0"/>
              <w:right w:val="single" w:color="auto" w:sz="4" w:space="0"/>
            </w:tcBorders>
            <w:noWrap/>
            <w:vAlign w:val="center"/>
          </w:tcPr>
          <w:p>
            <w:pPr>
              <w:widowControl/>
              <w:spacing w:line="4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脱密后的文本及图纸等</w:t>
            </w:r>
          </w:p>
        </w:tc>
        <w:tc>
          <w:tcPr>
            <w:tcW w:w="214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w:t>
            </w:r>
          </w:p>
        </w:tc>
        <w:tc>
          <w:tcPr>
            <w:tcW w:w="105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766"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自然资源管理部门或镇人民政府</w:t>
            </w:r>
          </w:p>
        </w:tc>
        <w:tc>
          <w:tcPr>
            <w:tcW w:w="2603" w:type="dxa"/>
            <w:tcBorders>
              <w:top w:val="single" w:color="auto" w:sz="4" w:space="0"/>
              <w:left w:val="nil"/>
              <w:bottom w:val="single" w:color="auto" w:sz="4" w:space="0"/>
              <w:right w:val="single" w:color="auto" w:sz="4" w:space="0"/>
            </w:tcBorders>
            <w:noWrap/>
            <w:vAlign w:val="center"/>
          </w:tcPr>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42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54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398"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7</w:t>
            </w:r>
          </w:p>
        </w:tc>
        <w:tc>
          <w:tcPr>
            <w:tcW w:w="673" w:type="dxa"/>
            <w:vMerge w:val="continue"/>
            <w:tcBorders>
              <w:top w:val="nil"/>
              <w:left w:val="nil"/>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kern w:val="0"/>
                <w:sz w:val="18"/>
                <w:szCs w:val="18"/>
              </w:rPr>
            </w:pP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部分村庄编制完成的村庄规划</w:t>
            </w:r>
          </w:p>
        </w:tc>
        <w:tc>
          <w:tcPr>
            <w:tcW w:w="1213" w:type="dxa"/>
            <w:tcBorders>
              <w:top w:val="single" w:color="auto" w:sz="4" w:space="0"/>
              <w:left w:val="nil"/>
              <w:bottom w:val="single" w:color="auto" w:sz="4" w:space="0"/>
              <w:right w:val="single" w:color="auto" w:sz="4" w:space="0"/>
            </w:tcBorders>
            <w:noWrap/>
            <w:vAlign w:val="center"/>
          </w:tcPr>
          <w:p>
            <w:pPr>
              <w:widowControl/>
              <w:spacing w:line="4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脱密后的文本及图纸等</w:t>
            </w:r>
          </w:p>
        </w:tc>
        <w:tc>
          <w:tcPr>
            <w:tcW w:w="214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《中华人民共和国土地管理法》《中华人民共和国城乡规划法》《中华人民共和国政府信息公开条例》</w:t>
            </w:r>
          </w:p>
        </w:tc>
        <w:tc>
          <w:tcPr>
            <w:tcW w:w="105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766"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乡、镇人民政府</w:t>
            </w:r>
          </w:p>
        </w:tc>
        <w:tc>
          <w:tcPr>
            <w:tcW w:w="2603" w:type="dxa"/>
            <w:tcBorders>
              <w:top w:val="single" w:color="auto" w:sz="4" w:space="0"/>
              <w:left w:val="nil"/>
              <w:bottom w:val="single" w:color="auto" w:sz="4" w:space="0"/>
              <w:right w:val="single" w:color="auto" w:sz="4" w:space="0"/>
            </w:tcBorders>
            <w:noWrap/>
            <w:vAlign w:val="center"/>
          </w:tcPr>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sym w:font="Wingdings 2" w:char="F0A3"/>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54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398"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bl>
    <w:p>
      <w:pPr>
        <w:spacing w:line="200" w:lineRule="exact"/>
        <w:ind w:firstLine="640" w:firstLineChars="200"/>
        <w:rPr>
          <w:rFonts w:eastAsia="仿宋_GB2312"/>
          <w:sz w:val="32"/>
          <w:szCs w:val="32"/>
        </w:rPr>
      </w:pPr>
    </w:p>
    <w:p>
      <w:pPr>
        <w:spacing w:line="200" w:lineRule="exact"/>
        <w:ind w:firstLine="640" w:firstLineChars="200"/>
        <w:rPr>
          <w:rFonts w:eastAsia="仿宋_GB2312"/>
          <w:sz w:val="32"/>
          <w:szCs w:val="32"/>
        </w:rPr>
      </w:pPr>
      <w:r>
        <w:rPr>
          <w:rFonts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6196965</wp:posOffset>
                </wp:positionH>
                <wp:positionV relativeFrom="paragraph">
                  <wp:posOffset>257810</wp:posOffset>
                </wp:positionV>
                <wp:extent cx="1035050" cy="317500"/>
                <wp:effectExtent l="4445" t="5080" r="8255" b="20320"/>
                <wp:wrapNone/>
                <wp:docPr id="5" name="文本框 5"/>
                <wp:cNvGraphicFramePr/>
                <a:graphic xmlns:a="http://schemas.openxmlformats.org/drawingml/2006/main">
                  <a:graphicData uri="http://schemas.microsoft.com/office/word/2010/wordprocessingShape">
                    <wps:wsp>
                      <wps:cNvSpPr txBox="1"/>
                      <wps:spPr>
                        <a:xfrm>
                          <a:off x="0" y="0"/>
                          <a:ext cx="1035050" cy="317500"/>
                        </a:xfrm>
                        <a:prstGeom prst="rect">
                          <a:avLst/>
                        </a:prstGeom>
                        <a:solidFill>
                          <a:srgbClr val="FFFFFF"/>
                        </a:solidFill>
                        <a:ln w="6350">
                          <a:solidFill>
                            <a:srgbClr val="FFFFFF"/>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7.95pt;margin-top:20.3pt;height:25pt;width:81.5pt;z-index:251662336;mso-width-relative:page;mso-height-relative:page;" fillcolor="#FFFFFF" filled="t" stroked="t" coordsize="21600,21600" o:gfxdata="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yMWk1wAA&#10;AAoBAAAPAAAAAAAAAAEAIAAAACIAAABkcnMvZG93bnJldi54bWxQSwECFAAUAAAACACHTuJANtfu&#10;DVgCAADGBAAADgAAAAAAAAABACAAAAAmAQAAZHJzL2Uyb0RvYy54bWxQSwUGAAAAAAYABgBZAQAA&#10;8AUAAAAA&#10;">
                <v:fill on="t" focussize="0,0"/>
                <v:stroke weight="0.5pt" color="#FFFFFF" joinstyle="round"/>
                <v:imagedata o:title=""/>
                <o:lock v:ext="edit" aspectratio="f"/>
                <v:textbox>
                  <w:txbxContent>
                    <w:p/>
                  </w:txbxContent>
                </v:textbox>
              </v:shape>
            </w:pict>
          </mc:Fallback>
        </mc:AlternateContent>
      </w:r>
    </w:p>
    <w:tbl>
      <w:tblPr>
        <w:tblStyle w:val="5"/>
        <w:tblW w:w="13962" w:type="dxa"/>
        <w:tblInd w:w="113" w:type="dxa"/>
        <w:tblLayout w:type="fixed"/>
        <w:tblCellMar>
          <w:top w:w="0" w:type="dxa"/>
          <w:left w:w="108" w:type="dxa"/>
          <w:bottom w:w="0" w:type="dxa"/>
          <w:right w:w="108" w:type="dxa"/>
        </w:tblCellMar>
      </w:tblPr>
      <w:tblGrid>
        <w:gridCol w:w="456"/>
        <w:gridCol w:w="673"/>
        <w:gridCol w:w="29"/>
        <w:gridCol w:w="709"/>
        <w:gridCol w:w="1701"/>
        <w:gridCol w:w="1125"/>
        <w:gridCol w:w="1285"/>
        <w:gridCol w:w="1038"/>
        <w:gridCol w:w="2886"/>
        <w:gridCol w:w="800"/>
        <w:gridCol w:w="709"/>
        <w:gridCol w:w="425"/>
        <w:gridCol w:w="850"/>
        <w:gridCol w:w="426"/>
        <w:gridCol w:w="425"/>
        <w:gridCol w:w="425"/>
      </w:tblGrid>
      <w:tr>
        <w:tblPrEx>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411"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701"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1125"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1285"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公开时限</w:t>
            </w:r>
          </w:p>
        </w:tc>
        <w:tc>
          <w:tcPr>
            <w:tcW w:w="1038"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公开主体</w:t>
            </w:r>
          </w:p>
        </w:tc>
        <w:tc>
          <w:tcPr>
            <w:tcW w:w="2886"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公开渠道和载体（在标注范围内至少选择其一公开，法律法规规章另有规定的从其规定）</w:t>
            </w:r>
          </w:p>
        </w:tc>
        <w:tc>
          <w:tcPr>
            <w:tcW w:w="1509"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275"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276"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70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一级</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二级</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1701"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1125"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1285"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1038"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2886"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全社会</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特定</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群体</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动</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依申请</w:t>
            </w: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县</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乡</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w:t>
            </w:r>
          </w:p>
        </w:tc>
        <w:tc>
          <w:tcPr>
            <w:tcW w:w="702" w:type="dxa"/>
            <w:gridSpan w:val="2"/>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规划许可</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建设项目用地预审和选址意见书</w:t>
            </w:r>
          </w:p>
        </w:tc>
        <w:tc>
          <w:tcPr>
            <w:tcW w:w="1701"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核发、变更、延续、补证、注销的办理情况及内容</w:t>
            </w:r>
          </w:p>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（涉密项目除外）</w:t>
            </w:r>
          </w:p>
        </w:tc>
        <w:tc>
          <w:tcPr>
            <w:tcW w:w="1125"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2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9</w:t>
            </w:r>
          </w:p>
        </w:tc>
        <w:tc>
          <w:tcPr>
            <w:tcW w:w="702" w:type="dxa"/>
            <w:gridSpan w:val="2"/>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kern w:val="0"/>
                <w:sz w:val="18"/>
                <w:szCs w:val="18"/>
              </w:rPr>
            </w:pP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建设用地规划许可证</w:t>
            </w:r>
          </w:p>
        </w:tc>
        <w:tc>
          <w:tcPr>
            <w:tcW w:w="1701"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核发、变更、延续、补证、注销的办理情况及内容</w:t>
            </w:r>
          </w:p>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（涉密项目除外）</w:t>
            </w:r>
          </w:p>
        </w:tc>
        <w:tc>
          <w:tcPr>
            <w:tcW w:w="11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2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tcPr>
          <w:p>
            <w:pPr>
              <w:widowControl/>
              <w:spacing w:line="320" w:lineRule="exact"/>
              <w:jc w:val="center"/>
              <w:rPr>
                <w:rFonts w:asciiTheme="minorEastAsia" w:hAnsiTheme="minorEastAsia" w:eastAsiaTheme="minorEastAsia"/>
                <w:kern w:val="0"/>
                <w:sz w:val="18"/>
                <w:szCs w:val="18"/>
              </w:rPr>
            </w:pPr>
          </w:p>
          <w:p>
            <w:pPr>
              <w:widowControl/>
              <w:spacing w:line="320" w:lineRule="exact"/>
              <w:jc w:val="center"/>
              <w:rPr>
                <w:rFonts w:asciiTheme="minorEastAsia" w:hAnsiTheme="minorEastAsia" w:eastAsiaTheme="minorEastAsia"/>
                <w:kern w:val="0"/>
                <w:sz w:val="18"/>
                <w:szCs w:val="18"/>
              </w:rPr>
            </w:pPr>
          </w:p>
          <w:p>
            <w:pPr>
              <w:widowControl/>
              <w:spacing w:line="320" w:lineRule="exact"/>
              <w:jc w:val="center"/>
              <w:rPr>
                <w:rFonts w:asciiTheme="minorEastAsia" w:hAnsiTheme="minorEastAsia" w:eastAsiaTheme="minorEastAsia"/>
                <w:kern w:val="0"/>
                <w:sz w:val="18"/>
                <w:szCs w:val="18"/>
              </w:rPr>
            </w:pPr>
          </w:p>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985520</wp:posOffset>
                      </wp:positionV>
                      <wp:extent cx="901700" cy="342900"/>
                      <wp:effectExtent l="4445" t="4445" r="8255" b="14605"/>
                      <wp:wrapNone/>
                      <wp:docPr id="6" name="文本框 6"/>
                      <wp:cNvGraphicFramePr/>
                      <a:graphic xmlns:a="http://schemas.openxmlformats.org/drawingml/2006/main">
                        <a:graphicData uri="http://schemas.microsoft.com/office/word/2010/wordprocessingShape">
                          <wps:wsp>
                            <wps:cNvSpPr txBox="1"/>
                            <wps:spPr>
                              <a:xfrm>
                                <a:off x="0" y="0"/>
                                <a:ext cx="901700" cy="342900"/>
                              </a:xfrm>
                              <a:prstGeom prst="rect">
                                <a:avLst/>
                              </a:prstGeom>
                              <a:solidFill>
                                <a:srgbClr val="FFFFFF"/>
                              </a:solidFill>
                              <a:ln w="6350">
                                <a:solidFill>
                                  <a:srgbClr val="FFFFFF"/>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77.6pt;height:27pt;width:71pt;z-index:251663360;mso-width-relative:page;mso-height-relative:page;" fillcolor="#FFFFFF" filled="t" stroked="t" coordsize="21600,21600" o:gfxdata="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iQm77ZAAAA&#10;CgEAAA8AAAAAAAAAAQAgAAAAIgAAAGRycy9kb3ducmV2LnhtbFBLAQIUABQAAAAIAIdO4kAKj6go&#10;VQIAAMUEAAAOAAAAAAAAAAEAIAAAACgBAABkcnMvZTJvRG9jLnhtbFBLBQYAAAAABgAGAFkBAADv&#10;BQAAAAA=&#10;">
                      <v:fill on="t" focussize="0,0"/>
                      <v:stroke weight="0.5pt" color="#FFFFFF" joinstyle="round"/>
                      <v:imagedata o:title=""/>
                      <o:lock v:ext="edit" aspectratio="f"/>
                      <v:textbox>
                        <w:txbxContent>
                          <w:p/>
                        </w:txbxContent>
                      </v:textbox>
                    </v:shape>
                  </w:pict>
                </mc:Fallback>
              </mc:AlternateContent>
            </w:r>
            <w:r>
              <w:rPr>
                <w:rFonts w:asciiTheme="minorEastAsia" w:hAnsiTheme="minorEastAsia" w:eastAsiaTheme="minorEastAsia"/>
                <w:kern w:val="0"/>
                <w:sz w:val="18"/>
                <w:szCs w:val="18"/>
              </w:rPr>
              <w:t>10</w:t>
            </w:r>
          </w:p>
        </w:tc>
        <w:tc>
          <w:tcPr>
            <w:tcW w:w="702" w:type="dxa"/>
            <w:gridSpan w:val="2"/>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kern w:val="0"/>
                <w:sz w:val="18"/>
                <w:szCs w:val="18"/>
              </w:rPr>
            </w:pP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建设工程规划许可证</w:t>
            </w:r>
          </w:p>
        </w:tc>
        <w:tc>
          <w:tcPr>
            <w:tcW w:w="1701"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核发、变更、延续、补证、注销的办理情况及内容</w:t>
            </w:r>
          </w:p>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（涉密项目除外）</w:t>
            </w:r>
          </w:p>
        </w:tc>
        <w:tc>
          <w:tcPr>
            <w:tcW w:w="11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0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411" w:type="dxa"/>
            <w:gridSpan w:val="3"/>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70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112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128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公开时限</w:t>
            </w:r>
          </w:p>
        </w:tc>
        <w:tc>
          <w:tcPr>
            <w:tcW w:w="1038"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公开主体</w:t>
            </w:r>
          </w:p>
        </w:tc>
        <w:tc>
          <w:tcPr>
            <w:tcW w:w="2886"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公开渠道和载体（在标注范围内至少选择其一公开，法律法规规章另有规定的从其规定）</w:t>
            </w:r>
          </w:p>
        </w:tc>
        <w:tc>
          <w:tcPr>
            <w:tcW w:w="1509"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276" w:type="dxa"/>
            <w:gridSpan w:val="3"/>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673"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一级事项</w:t>
            </w:r>
          </w:p>
        </w:tc>
        <w:tc>
          <w:tcPr>
            <w:tcW w:w="738"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二级事项</w:t>
            </w:r>
          </w:p>
        </w:tc>
        <w:tc>
          <w:tcPr>
            <w:tcW w:w="1701"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1125"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1285"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1038"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2886"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全社会</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特定群体</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主动</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依申请</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县级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乡级</w:t>
            </w: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w:t>
            </w:r>
          </w:p>
        </w:tc>
        <w:tc>
          <w:tcPr>
            <w:tcW w:w="673"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规划许可</w:t>
            </w:r>
          </w:p>
        </w:tc>
        <w:tc>
          <w:tcPr>
            <w:tcW w:w="738"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乡村建设规划许可证</w:t>
            </w:r>
          </w:p>
        </w:tc>
        <w:tc>
          <w:tcPr>
            <w:tcW w:w="1701"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核发、变更、延续、补证、注销的办理情况及内容</w:t>
            </w:r>
          </w:p>
        </w:tc>
        <w:tc>
          <w:tcPr>
            <w:tcW w:w="1125"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乡、镇人民政府或市、县自然资源主管部门</w:t>
            </w:r>
          </w:p>
        </w:tc>
        <w:tc>
          <w:tcPr>
            <w:tcW w:w="2886" w:type="dxa"/>
            <w:tcBorders>
              <w:top w:val="single" w:color="auto" w:sz="4" w:space="0"/>
              <w:left w:val="nil"/>
              <w:bottom w:val="single" w:color="auto" w:sz="4" w:space="0"/>
              <w:right w:val="single" w:color="auto" w:sz="4" w:space="0"/>
            </w:tcBorders>
            <w:noWrap/>
            <w:vAlign w:val="center"/>
          </w:tcPr>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bl>
    <w:p/>
    <w:sectPr>
      <w:pgSz w:w="16838" w:h="11906" w:orient="landscape"/>
      <w:pgMar w:top="1474" w:right="1985" w:bottom="1474" w:left="1418" w:header="1985" w:footer="141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6925"/>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jc w:val="center"/>
      <w:rPr>
        <w:rFonts w:asciiTheme="minorEastAsia" w:hAnsiTheme="minorEastAsia" w:eastAsia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center"/>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24"/>
    <w:rsid w:val="00003A2B"/>
    <w:rsid w:val="0000575F"/>
    <w:rsid w:val="0002061E"/>
    <w:rsid w:val="000212F8"/>
    <w:rsid w:val="00063F83"/>
    <w:rsid w:val="000664BB"/>
    <w:rsid w:val="00071C24"/>
    <w:rsid w:val="00075D22"/>
    <w:rsid w:val="0009112E"/>
    <w:rsid w:val="00092427"/>
    <w:rsid w:val="00095E6D"/>
    <w:rsid w:val="000A768F"/>
    <w:rsid w:val="000D0A1A"/>
    <w:rsid w:val="000D73B2"/>
    <w:rsid w:val="000E666D"/>
    <w:rsid w:val="000F6DDA"/>
    <w:rsid w:val="00101D26"/>
    <w:rsid w:val="00107A6E"/>
    <w:rsid w:val="001234EB"/>
    <w:rsid w:val="0014357D"/>
    <w:rsid w:val="00164112"/>
    <w:rsid w:val="0016488E"/>
    <w:rsid w:val="00170F6B"/>
    <w:rsid w:val="001A1217"/>
    <w:rsid w:val="001B6574"/>
    <w:rsid w:val="001E05D8"/>
    <w:rsid w:val="002012EA"/>
    <w:rsid w:val="00231177"/>
    <w:rsid w:val="002312AC"/>
    <w:rsid w:val="00235FF9"/>
    <w:rsid w:val="002454F1"/>
    <w:rsid w:val="00256D4A"/>
    <w:rsid w:val="00281FD5"/>
    <w:rsid w:val="002860D6"/>
    <w:rsid w:val="002B43D6"/>
    <w:rsid w:val="002C18D6"/>
    <w:rsid w:val="002C620A"/>
    <w:rsid w:val="002D3E4D"/>
    <w:rsid w:val="002E7C3B"/>
    <w:rsid w:val="002F5062"/>
    <w:rsid w:val="00307C36"/>
    <w:rsid w:val="00331E9A"/>
    <w:rsid w:val="0034147C"/>
    <w:rsid w:val="0034572D"/>
    <w:rsid w:val="0034788D"/>
    <w:rsid w:val="00357A3A"/>
    <w:rsid w:val="00383493"/>
    <w:rsid w:val="003B3FA7"/>
    <w:rsid w:val="003B6745"/>
    <w:rsid w:val="003D1FB2"/>
    <w:rsid w:val="003D551F"/>
    <w:rsid w:val="003E3CCF"/>
    <w:rsid w:val="003F0053"/>
    <w:rsid w:val="0040295A"/>
    <w:rsid w:val="004100BE"/>
    <w:rsid w:val="0042552A"/>
    <w:rsid w:val="004373B7"/>
    <w:rsid w:val="00440EDA"/>
    <w:rsid w:val="0045306D"/>
    <w:rsid w:val="0046214F"/>
    <w:rsid w:val="004622FF"/>
    <w:rsid w:val="00470DDE"/>
    <w:rsid w:val="00471FA3"/>
    <w:rsid w:val="00475F41"/>
    <w:rsid w:val="004A0F2D"/>
    <w:rsid w:val="004A4CD2"/>
    <w:rsid w:val="004B3C8B"/>
    <w:rsid w:val="004D7B53"/>
    <w:rsid w:val="005017E7"/>
    <w:rsid w:val="00507C26"/>
    <w:rsid w:val="005111E8"/>
    <w:rsid w:val="00573032"/>
    <w:rsid w:val="005802B5"/>
    <w:rsid w:val="005A02AD"/>
    <w:rsid w:val="005A3DFD"/>
    <w:rsid w:val="005E1C73"/>
    <w:rsid w:val="006005DD"/>
    <w:rsid w:val="00601A44"/>
    <w:rsid w:val="0060732C"/>
    <w:rsid w:val="0062702D"/>
    <w:rsid w:val="00636DF2"/>
    <w:rsid w:val="006475AD"/>
    <w:rsid w:val="00680B1E"/>
    <w:rsid w:val="00686DE5"/>
    <w:rsid w:val="0069684B"/>
    <w:rsid w:val="006A40D7"/>
    <w:rsid w:val="006B13AC"/>
    <w:rsid w:val="006D7C65"/>
    <w:rsid w:val="006E7304"/>
    <w:rsid w:val="006F1C6B"/>
    <w:rsid w:val="00716CE7"/>
    <w:rsid w:val="00727C3B"/>
    <w:rsid w:val="00735506"/>
    <w:rsid w:val="00741B56"/>
    <w:rsid w:val="007769BE"/>
    <w:rsid w:val="007810DC"/>
    <w:rsid w:val="00792CF3"/>
    <w:rsid w:val="007B6B20"/>
    <w:rsid w:val="007C6790"/>
    <w:rsid w:val="007D0A5D"/>
    <w:rsid w:val="007F586D"/>
    <w:rsid w:val="00800555"/>
    <w:rsid w:val="00802203"/>
    <w:rsid w:val="00807CEE"/>
    <w:rsid w:val="00851732"/>
    <w:rsid w:val="008579A8"/>
    <w:rsid w:val="0086369A"/>
    <w:rsid w:val="0087471E"/>
    <w:rsid w:val="008A54C9"/>
    <w:rsid w:val="008A78E0"/>
    <w:rsid w:val="008A7FE4"/>
    <w:rsid w:val="008B279C"/>
    <w:rsid w:val="008C08AD"/>
    <w:rsid w:val="008D1357"/>
    <w:rsid w:val="008D4A65"/>
    <w:rsid w:val="008D7BEE"/>
    <w:rsid w:val="00900899"/>
    <w:rsid w:val="00923072"/>
    <w:rsid w:val="00930EA1"/>
    <w:rsid w:val="0093187E"/>
    <w:rsid w:val="00934D7C"/>
    <w:rsid w:val="009463AA"/>
    <w:rsid w:val="00960141"/>
    <w:rsid w:val="00966719"/>
    <w:rsid w:val="00995CDC"/>
    <w:rsid w:val="009A1225"/>
    <w:rsid w:val="009A5AB0"/>
    <w:rsid w:val="009B4E91"/>
    <w:rsid w:val="009D7E9B"/>
    <w:rsid w:val="009E753E"/>
    <w:rsid w:val="009E7AC3"/>
    <w:rsid w:val="009F5414"/>
    <w:rsid w:val="00A16F88"/>
    <w:rsid w:val="00A3163C"/>
    <w:rsid w:val="00A545CD"/>
    <w:rsid w:val="00A54ED3"/>
    <w:rsid w:val="00A578DA"/>
    <w:rsid w:val="00A84FAA"/>
    <w:rsid w:val="00A84FE8"/>
    <w:rsid w:val="00A87F39"/>
    <w:rsid w:val="00A9415B"/>
    <w:rsid w:val="00AA2EB4"/>
    <w:rsid w:val="00AE555B"/>
    <w:rsid w:val="00AE7126"/>
    <w:rsid w:val="00B1023D"/>
    <w:rsid w:val="00B16E80"/>
    <w:rsid w:val="00B20E6B"/>
    <w:rsid w:val="00B70EAC"/>
    <w:rsid w:val="00B83077"/>
    <w:rsid w:val="00B873E9"/>
    <w:rsid w:val="00B922C1"/>
    <w:rsid w:val="00BB3282"/>
    <w:rsid w:val="00BC0581"/>
    <w:rsid w:val="00BC0ACF"/>
    <w:rsid w:val="00BC17B9"/>
    <w:rsid w:val="00C13A4B"/>
    <w:rsid w:val="00C25124"/>
    <w:rsid w:val="00C30F25"/>
    <w:rsid w:val="00C358B5"/>
    <w:rsid w:val="00C45821"/>
    <w:rsid w:val="00C65CBB"/>
    <w:rsid w:val="00C8295A"/>
    <w:rsid w:val="00C831FC"/>
    <w:rsid w:val="00C856E1"/>
    <w:rsid w:val="00CC4451"/>
    <w:rsid w:val="00CD2FEB"/>
    <w:rsid w:val="00CE5998"/>
    <w:rsid w:val="00D029A3"/>
    <w:rsid w:val="00D14184"/>
    <w:rsid w:val="00D273CC"/>
    <w:rsid w:val="00D30B71"/>
    <w:rsid w:val="00D3133D"/>
    <w:rsid w:val="00D40DD3"/>
    <w:rsid w:val="00D466A0"/>
    <w:rsid w:val="00D61F2F"/>
    <w:rsid w:val="00D62673"/>
    <w:rsid w:val="00D653B2"/>
    <w:rsid w:val="00D70121"/>
    <w:rsid w:val="00D810BC"/>
    <w:rsid w:val="00D94C8C"/>
    <w:rsid w:val="00D97FDB"/>
    <w:rsid w:val="00DA1F37"/>
    <w:rsid w:val="00DB43FC"/>
    <w:rsid w:val="00DB7C0B"/>
    <w:rsid w:val="00DD26C4"/>
    <w:rsid w:val="00E07D8F"/>
    <w:rsid w:val="00E11C4A"/>
    <w:rsid w:val="00E15DCF"/>
    <w:rsid w:val="00E1619C"/>
    <w:rsid w:val="00E21197"/>
    <w:rsid w:val="00E22E6C"/>
    <w:rsid w:val="00E26EA9"/>
    <w:rsid w:val="00E364C7"/>
    <w:rsid w:val="00E4202A"/>
    <w:rsid w:val="00E44C34"/>
    <w:rsid w:val="00E57DC3"/>
    <w:rsid w:val="00E61046"/>
    <w:rsid w:val="00E71A37"/>
    <w:rsid w:val="00E8753A"/>
    <w:rsid w:val="00E92708"/>
    <w:rsid w:val="00E96B9B"/>
    <w:rsid w:val="00EA1D79"/>
    <w:rsid w:val="00EA308F"/>
    <w:rsid w:val="00EC3C39"/>
    <w:rsid w:val="00EC51A9"/>
    <w:rsid w:val="00EE6DCC"/>
    <w:rsid w:val="00EE7E9C"/>
    <w:rsid w:val="00F3387B"/>
    <w:rsid w:val="00F4435F"/>
    <w:rsid w:val="00F44735"/>
    <w:rsid w:val="00F55193"/>
    <w:rsid w:val="00F612A7"/>
    <w:rsid w:val="00F654FF"/>
    <w:rsid w:val="00F67833"/>
    <w:rsid w:val="00F7177F"/>
    <w:rsid w:val="00FB3620"/>
    <w:rsid w:val="00FB73C0"/>
    <w:rsid w:val="00FE0FB3"/>
    <w:rsid w:val="00FF0A00"/>
    <w:rsid w:val="29C41EE0"/>
    <w:rsid w:val="42B84877"/>
    <w:rsid w:val="7CF0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paragraph" w:customStyle="1" w:styleId="8">
    <w:name w:val="样式"/>
    <w:qFormat/>
    <w:uiPriority w:val="0"/>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67277-17F1-4308-B109-8B1AC165B836}">
  <ds:schemaRefs/>
</ds:datastoreItem>
</file>

<file path=docProps/app.xml><?xml version="1.0" encoding="utf-8"?>
<Properties xmlns="http://schemas.openxmlformats.org/officeDocument/2006/extended-properties" xmlns:vt="http://schemas.openxmlformats.org/officeDocument/2006/docPropsVTypes">
  <Template>A4模板</Template>
  <Company>CHINA</Company>
  <Pages>1</Pages>
  <Words>661</Words>
  <Characters>3770</Characters>
  <Lines>31</Lines>
  <Paragraphs>8</Paragraphs>
  <TotalTime>149</TotalTime>
  <ScaleCrop>false</ScaleCrop>
  <LinksUpToDate>false</LinksUpToDate>
  <CharactersWithSpaces>4423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2020-06-29T01:27:00Z</dcterms:created>
  <dc:creator>文印2</dc:creator>
  <cp:lastModifiedBy>哈尼蜜豆～杨洁</cp:lastModifiedBy>
  <cp:lastPrinted>2020-10-18T02:07:00Z</cp:lastPrinted>
  <dcterms:modified xsi:type="dcterms:W3CDTF">2020-11-26T02:34:35Z</dcterms:modified>
  <dc:title>中华人民共和国</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