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7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06F5D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国务院关于进一步健全特困人员救助供养制度的意见</w:t>
      </w:r>
    </w:p>
    <w:bookmarkEnd w:id="0"/>
    <w:p w14:paraId="0E980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国发〔2016〕14号</w:t>
      </w:r>
    </w:p>
    <w:p w14:paraId="61CA4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各省、自治区、直辖市人民政府，国务院各部委、各直属机构：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一、总体要求和基本原则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（一）总体要求。</w:t>
      </w:r>
      <w:r>
        <w:rPr>
          <w:rFonts w:hint="eastAsia" w:asciiTheme="minorEastAsia" w:hAnsiTheme="minorEastAsia" w:eastAsiaTheme="minorEastAsia" w:cstheme="minorEastAsia"/>
          <w:sz w:val="24"/>
          <w:szCs w:val="24"/>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（二）基本原则。坚持托底供养。强化政府托底保障职责，为城乡特困人员提供基本生活、照料服务、疾病治疗和殡葬服务等方面保障，做到应救尽救、应养尽养。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坚持属地管理。县级以上地方人民政府统筹做好本行政区域内特困人员救助供养工作，分级管理，落实责任，强化管理服务和资金保障，为特困人员提供规范、适度的救助供养服务。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坚持城乡统筹。健全城乡特困人员救助供养工作管理体制，在政策目标、资金筹集、对象范围、供养标准、经办服务等方面实现城乡统筹，确保城乡特困人员都能获得救助供养服务。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坚持适度保障。立足经济社会发展水平，科学合理制定救助供养标准，加强与其他社会保障制度衔接，实现特困人员救助供养制度保基本、全覆盖、可持续。</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坚持社会参与。鼓励、引导、支持社会力量通过承接政府购买服务、慈善捐赠以及提供志愿服务等方式，为特困人员提供服务和帮扶，形成全社会关心、支持、参与特困人员救助供养工作的良好氛围。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二、制度内容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（一）对象范围。　　城乡老年人、残疾人以及未满16周岁的未成年人，同时具备以下条件的，应当依法纳入特困人员救助供养范围：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无劳动能力、无生活来源、无法定赡养抚养扶养义务人或者其法定义务人无履行义务能力。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具体认定办法由民政部负责制定。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办理程序。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终止程序。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（三）救助供养内容。　　特困人员救助供养主要包括以下内容：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提供基本生活条件。包括供给粮油、副食品、生活用燃料、服装、被褥等日常生活用品和零用钱。可以通过实物或者现金的方式予以保障。</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对生活不能自理的给予照料。包括日常生活、住院期间的必要照料等基本服务。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提供疾病治疗。全额资助参加城乡居民基本医疗保险的个人缴费部分。医疗费用按照基本医疗保险、大病保险和医疗救助等医疗保障制度规定支付后仍有不足的，由救助供养经费予以支持。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办理丧葬事宜。特困人员死亡后的丧葬事宜，集中供养的由供养服务机构办理，分散供养的由乡镇人民政府（街道办事处）委托村（居）民委员会或者其亲属办理。丧葬费用从救助供养经费中支出。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（四）救助供养标准。　　特困人员救助供养标准包括基本生活标准和照料护理标准。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基本生活标准应当满足特困人员基本生活所需。照料护理标准应当根据特困人员生活自理能力和服务需求分类制定，体现差异性。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（五）救助供养形式。　　特困人员救助供养形式分为在家分散供养和在当地的供养服务机构集中供养。具备生活自理能力的，鼓励其在家分散供养；完全或者部分丧失生活自理能力的，优先为其提供集中供养服务。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集中供养。对需要集中供养的特困人员，由县级人民政府民政部门按照便于管理的原则，就近安排到相应的供养服务机构；未满16周岁的，安置到儿童福利机构。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供养服务机构管理。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三、保障措施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（一）加强组织领导。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（二）做好制度衔接。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（三）强化资金保障。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（四）加强监督管理。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（五）鼓励社会参与。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（六）加强政策宣传。　　各地区、各有关部门要采用群众喜闻乐见的形式，大力宣传特困人员救助供养政策，不断提高社会知晓度，积极营造全社会关心关爱特困人员的良好氛围。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民政部、财政部要加强对本意见执行情况的监督检查，重大情况及时向国务院报告。国务院将适时组织专项督查。</w:t>
      </w:r>
    </w:p>
    <w:p w14:paraId="00626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107A6B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国务院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2016年2月10日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（此件公开发布）</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52C2095C"/>
    <w:rsid w:val="601A0B24"/>
    <w:rsid w:val="61B222D1"/>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100DAC47A05A4B4D9FDA2661D168B817_13</vt:lpwstr>
  </property>
</Properties>
</file>