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黑体" w:hAnsi="黑体" w:eastAsia="黑体" w:cs="黑体"/>
          <w:sz w:val="84"/>
          <w:szCs w:val="84"/>
        </w:rPr>
      </w:pPr>
      <w:r>
        <w:rPr>
          <w:rFonts w:hint="eastAsia" w:ascii="黑体" w:hAnsi="黑体" w:eastAsia="黑体" w:cs="黑体"/>
          <w:sz w:val="84"/>
          <w:szCs w:val="84"/>
        </w:rPr>
        <w:t xml:space="preserve">      </w:t>
      </w:r>
      <w:r>
        <w:rPr>
          <w:rFonts w:hint="eastAsia" w:ascii="黑体" w:hAnsi="黑体" w:eastAsia="黑体" w:cs="黑体"/>
          <w:sz w:val="84"/>
          <w:szCs w:val="84"/>
          <w:lang w:val="en-US" w:eastAsia="zh-CN"/>
        </w:rPr>
        <w:t xml:space="preserve">     </w:t>
      </w:r>
      <w:r>
        <w:rPr>
          <w:rFonts w:hint="eastAsia" w:ascii="黑体" w:hAnsi="黑体" w:eastAsia="黑体" w:cs="黑体"/>
          <w:sz w:val="84"/>
          <w:szCs w:val="84"/>
        </w:rPr>
        <w:t xml:space="preserve"> </w:t>
      </w:r>
    </w:p>
    <w:p>
      <w:pPr>
        <w:rPr>
          <w:rFonts w:ascii="黑体" w:hAnsi="黑体" w:eastAsia="黑体" w:cs="黑体"/>
          <w:sz w:val="84"/>
          <w:szCs w:val="84"/>
        </w:rPr>
      </w:pPr>
    </w:p>
    <w:p>
      <w:pPr>
        <w:rPr>
          <w:rFonts w:hint="default" w:ascii="黑体" w:hAnsi="黑体" w:eastAsia="黑体" w:cs="黑体"/>
          <w:sz w:val="84"/>
          <w:szCs w:val="84"/>
          <w:lang w:val="en-US" w:eastAsia="zh-CN"/>
        </w:rPr>
      </w:pPr>
      <w:r>
        <w:rPr>
          <w:rFonts w:hint="eastAsia" w:ascii="黑体" w:hAnsi="黑体" w:eastAsia="黑体" w:cs="黑体"/>
          <w:sz w:val="84"/>
          <w:szCs w:val="84"/>
          <w:lang w:val="en-US" w:eastAsia="zh-CN"/>
        </w:rPr>
        <w:t xml:space="preserve">             </w:t>
      </w:r>
      <w:bookmarkStart w:id="0" w:name="_GoBack"/>
      <w:bookmarkEnd w:id="0"/>
    </w:p>
    <w:p>
      <w:pPr>
        <w:jc w:val="center"/>
        <w:rPr>
          <w:rFonts w:ascii="黑体" w:hAnsi="黑体" w:eastAsia="黑体" w:cs="黑体"/>
          <w:sz w:val="72"/>
          <w:szCs w:val="72"/>
        </w:rPr>
      </w:pPr>
      <w:r>
        <w:rPr>
          <w:rFonts w:hint="eastAsia" w:ascii="黑体" w:hAnsi="黑体" w:eastAsia="黑体" w:cs="黑体"/>
          <w:sz w:val="72"/>
          <w:szCs w:val="72"/>
        </w:rPr>
        <w:t>鄢陵县教育体育局</w:t>
      </w:r>
    </w:p>
    <w:p>
      <w:pPr>
        <w:jc w:val="center"/>
        <w:rPr>
          <w:rFonts w:ascii="黑体" w:hAnsi="黑体" w:eastAsia="黑体" w:cs="黑体"/>
          <w:sz w:val="72"/>
          <w:szCs w:val="72"/>
        </w:rPr>
      </w:pPr>
      <w:r>
        <w:rPr>
          <w:rFonts w:hint="eastAsia" w:ascii="黑体" w:hAnsi="黑体" w:eastAsia="黑体" w:cs="黑体"/>
          <w:sz w:val="72"/>
          <w:szCs w:val="72"/>
        </w:rPr>
        <w:t>2022年度部门预算公开</w:t>
      </w:r>
    </w:p>
    <w:p>
      <w:pPr>
        <w:rPr>
          <w:rFonts w:ascii="黑体" w:hAnsi="黑体" w:eastAsia="黑体" w:cs="黑体"/>
          <w:sz w:val="84"/>
          <w:szCs w:val="84"/>
        </w:rPr>
      </w:pPr>
    </w:p>
    <w:p>
      <w:pPr>
        <w:rPr>
          <w:rFonts w:ascii="黑体" w:hAnsi="黑体" w:eastAsia="黑体" w:cs="黑体"/>
          <w:sz w:val="84"/>
          <w:szCs w:val="84"/>
        </w:rPr>
      </w:pPr>
    </w:p>
    <w:p>
      <w:pPr>
        <w:rPr>
          <w:rFonts w:ascii="黑体" w:hAnsi="黑体" w:eastAsia="黑体" w:cs="黑体"/>
          <w:sz w:val="84"/>
          <w:szCs w:val="84"/>
        </w:rPr>
      </w:pPr>
    </w:p>
    <w:p>
      <w:pPr>
        <w:jc w:val="center"/>
        <w:rPr>
          <w:rFonts w:ascii="黑体" w:hAnsi="黑体" w:eastAsia="黑体" w:cs="黑体"/>
          <w:sz w:val="84"/>
          <w:szCs w:val="84"/>
        </w:rPr>
      </w:pPr>
      <w:r>
        <w:rPr>
          <w:rFonts w:hint="eastAsia" w:ascii="黑体" w:hAnsi="黑体" w:eastAsia="黑体" w:cs="黑体"/>
          <w:sz w:val="44"/>
          <w:szCs w:val="44"/>
        </w:rPr>
        <w:t>2022年5月</w:t>
      </w:r>
    </w:p>
    <w:p>
      <w:pPr>
        <w:rPr>
          <w:rFonts w:ascii="黑体" w:hAnsi="黑体" w:eastAsia="黑体" w:cs="黑体"/>
          <w:sz w:val="84"/>
          <w:szCs w:val="84"/>
        </w:rPr>
      </w:pPr>
    </w:p>
    <w:p>
      <w:pPr>
        <w:rPr>
          <w:rFonts w:ascii="黑体" w:hAnsi="黑体" w:eastAsia="黑体" w:cs="黑体"/>
          <w:sz w:val="84"/>
          <w:szCs w:val="84"/>
        </w:rPr>
      </w:pPr>
    </w:p>
    <w:p>
      <w:pPr>
        <w:rPr>
          <w:rFonts w:ascii="黑体" w:hAnsi="黑体" w:eastAsia="黑体" w:cs="黑体"/>
          <w:sz w:val="84"/>
          <w:szCs w:val="84"/>
        </w:rPr>
      </w:pPr>
    </w:p>
    <w:p>
      <w:pPr>
        <w:jc w:val="center"/>
        <w:rPr>
          <w:rFonts w:ascii="黑体" w:hAnsi="黑体" w:eastAsia="黑体" w:cs="黑体"/>
          <w:sz w:val="44"/>
          <w:szCs w:val="44"/>
        </w:rPr>
      </w:pPr>
      <w:r>
        <w:rPr>
          <w:rFonts w:hint="eastAsia" w:ascii="黑体" w:hAnsi="黑体" w:eastAsia="黑体" w:cs="黑体"/>
          <w:sz w:val="44"/>
          <w:szCs w:val="44"/>
        </w:rPr>
        <w:t>目   录</w:t>
      </w:r>
    </w:p>
    <w:p>
      <w:pPr>
        <w:jc w:val="center"/>
        <w:rPr>
          <w:rFonts w:ascii="黑体" w:hAnsi="黑体" w:eastAsia="黑体" w:cs="黑体"/>
          <w:sz w:val="44"/>
          <w:szCs w:val="44"/>
        </w:rPr>
      </w:pPr>
    </w:p>
    <w:p>
      <w:pPr>
        <w:numPr>
          <w:ilvl w:val="0"/>
          <w:numId w:val="1"/>
        </w:numPr>
        <w:rPr>
          <w:rFonts w:ascii="黑体" w:hAnsi="黑体" w:eastAsia="黑体" w:cs="黑体"/>
          <w:sz w:val="32"/>
          <w:szCs w:val="32"/>
        </w:rPr>
      </w:pPr>
      <w:r>
        <w:rPr>
          <w:rFonts w:hint="eastAsia" w:ascii="黑体" w:hAnsi="黑体" w:eastAsia="黑体" w:cs="黑体"/>
          <w:sz w:val="32"/>
          <w:szCs w:val="32"/>
        </w:rPr>
        <w:t xml:space="preserve">  部门（单位）基本情况</w:t>
      </w:r>
    </w:p>
    <w:p>
      <w:pPr>
        <w:rPr>
          <w:rFonts w:ascii="仿宋" w:hAnsi="仿宋" w:eastAsia="仿宋" w:cs="仿宋"/>
          <w:sz w:val="32"/>
          <w:szCs w:val="32"/>
        </w:rPr>
      </w:pPr>
      <w:r>
        <w:rPr>
          <w:rFonts w:hint="eastAsia" w:ascii="黑体" w:hAnsi="黑体" w:eastAsia="黑体" w:cs="黑体"/>
          <w:sz w:val="32"/>
          <w:szCs w:val="32"/>
        </w:rPr>
        <w:t xml:space="preserve">   </w:t>
      </w:r>
      <w:r>
        <w:rPr>
          <w:rFonts w:hint="eastAsia" w:ascii="仿宋" w:hAnsi="仿宋" w:eastAsia="仿宋" w:cs="仿宋"/>
          <w:sz w:val="32"/>
          <w:szCs w:val="32"/>
        </w:rPr>
        <w:t xml:space="preserve"> 一、部门（单位）预算构成</w:t>
      </w:r>
    </w:p>
    <w:p>
      <w:pPr>
        <w:ind w:firstLine="640" w:firstLineChars="200"/>
        <w:rPr>
          <w:rFonts w:ascii="仿宋" w:hAnsi="仿宋" w:eastAsia="仿宋" w:cs="仿宋"/>
          <w:sz w:val="32"/>
          <w:szCs w:val="32"/>
        </w:rPr>
      </w:pPr>
      <w:r>
        <w:rPr>
          <w:rFonts w:hint="eastAsia" w:ascii="仿宋" w:hAnsi="仿宋" w:eastAsia="仿宋" w:cs="仿宋"/>
          <w:sz w:val="32"/>
          <w:szCs w:val="32"/>
        </w:rPr>
        <w:t>二、主要职责</w:t>
      </w:r>
    </w:p>
    <w:p>
      <w:pPr>
        <w:ind w:firstLine="640" w:firstLineChars="200"/>
        <w:rPr>
          <w:rFonts w:ascii="仿宋" w:hAnsi="仿宋" w:eastAsia="仿宋" w:cs="仿宋"/>
          <w:sz w:val="32"/>
          <w:szCs w:val="32"/>
        </w:rPr>
      </w:pPr>
      <w:r>
        <w:rPr>
          <w:rFonts w:hint="eastAsia" w:ascii="仿宋" w:hAnsi="仿宋" w:eastAsia="仿宋" w:cs="仿宋"/>
          <w:sz w:val="32"/>
          <w:szCs w:val="32"/>
        </w:rPr>
        <w:t>三、人员构成情况</w:t>
      </w:r>
    </w:p>
    <w:p>
      <w:pPr>
        <w:ind w:firstLine="640" w:firstLineChars="200"/>
        <w:rPr>
          <w:rFonts w:ascii="仿宋" w:hAnsi="仿宋" w:eastAsia="仿宋" w:cs="仿宋"/>
          <w:sz w:val="32"/>
          <w:szCs w:val="32"/>
        </w:rPr>
      </w:pPr>
      <w:r>
        <w:rPr>
          <w:rFonts w:hint="eastAsia" w:ascii="仿宋" w:hAnsi="仿宋" w:eastAsia="仿宋" w:cs="仿宋"/>
          <w:sz w:val="32"/>
          <w:szCs w:val="32"/>
        </w:rPr>
        <w:t>四、车辆构成情况</w:t>
      </w:r>
    </w:p>
    <w:p>
      <w:pPr>
        <w:rPr>
          <w:rFonts w:ascii="黑体" w:hAnsi="黑体" w:eastAsia="黑体" w:cs="黑体"/>
          <w:sz w:val="32"/>
          <w:szCs w:val="32"/>
        </w:rPr>
      </w:pPr>
      <w:r>
        <w:rPr>
          <w:rFonts w:hint="eastAsia" w:ascii="黑体" w:hAnsi="黑体" w:eastAsia="黑体" w:cs="黑体"/>
          <w:sz w:val="32"/>
          <w:szCs w:val="32"/>
        </w:rPr>
        <w:t>第二部分   2022年部门（单位）预算公开情况说明</w:t>
      </w:r>
    </w:p>
    <w:p>
      <w:pPr>
        <w:ind w:firstLine="640" w:firstLineChars="200"/>
        <w:rPr>
          <w:rFonts w:ascii="仿宋" w:hAnsi="仿宋" w:eastAsia="仿宋" w:cs="仿宋"/>
          <w:sz w:val="32"/>
          <w:szCs w:val="32"/>
        </w:rPr>
      </w:pPr>
      <w:r>
        <w:rPr>
          <w:rFonts w:hint="eastAsia" w:ascii="仿宋" w:hAnsi="仿宋" w:eastAsia="仿宋" w:cs="仿宋"/>
          <w:sz w:val="32"/>
          <w:szCs w:val="32"/>
        </w:rPr>
        <w:t>一、收入支出预算总体情况说明</w:t>
      </w:r>
    </w:p>
    <w:p>
      <w:pPr>
        <w:ind w:firstLine="640" w:firstLineChars="200"/>
        <w:rPr>
          <w:rFonts w:ascii="仿宋" w:hAnsi="仿宋" w:eastAsia="仿宋" w:cs="仿宋"/>
          <w:sz w:val="32"/>
          <w:szCs w:val="32"/>
        </w:rPr>
      </w:pPr>
      <w:r>
        <w:rPr>
          <w:rFonts w:hint="eastAsia" w:ascii="仿宋" w:hAnsi="仿宋" w:eastAsia="仿宋" w:cs="仿宋"/>
          <w:sz w:val="32"/>
          <w:szCs w:val="32"/>
        </w:rPr>
        <w:t>二、收入预算情况说明</w:t>
      </w:r>
    </w:p>
    <w:p>
      <w:pPr>
        <w:ind w:firstLine="640" w:firstLineChars="200"/>
        <w:rPr>
          <w:rFonts w:ascii="仿宋" w:hAnsi="仿宋" w:eastAsia="仿宋" w:cs="仿宋"/>
          <w:sz w:val="32"/>
          <w:szCs w:val="32"/>
        </w:rPr>
      </w:pPr>
      <w:r>
        <w:rPr>
          <w:rFonts w:hint="eastAsia" w:ascii="仿宋" w:hAnsi="仿宋" w:eastAsia="仿宋" w:cs="仿宋"/>
          <w:sz w:val="32"/>
          <w:szCs w:val="32"/>
        </w:rPr>
        <w:t>三、支出预算情况说明</w:t>
      </w:r>
    </w:p>
    <w:p>
      <w:pPr>
        <w:ind w:firstLine="640" w:firstLineChars="200"/>
        <w:rPr>
          <w:rFonts w:ascii="仿宋" w:hAnsi="仿宋" w:eastAsia="仿宋" w:cs="仿宋"/>
          <w:sz w:val="32"/>
          <w:szCs w:val="32"/>
        </w:rPr>
      </w:pPr>
      <w:r>
        <w:rPr>
          <w:rFonts w:hint="eastAsia" w:ascii="仿宋" w:hAnsi="仿宋" w:eastAsia="仿宋" w:cs="仿宋"/>
          <w:sz w:val="32"/>
          <w:szCs w:val="32"/>
        </w:rPr>
        <w:t>四、“三公”经费预算增减变化情况说明</w:t>
      </w:r>
    </w:p>
    <w:p>
      <w:pPr>
        <w:ind w:firstLine="640" w:firstLineChars="200"/>
        <w:rPr>
          <w:rFonts w:ascii="仿宋" w:hAnsi="仿宋" w:eastAsia="仿宋" w:cs="仿宋"/>
          <w:sz w:val="32"/>
          <w:szCs w:val="32"/>
        </w:rPr>
      </w:pPr>
      <w:r>
        <w:rPr>
          <w:rFonts w:hint="eastAsia" w:ascii="仿宋" w:hAnsi="仿宋" w:eastAsia="仿宋" w:cs="仿宋"/>
          <w:sz w:val="32"/>
          <w:szCs w:val="32"/>
        </w:rPr>
        <w:t>五、其他重要事项情况说明</w:t>
      </w:r>
    </w:p>
    <w:p>
      <w:pPr>
        <w:rPr>
          <w:rFonts w:ascii="黑体" w:hAnsi="黑体" w:eastAsia="黑体" w:cs="黑体"/>
          <w:sz w:val="32"/>
          <w:szCs w:val="32"/>
        </w:rPr>
      </w:pPr>
      <w:r>
        <w:rPr>
          <w:rFonts w:hint="eastAsia" w:ascii="黑体" w:hAnsi="黑体" w:eastAsia="黑体" w:cs="黑体"/>
          <w:sz w:val="32"/>
          <w:szCs w:val="32"/>
        </w:rPr>
        <w:t>第三部分   名词解释</w:t>
      </w:r>
    </w:p>
    <w:p>
      <w:pPr>
        <w:rPr>
          <w:rFonts w:ascii="黑体" w:hAnsi="黑体" w:eastAsia="黑体" w:cs="黑体"/>
          <w:sz w:val="32"/>
          <w:szCs w:val="32"/>
        </w:rPr>
      </w:pPr>
      <w:r>
        <w:rPr>
          <w:rFonts w:hint="eastAsia" w:ascii="黑体" w:hAnsi="黑体" w:eastAsia="黑体" w:cs="黑体"/>
          <w:sz w:val="32"/>
          <w:szCs w:val="32"/>
        </w:rPr>
        <w:t>第四部分   附表</w:t>
      </w:r>
    </w:p>
    <w:p>
      <w:pPr>
        <w:ind w:firstLine="640" w:firstLineChars="200"/>
        <w:rPr>
          <w:rFonts w:ascii="仿宋" w:hAnsi="仿宋" w:eastAsia="仿宋" w:cs="仿宋"/>
          <w:sz w:val="32"/>
          <w:szCs w:val="32"/>
        </w:rPr>
      </w:pPr>
      <w:r>
        <w:rPr>
          <w:rFonts w:hint="eastAsia" w:ascii="仿宋" w:hAnsi="仿宋" w:eastAsia="仿宋" w:cs="仿宋"/>
          <w:sz w:val="32"/>
          <w:szCs w:val="32"/>
        </w:rPr>
        <w:t>表1：2022年部门收支预算总表；</w:t>
      </w:r>
    </w:p>
    <w:p>
      <w:pPr>
        <w:ind w:firstLine="640" w:firstLineChars="200"/>
        <w:rPr>
          <w:rFonts w:ascii="仿宋" w:hAnsi="仿宋" w:eastAsia="仿宋" w:cs="仿宋"/>
          <w:sz w:val="32"/>
          <w:szCs w:val="32"/>
        </w:rPr>
      </w:pPr>
      <w:r>
        <w:rPr>
          <w:rFonts w:hint="eastAsia" w:ascii="仿宋" w:hAnsi="仿宋" w:eastAsia="仿宋" w:cs="仿宋"/>
          <w:sz w:val="32"/>
          <w:szCs w:val="32"/>
        </w:rPr>
        <w:t>表2：2022年部门收入预算表；</w:t>
      </w:r>
    </w:p>
    <w:p>
      <w:pPr>
        <w:ind w:firstLine="640" w:firstLineChars="200"/>
        <w:rPr>
          <w:rFonts w:ascii="仿宋" w:hAnsi="仿宋" w:eastAsia="仿宋" w:cs="仿宋"/>
          <w:sz w:val="32"/>
          <w:szCs w:val="32"/>
        </w:rPr>
      </w:pPr>
      <w:r>
        <w:rPr>
          <w:rFonts w:hint="eastAsia" w:ascii="仿宋" w:hAnsi="仿宋" w:eastAsia="仿宋" w:cs="仿宋"/>
          <w:sz w:val="32"/>
          <w:szCs w:val="32"/>
        </w:rPr>
        <w:t>表3：2022年部门支出预算表；</w:t>
      </w:r>
    </w:p>
    <w:p>
      <w:pPr>
        <w:ind w:firstLine="640" w:firstLineChars="200"/>
        <w:rPr>
          <w:rFonts w:ascii="仿宋" w:hAnsi="仿宋" w:eastAsia="仿宋" w:cs="仿宋"/>
          <w:sz w:val="32"/>
          <w:szCs w:val="32"/>
        </w:rPr>
      </w:pPr>
      <w:r>
        <w:rPr>
          <w:rFonts w:hint="eastAsia" w:ascii="仿宋" w:hAnsi="仿宋" w:eastAsia="仿宋" w:cs="仿宋"/>
          <w:sz w:val="32"/>
          <w:szCs w:val="32"/>
        </w:rPr>
        <w:t>表4：2022年财政拨款收支预算表；</w:t>
      </w:r>
    </w:p>
    <w:p>
      <w:pPr>
        <w:ind w:firstLine="640" w:firstLineChars="200"/>
        <w:rPr>
          <w:rFonts w:ascii="仿宋" w:hAnsi="仿宋" w:eastAsia="仿宋" w:cs="仿宋"/>
          <w:sz w:val="32"/>
          <w:szCs w:val="32"/>
        </w:rPr>
      </w:pPr>
      <w:r>
        <w:rPr>
          <w:rFonts w:hint="eastAsia" w:ascii="仿宋" w:hAnsi="仿宋" w:eastAsia="仿宋" w:cs="仿宋"/>
          <w:sz w:val="32"/>
          <w:szCs w:val="32"/>
        </w:rPr>
        <w:t>表5：2022年一般公共预算支出表；</w:t>
      </w:r>
    </w:p>
    <w:p>
      <w:pPr>
        <w:ind w:firstLine="640" w:firstLineChars="200"/>
        <w:rPr>
          <w:rFonts w:ascii="仿宋" w:hAnsi="仿宋" w:eastAsia="仿宋" w:cs="仿宋"/>
          <w:sz w:val="32"/>
          <w:szCs w:val="32"/>
        </w:rPr>
      </w:pPr>
      <w:r>
        <w:rPr>
          <w:rFonts w:hint="eastAsia" w:ascii="仿宋" w:hAnsi="仿宋" w:eastAsia="仿宋" w:cs="仿宋"/>
          <w:sz w:val="32"/>
          <w:szCs w:val="32"/>
        </w:rPr>
        <w:t>表6：2022年一般公共预算基本支出表；</w:t>
      </w:r>
    </w:p>
    <w:p>
      <w:pPr>
        <w:ind w:firstLine="640" w:firstLineChars="200"/>
        <w:rPr>
          <w:rFonts w:ascii="仿宋" w:hAnsi="仿宋" w:eastAsia="仿宋" w:cs="仿宋"/>
          <w:sz w:val="32"/>
          <w:szCs w:val="32"/>
        </w:rPr>
      </w:pPr>
      <w:r>
        <w:rPr>
          <w:rFonts w:hint="eastAsia" w:ascii="仿宋" w:hAnsi="仿宋" w:eastAsia="仿宋" w:cs="仿宋"/>
          <w:sz w:val="32"/>
          <w:szCs w:val="32"/>
        </w:rPr>
        <w:t>表7：2022年支出经济分类汇总表；</w:t>
      </w:r>
    </w:p>
    <w:p>
      <w:pPr>
        <w:ind w:firstLine="640" w:firstLineChars="200"/>
        <w:rPr>
          <w:rFonts w:ascii="仿宋" w:hAnsi="仿宋" w:eastAsia="仿宋" w:cs="仿宋"/>
          <w:sz w:val="32"/>
          <w:szCs w:val="32"/>
        </w:rPr>
      </w:pPr>
      <w:r>
        <w:rPr>
          <w:rFonts w:hint="eastAsia" w:ascii="仿宋" w:hAnsi="仿宋" w:eastAsia="仿宋" w:cs="仿宋"/>
          <w:sz w:val="32"/>
          <w:szCs w:val="32"/>
        </w:rPr>
        <w:t>表8：2022年“三公”经费预算表；</w:t>
      </w:r>
    </w:p>
    <w:p>
      <w:pPr>
        <w:ind w:firstLine="640" w:firstLineChars="200"/>
        <w:rPr>
          <w:rFonts w:ascii="仿宋" w:hAnsi="仿宋" w:eastAsia="仿宋" w:cs="仿宋"/>
          <w:sz w:val="32"/>
          <w:szCs w:val="32"/>
        </w:rPr>
      </w:pPr>
      <w:r>
        <w:rPr>
          <w:rFonts w:hint="eastAsia" w:ascii="仿宋" w:hAnsi="仿宋" w:eastAsia="仿宋" w:cs="仿宋"/>
          <w:sz w:val="32"/>
          <w:szCs w:val="32"/>
        </w:rPr>
        <w:t>表9：2022年政府性基金预算表；</w:t>
      </w:r>
    </w:p>
    <w:p>
      <w:pPr>
        <w:ind w:firstLine="640" w:firstLineChars="200"/>
        <w:rPr>
          <w:rFonts w:ascii="仿宋" w:hAnsi="仿宋" w:eastAsia="仿宋" w:cs="仿宋"/>
          <w:sz w:val="32"/>
          <w:szCs w:val="32"/>
        </w:rPr>
      </w:pPr>
      <w:r>
        <w:rPr>
          <w:rFonts w:hint="eastAsia" w:ascii="仿宋" w:hAnsi="仿宋" w:eastAsia="仿宋" w:cs="仿宋"/>
          <w:sz w:val="32"/>
          <w:szCs w:val="32"/>
        </w:rPr>
        <w:t>表10：2022年项目支出预算表</w:t>
      </w:r>
    </w:p>
    <w:p>
      <w:pPr>
        <w:ind w:firstLine="640" w:firstLineChars="200"/>
        <w:rPr>
          <w:rFonts w:ascii="仿宋" w:hAnsi="仿宋" w:eastAsia="仿宋" w:cs="仿宋"/>
          <w:sz w:val="32"/>
          <w:szCs w:val="32"/>
        </w:rPr>
      </w:pPr>
      <w:r>
        <w:rPr>
          <w:rFonts w:hint="eastAsia" w:ascii="仿宋" w:hAnsi="仿宋" w:eastAsia="仿宋" w:cs="仿宋"/>
          <w:sz w:val="32"/>
          <w:szCs w:val="32"/>
        </w:rPr>
        <w:t>表11：2022年本级部门(单位)整体绩效目标表</w:t>
      </w:r>
    </w:p>
    <w:p>
      <w:pPr>
        <w:ind w:firstLine="640" w:firstLineChars="200"/>
        <w:rPr>
          <w:rFonts w:ascii="仿宋" w:hAnsi="仿宋" w:eastAsia="仿宋" w:cs="仿宋"/>
          <w:sz w:val="32"/>
          <w:szCs w:val="32"/>
        </w:rPr>
      </w:pPr>
      <w:r>
        <w:rPr>
          <w:rFonts w:hint="eastAsia" w:ascii="仿宋" w:hAnsi="仿宋" w:eastAsia="仿宋" w:cs="仿宋"/>
          <w:sz w:val="32"/>
          <w:szCs w:val="32"/>
        </w:rPr>
        <w:t>表12：2022年度部门预算项目绩效目标表</w:t>
      </w:r>
    </w:p>
    <w:p>
      <w:pPr>
        <w:ind w:firstLine="640" w:firstLineChars="200"/>
        <w:rPr>
          <w:rFonts w:ascii="仿宋" w:hAnsi="仿宋" w:eastAsia="仿宋" w:cs="仿宋"/>
          <w:sz w:val="32"/>
          <w:szCs w:val="32"/>
        </w:rPr>
      </w:pPr>
    </w:p>
    <w:p>
      <w:pPr>
        <w:adjustRightInd w:val="0"/>
        <w:snapToGrid w:val="0"/>
        <w:spacing w:line="620" w:lineRule="exact"/>
        <w:ind w:firstLine="640" w:firstLineChars="200"/>
        <w:rPr>
          <w:rFonts w:eastAsia="仿宋_GB2312"/>
          <w:sz w:val="32"/>
          <w:szCs w:val="32"/>
        </w:rPr>
      </w:pPr>
    </w:p>
    <w:p>
      <w:pPr>
        <w:adjustRightInd w:val="0"/>
        <w:snapToGrid w:val="0"/>
        <w:spacing w:line="620" w:lineRule="exact"/>
        <w:ind w:firstLine="640" w:firstLineChars="200"/>
        <w:rPr>
          <w:rFonts w:eastAsia="仿宋_GB2312"/>
          <w:sz w:val="32"/>
          <w:szCs w:val="32"/>
        </w:rPr>
      </w:pPr>
    </w:p>
    <w:p>
      <w:pPr>
        <w:rPr>
          <w:rFonts w:ascii="黑体" w:hAnsi="黑体" w:eastAsia="黑体" w:cs="黑体"/>
          <w:sz w:val="44"/>
          <w:szCs w:val="44"/>
        </w:rPr>
      </w:pPr>
    </w:p>
    <w:p>
      <w:pPr>
        <w:rPr>
          <w:rFonts w:ascii="黑体" w:hAnsi="黑体" w:eastAsia="黑体" w:cs="黑体"/>
          <w:sz w:val="44"/>
          <w:szCs w:val="44"/>
        </w:rPr>
      </w:pPr>
    </w:p>
    <w:p>
      <w:pPr>
        <w:rPr>
          <w:rFonts w:ascii="黑体" w:hAnsi="黑体" w:eastAsia="黑体" w:cs="黑体"/>
          <w:sz w:val="44"/>
          <w:szCs w:val="44"/>
        </w:rPr>
      </w:pPr>
    </w:p>
    <w:p>
      <w:pPr>
        <w:rPr>
          <w:rFonts w:ascii="黑体" w:hAnsi="黑体" w:eastAsia="黑体" w:cs="黑体"/>
          <w:sz w:val="44"/>
          <w:szCs w:val="44"/>
        </w:rPr>
      </w:pPr>
    </w:p>
    <w:p>
      <w:pPr>
        <w:rPr>
          <w:rFonts w:ascii="黑体" w:hAnsi="黑体" w:eastAsia="黑体" w:cs="黑体"/>
          <w:sz w:val="44"/>
          <w:szCs w:val="44"/>
        </w:rPr>
      </w:pPr>
    </w:p>
    <w:p>
      <w:pPr>
        <w:rPr>
          <w:rFonts w:ascii="黑体" w:hAnsi="黑体" w:eastAsia="黑体" w:cs="黑体"/>
          <w:sz w:val="44"/>
          <w:szCs w:val="44"/>
        </w:rPr>
      </w:pPr>
    </w:p>
    <w:p>
      <w:pPr>
        <w:rPr>
          <w:rFonts w:ascii="黑体" w:hAnsi="黑体" w:eastAsia="黑体" w:cs="黑体"/>
          <w:sz w:val="44"/>
          <w:szCs w:val="44"/>
        </w:rPr>
      </w:pPr>
    </w:p>
    <w:p>
      <w:pPr>
        <w:rPr>
          <w:rFonts w:ascii="黑体" w:hAnsi="黑体" w:eastAsia="黑体" w:cs="黑体"/>
          <w:sz w:val="44"/>
          <w:szCs w:val="44"/>
        </w:rPr>
      </w:pPr>
    </w:p>
    <w:p>
      <w:pPr>
        <w:rPr>
          <w:rFonts w:ascii="黑体" w:hAnsi="黑体" w:eastAsia="黑体" w:cs="黑体"/>
          <w:sz w:val="44"/>
          <w:szCs w:val="44"/>
        </w:rPr>
      </w:pPr>
    </w:p>
    <w:p>
      <w:pPr>
        <w:rPr>
          <w:rFonts w:ascii="黑体" w:hAnsi="黑体" w:eastAsia="黑体" w:cs="黑体"/>
          <w:sz w:val="44"/>
          <w:szCs w:val="44"/>
        </w:rPr>
      </w:pPr>
    </w:p>
    <w:p>
      <w:pPr>
        <w:rPr>
          <w:rFonts w:ascii="黑体" w:hAnsi="黑体" w:eastAsia="黑体" w:cs="黑体"/>
          <w:sz w:val="44"/>
          <w:szCs w:val="44"/>
        </w:rPr>
      </w:pPr>
    </w:p>
    <w:p>
      <w:pPr>
        <w:rPr>
          <w:rFonts w:ascii="黑体" w:hAnsi="黑体" w:eastAsia="黑体" w:cs="黑体"/>
          <w:sz w:val="44"/>
          <w:szCs w:val="44"/>
        </w:rPr>
      </w:pPr>
    </w:p>
    <w:p>
      <w:pPr>
        <w:rPr>
          <w:rFonts w:ascii="黑体" w:hAnsi="黑体" w:eastAsia="黑体" w:cs="黑体"/>
          <w:sz w:val="44"/>
          <w:szCs w:val="44"/>
        </w:rPr>
      </w:pPr>
    </w:p>
    <w:p>
      <w:pPr>
        <w:rPr>
          <w:rFonts w:ascii="黑体" w:hAnsi="黑体" w:eastAsia="黑体" w:cs="黑体"/>
          <w:sz w:val="44"/>
          <w:szCs w:val="44"/>
        </w:rPr>
      </w:pPr>
    </w:p>
    <w:p>
      <w:pPr>
        <w:rPr>
          <w:rFonts w:ascii="黑体" w:hAnsi="黑体" w:eastAsia="黑体" w:cs="黑体"/>
          <w:sz w:val="44"/>
          <w:szCs w:val="44"/>
        </w:rPr>
      </w:pPr>
    </w:p>
    <w:p>
      <w:pPr>
        <w:rPr>
          <w:rFonts w:ascii="黑体" w:hAnsi="黑体" w:eastAsia="黑体" w:cs="黑体"/>
          <w:sz w:val="44"/>
          <w:szCs w:val="44"/>
        </w:rPr>
      </w:pPr>
    </w:p>
    <w:p>
      <w:pPr>
        <w:rPr>
          <w:rFonts w:ascii="黑体" w:hAnsi="黑体" w:eastAsia="黑体" w:cs="黑体"/>
          <w:sz w:val="44"/>
          <w:szCs w:val="44"/>
        </w:rPr>
      </w:pPr>
    </w:p>
    <w:p>
      <w:pPr>
        <w:rPr>
          <w:rFonts w:ascii="黑体" w:hAnsi="黑体" w:eastAsia="黑体" w:cs="黑体"/>
          <w:sz w:val="44"/>
          <w:szCs w:val="44"/>
        </w:rPr>
      </w:pPr>
    </w:p>
    <w:p>
      <w:pPr>
        <w:rPr>
          <w:rFonts w:ascii="黑体" w:hAnsi="黑体" w:eastAsia="黑体" w:cs="黑体"/>
          <w:sz w:val="44"/>
          <w:szCs w:val="44"/>
        </w:rPr>
      </w:pPr>
    </w:p>
    <w:p>
      <w:pPr>
        <w:rPr>
          <w:rFonts w:ascii="黑体" w:hAnsi="黑体" w:eastAsia="黑体" w:cs="黑体"/>
          <w:sz w:val="44"/>
          <w:szCs w:val="44"/>
        </w:rPr>
      </w:pPr>
    </w:p>
    <w:p>
      <w:pPr>
        <w:rPr>
          <w:rFonts w:ascii="黑体" w:hAnsi="黑体" w:eastAsia="黑体" w:cs="黑体"/>
          <w:sz w:val="44"/>
          <w:szCs w:val="44"/>
        </w:rPr>
      </w:pPr>
    </w:p>
    <w:p>
      <w:pPr>
        <w:rPr>
          <w:rFonts w:ascii="黑体" w:hAnsi="黑体" w:eastAsia="黑体" w:cs="黑体"/>
          <w:sz w:val="44"/>
          <w:szCs w:val="44"/>
        </w:rPr>
      </w:pPr>
    </w:p>
    <w:p>
      <w:pPr>
        <w:rPr>
          <w:rFonts w:ascii="黑体" w:hAnsi="黑体" w:eastAsia="黑体" w:cs="黑体"/>
          <w:sz w:val="44"/>
          <w:szCs w:val="44"/>
        </w:rPr>
      </w:pPr>
    </w:p>
    <w:p>
      <w:pPr>
        <w:jc w:val="center"/>
        <w:rPr>
          <w:rFonts w:ascii="黑体" w:hAnsi="黑体" w:eastAsia="黑体" w:cs="黑体"/>
          <w:sz w:val="44"/>
          <w:szCs w:val="44"/>
        </w:rPr>
      </w:pPr>
      <w:r>
        <w:rPr>
          <w:rFonts w:hint="eastAsia" w:ascii="黑体" w:hAnsi="黑体" w:eastAsia="黑体" w:cs="黑体"/>
          <w:sz w:val="44"/>
          <w:szCs w:val="44"/>
        </w:rPr>
        <w:t>第一部分 ：  部门（单位）概况</w:t>
      </w:r>
    </w:p>
    <w:p>
      <w:pPr>
        <w:adjustRightInd w:val="0"/>
        <w:snapToGrid w:val="0"/>
        <w:spacing w:line="620" w:lineRule="exact"/>
        <w:ind w:firstLine="640" w:firstLineChars="200"/>
        <w:rPr>
          <w:rFonts w:eastAsia="仿宋_GB2312"/>
          <w:sz w:val="32"/>
          <w:szCs w:val="32"/>
        </w:rPr>
      </w:pPr>
    </w:p>
    <w:p>
      <w:pPr>
        <w:adjustRightInd w:val="0"/>
        <w:snapToGrid w:val="0"/>
        <w:spacing w:line="620" w:lineRule="exact"/>
        <w:ind w:firstLine="640" w:firstLineChars="200"/>
        <w:rPr>
          <w:rFonts w:eastAsia="仿宋_GB2312"/>
          <w:sz w:val="32"/>
          <w:szCs w:val="32"/>
        </w:rPr>
      </w:pPr>
    </w:p>
    <w:p>
      <w:pPr>
        <w:adjustRightInd w:val="0"/>
        <w:snapToGrid w:val="0"/>
        <w:spacing w:line="620" w:lineRule="exact"/>
        <w:ind w:firstLine="640" w:firstLineChars="200"/>
        <w:rPr>
          <w:rFonts w:eastAsia="仿宋_GB2312"/>
          <w:sz w:val="32"/>
          <w:szCs w:val="32"/>
        </w:rPr>
      </w:pPr>
    </w:p>
    <w:p>
      <w:pPr>
        <w:adjustRightInd w:val="0"/>
        <w:snapToGrid w:val="0"/>
        <w:spacing w:line="620" w:lineRule="exact"/>
        <w:ind w:firstLine="640" w:firstLineChars="200"/>
        <w:rPr>
          <w:rFonts w:eastAsia="仿宋_GB2312"/>
          <w:sz w:val="32"/>
          <w:szCs w:val="32"/>
        </w:rPr>
      </w:pPr>
    </w:p>
    <w:p>
      <w:pPr>
        <w:adjustRightInd w:val="0"/>
        <w:snapToGrid w:val="0"/>
        <w:spacing w:line="620" w:lineRule="exact"/>
        <w:ind w:firstLine="640" w:firstLineChars="200"/>
        <w:rPr>
          <w:rFonts w:eastAsia="仿宋_GB2312"/>
          <w:sz w:val="32"/>
          <w:szCs w:val="32"/>
        </w:rPr>
      </w:pPr>
    </w:p>
    <w:p>
      <w:pPr>
        <w:adjustRightInd w:val="0"/>
        <w:snapToGrid w:val="0"/>
        <w:spacing w:line="620" w:lineRule="exact"/>
        <w:ind w:firstLine="640" w:firstLineChars="200"/>
        <w:rPr>
          <w:rFonts w:eastAsia="仿宋_GB2312"/>
          <w:sz w:val="32"/>
          <w:szCs w:val="32"/>
        </w:rPr>
      </w:pPr>
    </w:p>
    <w:p>
      <w:pPr>
        <w:adjustRightInd w:val="0"/>
        <w:snapToGrid w:val="0"/>
        <w:spacing w:line="620" w:lineRule="exact"/>
        <w:ind w:firstLine="640" w:firstLineChars="200"/>
        <w:rPr>
          <w:rFonts w:eastAsia="仿宋_GB2312"/>
          <w:sz w:val="32"/>
          <w:szCs w:val="32"/>
        </w:rPr>
      </w:pPr>
    </w:p>
    <w:p>
      <w:pPr>
        <w:adjustRightInd w:val="0"/>
        <w:snapToGrid w:val="0"/>
        <w:spacing w:line="620" w:lineRule="exact"/>
        <w:ind w:firstLine="640" w:firstLineChars="200"/>
        <w:rPr>
          <w:rFonts w:eastAsia="仿宋_GB2312"/>
          <w:sz w:val="32"/>
          <w:szCs w:val="32"/>
        </w:rPr>
      </w:pPr>
    </w:p>
    <w:p>
      <w:pPr>
        <w:adjustRightInd w:val="0"/>
        <w:snapToGrid w:val="0"/>
        <w:spacing w:line="620" w:lineRule="exact"/>
        <w:ind w:firstLine="640" w:firstLineChars="200"/>
        <w:rPr>
          <w:rFonts w:eastAsia="仿宋_GB2312"/>
          <w:sz w:val="32"/>
          <w:szCs w:val="32"/>
        </w:rPr>
      </w:pPr>
    </w:p>
    <w:p>
      <w:pPr>
        <w:adjustRightInd w:val="0"/>
        <w:snapToGrid w:val="0"/>
        <w:spacing w:line="620" w:lineRule="exact"/>
        <w:ind w:firstLine="640" w:firstLineChars="200"/>
        <w:rPr>
          <w:rFonts w:eastAsia="仿宋_GB2312"/>
          <w:sz w:val="32"/>
          <w:szCs w:val="32"/>
        </w:rPr>
      </w:pPr>
    </w:p>
    <w:p>
      <w:pPr>
        <w:adjustRightInd w:val="0"/>
        <w:snapToGrid w:val="0"/>
        <w:spacing w:line="620" w:lineRule="exact"/>
        <w:ind w:firstLine="640" w:firstLineChars="200"/>
        <w:rPr>
          <w:rFonts w:eastAsia="仿宋_GB2312"/>
          <w:sz w:val="32"/>
          <w:szCs w:val="32"/>
        </w:rPr>
      </w:pPr>
    </w:p>
    <w:p>
      <w:pPr>
        <w:adjustRightInd w:val="0"/>
        <w:snapToGrid w:val="0"/>
        <w:spacing w:line="620" w:lineRule="exact"/>
        <w:ind w:firstLine="640" w:firstLineChars="200"/>
        <w:rPr>
          <w:rFonts w:eastAsia="仿宋_GB2312"/>
          <w:sz w:val="32"/>
          <w:szCs w:val="32"/>
        </w:rPr>
      </w:pPr>
    </w:p>
    <w:p>
      <w:pPr>
        <w:adjustRightInd w:val="0"/>
        <w:snapToGrid w:val="0"/>
        <w:spacing w:line="620" w:lineRule="exact"/>
        <w:ind w:firstLine="640" w:firstLineChars="200"/>
        <w:rPr>
          <w:rFonts w:eastAsia="仿宋_GB2312"/>
          <w:sz w:val="32"/>
          <w:szCs w:val="32"/>
        </w:rPr>
      </w:pPr>
    </w:p>
    <w:p>
      <w:pPr>
        <w:numPr>
          <w:ilvl w:val="0"/>
          <w:numId w:val="2"/>
        </w:numPr>
        <w:adjustRightInd w:val="0"/>
        <w:snapToGrid w:val="0"/>
        <w:spacing w:line="620" w:lineRule="exact"/>
        <w:ind w:firstLine="643" w:firstLineChars="200"/>
        <w:rPr>
          <w:rFonts w:ascii="黑体" w:hAnsi="黑体" w:eastAsia="黑体" w:cs="黑体"/>
          <w:b/>
          <w:bCs/>
          <w:sz w:val="32"/>
          <w:szCs w:val="32"/>
        </w:rPr>
      </w:pPr>
      <w:r>
        <w:rPr>
          <w:rFonts w:hint="eastAsia" w:ascii="黑体" w:hAnsi="黑体" w:eastAsia="黑体" w:cs="黑体"/>
          <w:b/>
          <w:bCs/>
          <w:sz w:val="32"/>
          <w:szCs w:val="32"/>
        </w:rPr>
        <w:t>部门（单位）构成</w:t>
      </w:r>
    </w:p>
    <w:p>
      <w:pPr>
        <w:numPr>
          <w:ilvl w:val="0"/>
          <w:numId w:val="3"/>
        </w:numPr>
        <w:adjustRightInd w:val="0"/>
        <w:snapToGrid w:val="0"/>
        <w:spacing w:line="62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内设机构：</w:t>
      </w:r>
      <w:r>
        <w:rPr>
          <w:rFonts w:hint="eastAsia" w:ascii="仿宋" w:hAnsi="仿宋" w:eastAsia="仿宋" w:cs="仿宋"/>
          <w:sz w:val="32"/>
          <w:szCs w:val="32"/>
        </w:rPr>
        <w:t>我单位内设14个科室，我单位内设14个科室，办公室、中共鄢陵县委教育工作领导小组秘书组综合股、人事股、发展规划股（政务服务股）、财务股、基础教育股、职业教育与成人教育股、教师教育股、体育卫生艺术教育股、教育督导办公室、安全管理股、招生考试股、组织工作股（思想政治股）、体育股。</w:t>
      </w:r>
    </w:p>
    <w:p>
      <w:pPr>
        <w:adjustRightInd w:val="0"/>
        <w:snapToGrid w:val="0"/>
        <w:spacing w:line="620" w:lineRule="exact"/>
        <w:ind w:firstLine="640" w:firstLineChars="200"/>
        <w:rPr>
          <w:rFonts w:ascii="仿宋" w:hAnsi="仿宋" w:eastAsia="仿宋" w:cs="仿宋"/>
          <w:sz w:val="32"/>
          <w:szCs w:val="32"/>
        </w:rPr>
      </w:pPr>
      <w:r>
        <w:rPr>
          <w:rFonts w:hint="eastAsia" w:ascii="仿宋_GB2312" w:hAnsi="仿宋_GB2312" w:eastAsia="仿宋_GB2312" w:cs="仿宋_GB2312"/>
          <w:sz w:val="32"/>
          <w:szCs w:val="32"/>
        </w:rPr>
        <w:t>（二）下属单位：</w:t>
      </w:r>
      <w:r>
        <w:rPr>
          <w:rFonts w:hint="eastAsia" w:ascii="仿宋" w:hAnsi="仿宋" w:eastAsia="仿宋" w:cs="仿宋"/>
          <w:sz w:val="32"/>
          <w:szCs w:val="32"/>
        </w:rPr>
        <w:t>鄢陵县业余体校、</w:t>
      </w:r>
      <w:r>
        <w:rPr>
          <w:rFonts w:hint="eastAsia" w:ascii="仿宋_GB2312" w:hAnsi="仿宋_GB2312" w:eastAsia="仿宋_GB2312" w:cs="仿宋_GB2312"/>
          <w:sz w:val="32"/>
          <w:szCs w:val="32"/>
        </w:rPr>
        <w:t>鄢陵县中小学普通教研室、鄢陵县学生资助管理中心、鄢陵县各乡各类学校374所</w:t>
      </w:r>
      <w:r>
        <w:rPr>
          <w:rFonts w:hint="eastAsia" w:ascii="仿宋" w:hAnsi="仿宋" w:eastAsia="仿宋" w:cs="仿宋"/>
          <w:sz w:val="32"/>
          <w:szCs w:val="32"/>
        </w:rPr>
        <w:t>。</w:t>
      </w:r>
    </w:p>
    <w:p>
      <w:pPr>
        <w:adjustRightInd w:val="0"/>
        <w:snapToGrid w:val="0"/>
        <w:spacing w:line="620" w:lineRule="exact"/>
        <w:ind w:firstLine="640" w:firstLineChars="200"/>
        <w:rPr>
          <w:rFonts w:ascii="仿宋" w:hAnsi="仿宋" w:eastAsia="仿宋" w:cs="仿宋"/>
          <w:sz w:val="32"/>
          <w:szCs w:val="32"/>
        </w:rPr>
      </w:pPr>
      <w:r>
        <w:rPr>
          <w:rFonts w:hint="eastAsia" w:ascii="仿宋" w:hAnsi="仿宋" w:eastAsia="仿宋" w:cs="仿宋"/>
          <w:sz w:val="32"/>
          <w:szCs w:val="32"/>
        </w:rPr>
        <w:t>（三）鄢陵县教育体育局2022年部门预算为本级预算。</w:t>
      </w:r>
    </w:p>
    <w:p>
      <w:pPr>
        <w:adjustRightInd w:val="0"/>
        <w:snapToGrid w:val="0"/>
        <w:spacing w:line="620" w:lineRule="exact"/>
        <w:ind w:firstLine="643" w:firstLineChars="200"/>
        <w:rPr>
          <w:rFonts w:ascii="黑体" w:hAnsi="黑体" w:eastAsia="黑体" w:cs="黑体"/>
          <w:b/>
          <w:bCs/>
          <w:sz w:val="32"/>
          <w:szCs w:val="32"/>
        </w:rPr>
      </w:pPr>
      <w:r>
        <w:rPr>
          <w:rFonts w:hint="eastAsia" w:ascii="黑体" w:hAnsi="黑体" w:eastAsia="黑体" w:cs="黑体"/>
          <w:b/>
          <w:bCs/>
          <w:sz w:val="32"/>
          <w:szCs w:val="32"/>
        </w:rPr>
        <w:t>二、主要职责</w:t>
      </w:r>
    </w:p>
    <w:p>
      <w:pPr>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鄢陵县教育体育局贯彻落实党中央关于教育体育工作的方针政策和省委、市委、县委决策部署，在履行职责过程中坚持和加强党对教育体育工作的集中统一领导。主要职责是：</w:t>
      </w:r>
    </w:p>
    <w:p>
      <w:pPr>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(一)贯彻落实党和国家的教育体育方针政策、有关法律法规，起草有关教育体育的规范性文件并监督实施；负责教育体育理论研究和宣传工作。</w:t>
      </w:r>
    </w:p>
    <w:p>
      <w:pPr>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(二)研究提出在全县教育体育系统坚持党的领导、加强党的建设意见建议并组织实施；统筹全县教育体育工作总体布局并负责协调推进和督促落实。</w:t>
      </w:r>
    </w:p>
    <w:p>
      <w:pPr>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(三)负责全县各级各类教育体育的统筹规划和协调管理;拟订全县教育体育改革和教育体育事业发展规划;指导各级各类学校的教育体育教学改革;负责全县教育体育基本信息的统计、分析和发布。</w:t>
      </w:r>
    </w:p>
    <w:p>
      <w:pPr>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(四)负责本部门教育体育经费的统筹管理，参与拟订教育体育经费筹措、教育体育拨款、教育体育基建投资办法;负责统计全县教育体育经费收支情况；指导教育体育系统内部审计工作。</w:t>
      </w:r>
    </w:p>
    <w:p>
      <w:pPr>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五)负责推进全县义务教育均衡发展和促进教育公平;负责义务教育的宏观指导与协调;指导普通高中教育、学前教育和特殊教育工作；落实基础教育教学基本要求和基本教学文件，负责全县基础教育教学教材、补充教材（读本）选订和中小学教学用书选用工作，全面实施素质教育。</w:t>
      </w:r>
    </w:p>
    <w:p>
      <w:pPr>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(六)指导以就业为导向的职业教育发展与改革，落实中等职业教育专业目录、教学指导文件和教学评估标准;负责中等职业教育教材建设和职业指导工作。</w:t>
      </w:r>
    </w:p>
    <w:p>
      <w:pPr>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七)负责教育体育系统思想政治工作、意识形态工作，指导各级各类学校的德育、体育、卫生、艺术教育、劳动教育及国防教育工作；指导全县教育体育系统落实好党的民族宗教政策；负责教育体育系统安全稳定与信访工作。</w:t>
      </w:r>
    </w:p>
    <w:p>
      <w:pPr>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八)主管全县教师工作。负责全县各级各类学校教师资格制度实施;负责教育体育系统的表彰奖励，归口管理教师和教育管理人员继续教育；配合有关部门落实各级各类学校编制标准;指导各级各类学校内部人事与分配制度改革;指导全县教育体育系统人才队伍建设。</w:t>
      </w:r>
    </w:p>
    <w:p>
      <w:pPr>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(九)拟订和下达全县各级各类教育招生计划和招生来源计划并负责组织实施。</w:t>
      </w:r>
    </w:p>
    <w:p>
      <w:pPr>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(十)负责管理教育体育系统科研工作、信息化建设工作。</w:t>
      </w:r>
    </w:p>
    <w:p>
      <w:pPr>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(十一)组织指导全县教育体育系统的对外交流与合作，落实留学政策规定；负责汉语国际推广有关工作;开展与国外和港澳台的教育合作与交流。</w:t>
      </w:r>
    </w:p>
    <w:p>
      <w:pPr>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(十二)落实国家语言文字工作的方针政策，拟订全县语言文字工作规划；负责全县普通话推广工作和普通话师资培训工作。</w:t>
      </w:r>
    </w:p>
    <w:p>
      <w:pPr>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(十三)指导全县教育督导工作，组织对中等及中等以下教育工作的督导检查和评估验收工作;负责基础教育发展水平、质量的监测工作。</w:t>
      </w:r>
    </w:p>
    <w:p>
      <w:pPr>
        <w:pStyle w:val="8"/>
        <w:ind w:firstLine="480" w:firstLineChars="150"/>
        <w:rPr>
          <w:rFonts w:ascii="仿宋_GB2312" w:eastAsia="仿宋_GB2312"/>
          <w:sz w:val="32"/>
          <w:szCs w:val="32"/>
        </w:rPr>
      </w:pPr>
      <w:r>
        <w:rPr>
          <w:rFonts w:hint="eastAsia" w:ascii="仿宋_GB2312" w:hAnsi="仿宋_GB2312" w:eastAsia="仿宋_GB2312" w:cs="仿宋_GB2312"/>
          <w:sz w:val="32"/>
          <w:szCs w:val="32"/>
        </w:rPr>
        <w:t>(十四)指导全县体育工作，</w:t>
      </w:r>
      <w:r>
        <w:rPr>
          <w:rFonts w:hint="eastAsia" w:ascii="仿宋_GB2312" w:eastAsia="仿宋_GB2312"/>
          <w:sz w:val="32"/>
          <w:szCs w:val="32"/>
        </w:rPr>
        <w:t>推进全民健身计划，指导开展群众性体育活动，实施国家体育锻炼标准，开展国民体质监测；指导公共体育设施建设，负责监督管理公共体育设施；</w:t>
      </w:r>
    </w:p>
    <w:p>
      <w:pPr>
        <w:pStyle w:val="8"/>
        <w:rPr>
          <w:rFonts w:ascii="仿宋_GB2312" w:eastAsia="仿宋_GB2312"/>
          <w:sz w:val="32"/>
          <w:szCs w:val="32"/>
        </w:rPr>
      </w:pPr>
      <w:r>
        <w:rPr>
          <w:rFonts w:hint="eastAsia" w:ascii="仿宋_GB2312" w:eastAsia="仿宋_GB2312"/>
          <w:sz w:val="32"/>
          <w:szCs w:val="32"/>
        </w:rPr>
        <w:t>拟订全县体育产业有关规定，规范体育产业发展，协调服务体育彩票发行管理工作。</w:t>
      </w:r>
    </w:p>
    <w:p>
      <w:pPr>
        <w:pStyle w:val="8"/>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(十五)</w:t>
      </w:r>
      <w:r>
        <w:rPr>
          <w:rFonts w:hint="eastAsia" w:ascii="仿宋_GB2312" w:eastAsia="仿宋_GB2312"/>
          <w:sz w:val="32"/>
          <w:szCs w:val="32"/>
        </w:rPr>
        <w:t>统筹规划全县竞技体育发展和体育项目设置与重点布局，负责全县运动队伍建设和体育后备人才培养，组织开展体育运动中的反兴奋剂工作；组织举办全县综合性运动会，统筹规划全县青少年体育发展，指导和推进青少年体育工作，组织参加和承办各级各类体育竞赛；负责县体育运动学校的管理工作。</w:t>
      </w:r>
    </w:p>
    <w:p>
      <w:pPr>
        <w:spacing w:line="360" w:lineRule="auto"/>
        <w:ind w:firstLine="645"/>
        <w:rPr>
          <w:rFonts w:ascii="仿宋_GB2312" w:hAnsi="仿宋_GB2312" w:eastAsia="仿宋_GB2312" w:cs="仿宋_GB2312"/>
          <w:sz w:val="32"/>
          <w:szCs w:val="32"/>
        </w:rPr>
      </w:pPr>
      <w:r>
        <w:rPr>
          <w:rFonts w:hint="eastAsia" w:ascii="仿宋_GB2312" w:hAnsi="仿宋_GB2312" w:eastAsia="仿宋_GB2312" w:cs="仿宋_GB2312"/>
          <w:sz w:val="32"/>
          <w:szCs w:val="32"/>
        </w:rPr>
        <w:t>(十六)完成县委、县政府和中共鄢陵县委教育工作领导下组交办的其他任务。</w:t>
      </w:r>
    </w:p>
    <w:p>
      <w:pPr>
        <w:spacing w:line="360" w:lineRule="auto"/>
        <w:ind w:firstLine="645"/>
        <w:rPr>
          <w:rFonts w:ascii="黑体" w:hAnsi="黑体" w:eastAsia="黑体" w:cs="黑体"/>
          <w:b/>
          <w:bCs/>
          <w:sz w:val="32"/>
          <w:szCs w:val="32"/>
        </w:rPr>
      </w:pPr>
      <w:r>
        <w:rPr>
          <w:rFonts w:hint="eastAsia" w:ascii="黑体" w:hAnsi="黑体" w:eastAsia="黑体" w:cs="黑体"/>
          <w:b/>
          <w:bCs/>
          <w:sz w:val="32"/>
          <w:szCs w:val="32"/>
        </w:rPr>
        <w:t>三、人员构成情况</w:t>
      </w:r>
    </w:p>
    <w:p>
      <w:pPr>
        <w:adjustRightInd w:val="0"/>
        <w:snapToGrid w:val="0"/>
        <w:spacing w:line="360" w:lineRule="auto"/>
        <w:ind w:firstLine="641"/>
        <w:rPr>
          <w:rFonts w:ascii="仿宋_GB2312" w:hAnsi="仿宋" w:eastAsia="仿宋_GB2312"/>
          <w:sz w:val="32"/>
          <w:szCs w:val="32"/>
        </w:rPr>
      </w:pPr>
      <w:r>
        <w:rPr>
          <w:rFonts w:hint="eastAsia" w:ascii="仿宋_GB2312" w:hAnsi="仿宋" w:eastAsia="仿宋_GB2312" w:cs="黑体"/>
          <w:sz w:val="32"/>
          <w:szCs w:val="32"/>
        </w:rPr>
        <w:t>鄢陵县教育体育局共有</w:t>
      </w:r>
      <w:r>
        <w:rPr>
          <w:rFonts w:hint="eastAsia" w:ascii="仿宋_GB2312" w:hAnsi="仿宋" w:eastAsia="仿宋_GB2312"/>
          <w:sz w:val="32"/>
          <w:szCs w:val="32"/>
        </w:rPr>
        <w:t>编制</w:t>
      </w:r>
      <w:r>
        <w:rPr>
          <w:rFonts w:hint="eastAsia" w:ascii="仿宋_GB2312" w:hAnsi="黑体" w:eastAsia="仿宋_GB2312" w:cs="黑体"/>
          <w:sz w:val="36"/>
          <w:szCs w:val="36"/>
        </w:rPr>
        <w:t>90</w:t>
      </w:r>
      <w:r>
        <w:rPr>
          <w:rFonts w:hint="eastAsia" w:ascii="仿宋_GB2312" w:hAnsi="仿宋" w:eastAsia="仿宋_GB2312"/>
          <w:sz w:val="32"/>
          <w:szCs w:val="32"/>
        </w:rPr>
        <w:t>名，其中：行政编制19名（公务员编制19名，工勤编制</w:t>
      </w:r>
      <w:r>
        <w:rPr>
          <w:rFonts w:hint="eastAsia" w:ascii="仿宋_GB2312" w:hAnsi="黑体" w:eastAsia="仿宋_GB2312" w:cs="黑体"/>
          <w:sz w:val="36"/>
          <w:szCs w:val="36"/>
        </w:rPr>
        <w:t>0</w:t>
      </w:r>
      <w:r>
        <w:rPr>
          <w:rFonts w:hint="eastAsia" w:ascii="仿宋_GB2312" w:hAnsi="仿宋" w:eastAsia="仿宋_GB2312"/>
          <w:sz w:val="32"/>
          <w:szCs w:val="32"/>
        </w:rPr>
        <w:t>名），事业编制71名（管理岗位</w:t>
      </w:r>
      <w:r>
        <w:rPr>
          <w:rFonts w:hint="eastAsia" w:ascii="仿宋_GB2312" w:hAnsi="黑体" w:eastAsia="仿宋_GB2312" w:cs="黑体"/>
          <w:sz w:val="36"/>
          <w:szCs w:val="36"/>
        </w:rPr>
        <w:t>8</w:t>
      </w:r>
      <w:r>
        <w:rPr>
          <w:rFonts w:hint="eastAsia" w:ascii="仿宋_GB2312" w:hAnsi="仿宋" w:eastAsia="仿宋_GB2312"/>
          <w:sz w:val="32"/>
          <w:szCs w:val="32"/>
        </w:rPr>
        <w:t>名，专业技术岗位</w:t>
      </w:r>
      <w:r>
        <w:rPr>
          <w:rFonts w:hint="eastAsia" w:ascii="仿宋_GB2312" w:hAnsi="黑体" w:eastAsia="仿宋_GB2312" w:cs="黑体"/>
          <w:sz w:val="36"/>
          <w:szCs w:val="36"/>
        </w:rPr>
        <w:t>51</w:t>
      </w:r>
      <w:r>
        <w:rPr>
          <w:rFonts w:hint="eastAsia" w:ascii="仿宋_GB2312" w:hAnsi="仿宋" w:eastAsia="仿宋_GB2312"/>
          <w:sz w:val="32"/>
          <w:szCs w:val="32"/>
        </w:rPr>
        <w:t>名，工勤岗位</w:t>
      </w:r>
      <w:r>
        <w:rPr>
          <w:rFonts w:hint="eastAsia" w:ascii="仿宋_GB2312" w:hAnsi="黑体" w:eastAsia="仿宋_GB2312" w:cs="黑体"/>
          <w:sz w:val="36"/>
          <w:szCs w:val="36"/>
        </w:rPr>
        <w:t>12</w:t>
      </w:r>
      <w:r>
        <w:rPr>
          <w:rFonts w:hint="eastAsia" w:ascii="仿宋_GB2312" w:hAnsi="仿宋" w:eastAsia="仿宋_GB2312"/>
          <w:sz w:val="32"/>
          <w:szCs w:val="32"/>
        </w:rPr>
        <w:t>名），现在职人数为</w:t>
      </w:r>
      <w:r>
        <w:rPr>
          <w:rFonts w:hint="eastAsia" w:ascii="仿宋_GB2312" w:hAnsi="黑体" w:eastAsia="仿宋_GB2312" w:cs="黑体"/>
          <w:sz w:val="36"/>
          <w:szCs w:val="36"/>
        </w:rPr>
        <w:t>90</w:t>
      </w:r>
      <w:r>
        <w:rPr>
          <w:rFonts w:hint="eastAsia" w:ascii="仿宋_GB2312" w:hAnsi="仿宋" w:eastAsia="仿宋_GB2312"/>
          <w:sz w:val="32"/>
          <w:szCs w:val="32"/>
        </w:rPr>
        <w:t>人，离退休人数</w:t>
      </w:r>
      <w:r>
        <w:rPr>
          <w:rFonts w:hint="eastAsia" w:ascii="仿宋_GB2312" w:hAnsi="黑体" w:eastAsia="仿宋_GB2312" w:cs="黑体"/>
          <w:sz w:val="36"/>
          <w:szCs w:val="36"/>
        </w:rPr>
        <w:t>68</w:t>
      </w:r>
      <w:r>
        <w:rPr>
          <w:rFonts w:hint="eastAsia" w:ascii="仿宋_GB2312" w:hAnsi="仿宋" w:eastAsia="仿宋_GB2312"/>
          <w:sz w:val="32"/>
          <w:szCs w:val="32"/>
        </w:rPr>
        <w:t>人。</w:t>
      </w:r>
    </w:p>
    <w:p>
      <w:pPr>
        <w:numPr>
          <w:ilvl w:val="0"/>
          <w:numId w:val="4"/>
        </w:numPr>
        <w:adjustRightInd w:val="0"/>
        <w:snapToGrid w:val="0"/>
        <w:spacing w:line="360" w:lineRule="auto"/>
        <w:ind w:firstLine="643" w:firstLineChars="200"/>
        <w:rPr>
          <w:rFonts w:ascii="黑体" w:hAnsi="黑体" w:eastAsia="黑体" w:cs="黑体"/>
          <w:b/>
          <w:bCs/>
          <w:sz w:val="32"/>
          <w:szCs w:val="32"/>
        </w:rPr>
      </w:pPr>
      <w:r>
        <w:rPr>
          <w:rFonts w:hint="eastAsia" w:ascii="黑体" w:hAnsi="黑体" w:eastAsia="黑体" w:cs="黑体"/>
          <w:b/>
          <w:bCs/>
          <w:sz w:val="32"/>
          <w:szCs w:val="32"/>
        </w:rPr>
        <w:t>车辆构成情况</w:t>
      </w:r>
    </w:p>
    <w:p>
      <w:pPr>
        <w:adjustRightInd w:val="0"/>
        <w:snapToGrid w:val="0"/>
        <w:spacing w:line="360" w:lineRule="auto"/>
        <w:ind w:firstLine="641"/>
        <w:rPr>
          <w:rFonts w:ascii="黑体" w:hAnsi="黑体" w:eastAsia="黑体" w:cs="黑体"/>
          <w:sz w:val="44"/>
          <w:szCs w:val="44"/>
        </w:rPr>
      </w:pPr>
      <w:r>
        <w:rPr>
          <w:rFonts w:hint="eastAsia" w:ascii="黑体" w:hAnsi="黑体" w:eastAsia="黑体" w:cs="黑体"/>
          <w:sz w:val="32"/>
          <w:szCs w:val="32"/>
        </w:rPr>
        <w:t xml:space="preserve">  </w:t>
      </w:r>
      <w:r>
        <w:rPr>
          <w:rFonts w:hint="eastAsia" w:ascii="仿宋_GB2312" w:hAnsi="仿宋" w:eastAsia="仿宋_GB2312" w:cs="黑体"/>
          <w:sz w:val="32"/>
          <w:szCs w:val="32"/>
        </w:rPr>
        <w:t>本部门共有车辆0辆，。</w:t>
      </w:r>
    </w:p>
    <w:p>
      <w:pPr>
        <w:adjustRightInd w:val="0"/>
        <w:snapToGrid w:val="0"/>
        <w:spacing w:line="620" w:lineRule="exact"/>
        <w:rPr>
          <w:rFonts w:ascii="黑体" w:hAnsi="黑体" w:eastAsia="黑体" w:cs="黑体"/>
          <w:sz w:val="44"/>
          <w:szCs w:val="44"/>
        </w:rPr>
      </w:pPr>
    </w:p>
    <w:p>
      <w:pPr>
        <w:adjustRightInd w:val="0"/>
        <w:snapToGrid w:val="0"/>
        <w:spacing w:line="620" w:lineRule="exact"/>
        <w:rPr>
          <w:rFonts w:ascii="黑体" w:hAnsi="黑体" w:eastAsia="黑体" w:cs="黑体"/>
          <w:sz w:val="44"/>
          <w:szCs w:val="44"/>
        </w:rPr>
      </w:pPr>
      <w:r>
        <w:rPr>
          <w:rFonts w:hint="eastAsia" w:ascii="黑体" w:hAnsi="黑体" w:eastAsia="黑体" w:cs="黑体"/>
          <w:sz w:val="44"/>
          <w:szCs w:val="44"/>
        </w:rPr>
        <w:t>第二部分 ：鄢陵县教育体育局</w:t>
      </w:r>
    </w:p>
    <w:p>
      <w:pPr>
        <w:adjustRightInd w:val="0"/>
        <w:snapToGrid w:val="0"/>
        <w:spacing w:line="620" w:lineRule="exact"/>
        <w:ind w:firstLine="880" w:firstLineChars="200"/>
        <w:rPr>
          <w:rFonts w:ascii="黑体" w:hAnsi="黑体" w:eastAsia="黑体" w:cs="黑体"/>
          <w:sz w:val="44"/>
          <w:szCs w:val="44"/>
        </w:rPr>
      </w:pPr>
      <w:r>
        <w:rPr>
          <w:rFonts w:hint="eastAsia" w:ascii="黑体" w:hAnsi="黑体" w:eastAsia="黑体" w:cs="黑体"/>
          <w:sz w:val="44"/>
          <w:szCs w:val="44"/>
        </w:rPr>
        <w:t xml:space="preserve">         2022年度部门预算情况说明</w:t>
      </w:r>
    </w:p>
    <w:p>
      <w:pPr>
        <w:adjustRightInd w:val="0"/>
        <w:snapToGrid w:val="0"/>
        <w:spacing w:line="360" w:lineRule="auto"/>
        <w:ind w:firstLine="640" w:firstLineChars="200"/>
        <w:rPr>
          <w:rFonts w:eastAsia="黑体"/>
          <w:sz w:val="32"/>
          <w:szCs w:val="32"/>
        </w:rPr>
      </w:pPr>
    </w:p>
    <w:p>
      <w:pPr>
        <w:adjustRightInd w:val="0"/>
        <w:snapToGrid w:val="0"/>
        <w:spacing w:line="360" w:lineRule="auto"/>
        <w:ind w:firstLine="640" w:firstLineChars="200"/>
        <w:rPr>
          <w:rFonts w:eastAsia="黑体"/>
          <w:sz w:val="32"/>
          <w:szCs w:val="32"/>
        </w:rPr>
      </w:pPr>
      <w:r>
        <w:rPr>
          <w:rFonts w:hint="eastAsia" w:eastAsia="黑体"/>
          <w:sz w:val="32"/>
          <w:szCs w:val="32"/>
        </w:rPr>
        <w:t>一、收入支出预算总体情况说明</w:t>
      </w:r>
    </w:p>
    <w:p>
      <w:pPr>
        <w:adjustRightInd w:val="0"/>
        <w:snapToGrid w:val="0"/>
        <w:spacing w:line="360" w:lineRule="auto"/>
        <w:ind w:firstLine="640" w:firstLineChars="200"/>
        <w:rPr>
          <w:rFonts w:eastAsia="仿宋_GB2312"/>
          <w:sz w:val="32"/>
          <w:szCs w:val="32"/>
        </w:rPr>
      </w:pPr>
      <w:r>
        <w:rPr>
          <w:rFonts w:hint="eastAsia" w:eastAsia="仿宋_GB2312"/>
          <w:sz w:val="32"/>
          <w:szCs w:val="32"/>
        </w:rPr>
        <w:t>2022年收入总计</w:t>
      </w:r>
      <w:r>
        <w:rPr>
          <w:rFonts w:hint="eastAsia" w:ascii="仿宋_GB2312" w:hAnsi="仿宋_GB2312" w:eastAsia="仿宋_GB2312" w:cs="仿宋_GB2312"/>
          <w:sz w:val="32"/>
          <w:szCs w:val="32"/>
        </w:rPr>
        <w:t>9727.85</w:t>
      </w:r>
      <w:r>
        <w:rPr>
          <w:rFonts w:hint="eastAsia" w:eastAsia="仿宋_GB2312"/>
          <w:sz w:val="32"/>
          <w:szCs w:val="32"/>
        </w:rPr>
        <w:t>万元，支出总计</w:t>
      </w:r>
      <w:r>
        <w:rPr>
          <w:rFonts w:hint="eastAsia" w:ascii="仿宋_GB2312" w:hAnsi="仿宋_GB2312" w:eastAsia="仿宋_GB2312" w:cs="仿宋_GB2312"/>
          <w:sz w:val="32"/>
          <w:szCs w:val="32"/>
        </w:rPr>
        <w:t>9727.85</w:t>
      </w:r>
      <w:r>
        <w:rPr>
          <w:rFonts w:hint="eastAsia" w:eastAsia="仿宋_GB2312"/>
          <w:sz w:val="32"/>
          <w:szCs w:val="32"/>
        </w:rPr>
        <w:t>万元，与上年相比，收入增加</w:t>
      </w:r>
      <w:r>
        <w:rPr>
          <w:rFonts w:hint="eastAsia" w:ascii="仿宋_GB2312" w:hAnsi="仿宋_GB2312" w:eastAsia="仿宋_GB2312" w:cs="仿宋_GB2312"/>
          <w:sz w:val="32"/>
          <w:szCs w:val="32"/>
        </w:rPr>
        <w:t>7788.89</w:t>
      </w:r>
      <w:r>
        <w:rPr>
          <w:rFonts w:hint="eastAsia" w:eastAsia="仿宋_GB2312"/>
          <w:sz w:val="32"/>
          <w:szCs w:val="32"/>
        </w:rPr>
        <w:t>万元，增加</w:t>
      </w:r>
      <w:r>
        <w:rPr>
          <w:rFonts w:hint="eastAsia" w:ascii="仿宋_GB2312" w:hAnsi="仿宋_GB2312" w:eastAsia="仿宋_GB2312" w:cs="仿宋_GB2312"/>
          <w:sz w:val="32"/>
          <w:szCs w:val="32"/>
        </w:rPr>
        <w:t>401.70%，</w:t>
      </w:r>
      <w:r>
        <w:rPr>
          <w:rFonts w:hint="eastAsia" w:eastAsia="仿宋_GB2312"/>
          <w:sz w:val="32"/>
          <w:szCs w:val="32"/>
        </w:rPr>
        <w:t>支出增加</w:t>
      </w:r>
      <w:r>
        <w:rPr>
          <w:rFonts w:hint="eastAsia" w:ascii="仿宋_GB2312" w:hAnsi="仿宋_GB2312" w:eastAsia="仿宋_GB2312" w:cs="仿宋_GB2312"/>
          <w:sz w:val="32"/>
          <w:szCs w:val="32"/>
        </w:rPr>
        <w:t>7788.89</w:t>
      </w:r>
      <w:r>
        <w:rPr>
          <w:rFonts w:hint="eastAsia" w:eastAsia="仿宋_GB2312"/>
          <w:sz w:val="32"/>
          <w:szCs w:val="32"/>
        </w:rPr>
        <w:t>万元，增加</w:t>
      </w:r>
      <w:r>
        <w:rPr>
          <w:rFonts w:hint="eastAsia" w:ascii="仿宋_GB2312" w:hAnsi="仿宋_GB2312" w:eastAsia="仿宋_GB2312" w:cs="仿宋_GB2312"/>
          <w:sz w:val="32"/>
          <w:szCs w:val="32"/>
        </w:rPr>
        <w:t>401.70%</w:t>
      </w:r>
      <w:r>
        <w:rPr>
          <w:rFonts w:hint="eastAsia" w:eastAsia="仿宋_GB2312"/>
          <w:sz w:val="32"/>
          <w:szCs w:val="32"/>
        </w:rPr>
        <w:t>。</w:t>
      </w:r>
    </w:p>
    <w:p>
      <w:pPr>
        <w:adjustRightInd w:val="0"/>
        <w:snapToGrid w:val="0"/>
        <w:spacing w:line="360" w:lineRule="auto"/>
        <w:rPr>
          <w:rFonts w:eastAsia="黑体"/>
          <w:sz w:val="32"/>
          <w:szCs w:val="32"/>
        </w:rPr>
      </w:pPr>
      <w:r>
        <w:rPr>
          <w:rFonts w:hint="eastAsia" w:eastAsia="黑体"/>
          <w:sz w:val="32"/>
          <w:szCs w:val="32"/>
        </w:rPr>
        <w:t xml:space="preserve">    二、收入预算情况说明</w:t>
      </w:r>
    </w:p>
    <w:p>
      <w:pPr>
        <w:adjustRightInd w:val="0"/>
        <w:snapToGrid w:val="0"/>
        <w:spacing w:line="360" w:lineRule="auto"/>
        <w:ind w:firstLine="640" w:firstLineChars="200"/>
        <w:rPr>
          <w:rFonts w:ascii="仿宋" w:hAnsi="仿宋" w:eastAsia="仿宋" w:cs="仿宋"/>
          <w:sz w:val="32"/>
          <w:szCs w:val="32"/>
        </w:rPr>
      </w:pPr>
      <w:r>
        <w:rPr>
          <w:rFonts w:hint="eastAsia" w:ascii="仿宋" w:hAnsi="仿宋" w:eastAsia="仿宋" w:cs="仿宋"/>
          <w:sz w:val="32"/>
          <w:szCs w:val="32"/>
        </w:rPr>
        <w:t>2022年收入预算</w:t>
      </w:r>
      <w:r>
        <w:rPr>
          <w:rFonts w:hint="eastAsia" w:ascii="仿宋_GB2312" w:hAnsi="仿宋_GB2312" w:eastAsia="仿宋_GB2312" w:cs="仿宋_GB2312"/>
          <w:sz w:val="32"/>
          <w:szCs w:val="32"/>
        </w:rPr>
        <w:t>9727.85</w:t>
      </w:r>
      <w:r>
        <w:rPr>
          <w:rFonts w:hint="eastAsia" w:ascii="仿宋" w:hAnsi="仿宋" w:eastAsia="仿宋" w:cs="仿宋"/>
          <w:sz w:val="32"/>
          <w:szCs w:val="32"/>
        </w:rPr>
        <w:t>万元，比上年增加</w:t>
      </w:r>
      <w:r>
        <w:rPr>
          <w:rFonts w:hint="eastAsia" w:ascii="仿宋_GB2312" w:hAnsi="仿宋_GB2312" w:eastAsia="仿宋_GB2312" w:cs="仿宋_GB2312"/>
          <w:sz w:val="32"/>
          <w:szCs w:val="32"/>
        </w:rPr>
        <w:t>7788.89</w:t>
      </w:r>
      <w:r>
        <w:rPr>
          <w:rFonts w:hint="eastAsia" w:ascii="仿宋" w:hAnsi="仿宋" w:eastAsia="仿宋" w:cs="仿宋"/>
          <w:sz w:val="32"/>
          <w:szCs w:val="32"/>
        </w:rPr>
        <w:t>万元，增加</w:t>
      </w:r>
      <w:r>
        <w:rPr>
          <w:rFonts w:hint="eastAsia" w:ascii="仿宋_GB2312" w:hAnsi="仿宋_GB2312" w:eastAsia="仿宋_GB2312" w:cs="仿宋_GB2312"/>
          <w:sz w:val="32"/>
          <w:szCs w:val="32"/>
        </w:rPr>
        <w:t>401.70</w:t>
      </w:r>
      <w:r>
        <w:rPr>
          <w:rFonts w:hint="eastAsia" w:ascii="仿宋" w:hAnsi="仿宋" w:eastAsia="仿宋" w:cs="仿宋"/>
          <w:sz w:val="32"/>
          <w:szCs w:val="32"/>
        </w:rPr>
        <w:t>%，原因是增加了校舍维修改造、教师三项补贴、教育费附加、普通高中生均经费、部分退休教师退休费、原民办教师养老补贴等专项资金。</w:t>
      </w:r>
      <w:r>
        <w:rPr>
          <w:rFonts w:hint="eastAsia" w:ascii="仿宋_GB2312" w:hAnsi="仿宋_GB2312" w:eastAsia="仿宋_GB2312" w:cs="仿宋_GB2312"/>
          <w:sz w:val="32"/>
          <w:szCs w:val="32"/>
        </w:rPr>
        <w:t>其中：</w:t>
      </w:r>
      <w:r>
        <w:rPr>
          <w:rFonts w:hint="eastAsia" w:ascii="仿宋" w:hAnsi="仿宋" w:eastAsia="仿宋" w:cs="仿宋"/>
          <w:sz w:val="32"/>
          <w:szCs w:val="32"/>
        </w:rPr>
        <w:t>一般公共预算9727.85万元(财政拨款9727.85万元)，政府性基金收入0万元，转移支付收入0万元。</w:t>
      </w:r>
    </w:p>
    <w:p>
      <w:pPr>
        <w:adjustRightInd w:val="0"/>
        <w:snapToGrid w:val="0"/>
        <w:spacing w:line="360" w:lineRule="auto"/>
        <w:ind w:firstLine="640" w:firstLineChars="200"/>
        <w:rPr>
          <w:rFonts w:eastAsia="黑体"/>
          <w:sz w:val="32"/>
          <w:szCs w:val="32"/>
        </w:rPr>
      </w:pPr>
      <w:r>
        <w:rPr>
          <w:rFonts w:hint="eastAsia" w:eastAsia="黑体"/>
          <w:sz w:val="32"/>
          <w:szCs w:val="32"/>
        </w:rPr>
        <w:t>三、支出预算情况说明</w:t>
      </w:r>
    </w:p>
    <w:p>
      <w:pPr>
        <w:adjustRightInd w:val="0"/>
        <w:snapToGrid w:val="0"/>
        <w:spacing w:line="360" w:lineRule="auto"/>
        <w:ind w:firstLine="636" w:firstLineChars="199"/>
        <w:rPr>
          <w:rFonts w:ascii="黑体" w:hAnsi="黑体" w:eastAsia="黑体" w:cs="黑体"/>
          <w:sz w:val="36"/>
          <w:szCs w:val="36"/>
        </w:rPr>
      </w:pPr>
      <w:r>
        <w:rPr>
          <w:rFonts w:hint="eastAsia" w:eastAsia="仿宋_GB2312"/>
          <w:sz w:val="32"/>
          <w:szCs w:val="32"/>
        </w:rPr>
        <w:t>2022</w:t>
      </w:r>
      <w:r>
        <w:rPr>
          <w:rFonts w:eastAsia="仿宋_GB2312"/>
          <w:sz w:val="32"/>
          <w:szCs w:val="32"/>
        </w:rPr>
        <w:t>年</w:t>
      </w:r>
      <w:r>
        <w:rPr>
          <w:rFonts w:hint="eastAsia" w:eastAsia="仿宋_GB2312"/>
          <w:sz w:val="32"/>
          <w:szCs w:val="32"/>
        </w:rPr>
        <w:t>支出预算</w:t>
      </w:r>
      <w:r>
        <w:rPr>
          <w:rFonts w:hint="eastAsia" w:ascii="仿宋_GB2312" w:hAnsi="仿宋_GB2312" w:eastAsia="仿宋_GB2312" w:cs="仿宋_GB2312"/>
          <w:sz w:val="32"/>
          <w:szCs w:val="32"/>
        </w:rPr>
        <w:t>9727.85</w:t>
      </w:r>
      <w:r>
        <w:rPr>
          <w:rFonts w:eastAsia="仿宋_GB2312"/>
          <w:sz w:val="32"/>
          <w:szCs w:val="32"/>
        </w:rPr>
        <w:t>万元，</w:t>
      </w:r>
      <w:r>
        <w:rPr>
          <w:rFonts w:hint="eastAsia" w:eastAsia="仿宋_GB2312"/>
          <w:sz w:val="32"/>
          <w:szCs w:val="32"/>
        </w:rPr>
        <w:t>比上年增加</w:t>
      </w:r>
      <w:r>
        <w:rPr>
          <w:rFonts w:hint="eastAsia" w:ascii="仿宋_GB2312" w:hAnsi="仿宋_GB2312" w:eastAsia="仿宋_GB2312" w:cs="仿宋_GB2312"/>
          <w:sz w:val="32"/>
          <w:szCs w:val="32"/>
        </w:rPr>
        <w:t>7788.89万元，</w:t>
      </w:r>
      <w:r>
        <w:rPr>
          <w:rFonts w:hint="eastAsia" w:eastAsia="仿宋_GB2312"/>
          <w:sz w:val="32"/>
          <w:szCs w:val="32"/>
        </w:rPr>
        <w:t>增加</w:t>
      </w:r>
      <w:r>
        <w:rPr>
          <w:rFonts w:hint="eastAsia" w:ascii="仿宋_GB2312" w:hAnsi="仿宋_GB2312" w:eastAsia="仿宋_GB2312" w:cs="仿宋_GB2312"/>
          <w:sz w:val="32"/>
          <w:szCs w:val="32"/>
        </w:rPr>
        <w:t>401.70</w:t>
      </w:r>
      <w:r>
        <w:rPr>
          <w:rFonts w:hint="eastAsia" w:ascii="黑体" w:hAnsi="黑体" w:eastAsia="黑体" w:cs="黑体"/>
          <w:sz w:val="36"/>
          <w:szCs w:val="36"/>
        </w:rPr>
        <w:t>%，</w:t>
      </w:r>
      <w:r>
        <w:rPr>
          <w:rFonts w:hint="eastAsia" w:eastAsia="仿宋_GB2312"/>
          <w:sz w:val="32"/>
          <w:szCs w:val="32"/>
        </w:rPr>
        <w:t>原因是</w:t>
      </w:r>
      <w:r>
        <w:rPr>
          <w:rFonts w:hint="eastAsia" w:ascii="仿宋" w:hAnsi="仿宋" w:eastAsia="仿宋" w:cs="仿宋"/>
          <w:sz w:val="32"/>
          <w:szCs w:val="32"/>
        </w:rPr>
        <w:t>增加了校舍维修改造、教师三项补贴、教育费附加、普通高中生均经费、部分退休教师退休费、原民办教师养老补贴等专项资金</w:t>
      </w:r>
      <w:r>
        <w:rPr>
          <w:rFonts w:hint="eastAsia" w:ascii="黑体" w:hAnsi="黑体" w:eastAsia="黑体" w:cs="黑体"/>
          <w:sz w:val="36"/>
          <w:szCs w:val="36"/>
        </w:rPr>
        <w:t>。</w:t>
      </w:r>
    </w:p>
    <w:p>
      <w:pPr>
        <w:adjustRightInd w:val="0"/>
        <w:snapToGrid w:val="0"/>
        <w:spacing w:line="360" w:lineRule="auto"/>
        <w:ind w:firstLine="640" w:firstLineChars="200"/>
        <w:rPr>
          <w:rFonts w:ascii="仿宋" w:hAnsi="仿宋" w:eastAsia="仿宋" w:cs="仿宋"/>
          <w:sz w:val="32"/>
          <w:szCs w:val="32"/>
        </w:rPr>
      </w:pPr>
      <w:r>
        <w:rPr>
          <w:rFonts w:hint="eastAsia" w:ascii="仿宋" w:hAnsi="仿宋" w:eastAsia="仿宋" w:cs="仿宋"/>
          <w:sz w:val="32"/>
          <w:szCs w:val="32"/>
        </w:rPr>
        <w:t>(一)按功能科目分类，包括教育支出 9527.71万元，社会保障和就业支出87.45万元，卫生健康支出34.65万元，住房保障支出67.51万元。</w:t>
      </w:r>
    </w:p>
    <w:p>
      <w:pPr>
        <w:adjustRightInd w:val="0"/>
        <w:snapToGrid w:val="0"/>
        <w:spacing w:line="360" w:lineRule="auto"/>
        <w:ind w:firstLine="640" w:firstLineChars="200"/>
        <w:rPr>
          <w:rFonts w:ascii="仿宋" w:hAnsi="仿宋" w:eastAsia="仿宋" w:cs="仿宋"/>
          <w:sz w:val="32"/>
          <w:szCs w:val="32"/>
        </w:rPr>
      </w:pPr>
      <w:r>
        <w:rPr>
          <w:rFonts w:hint="eastAsia" w:ascii="仿宋" w:hAnsi="仿宋" w:eastAsia="仿宋" w:cs="仿宋"/>
          <w:sz w:val="32"/>
          <w:szCs w:val="32"/>
        </w:rPr>
        <w:t>(二)按支出用途分类，包括基本支出1059.38万元，其中:工资福利支出948.33万元，商品和服务支出41.37万元，个人和家庭补助支出69.68万元;项目支出8668.47万元。</w:t>
      </w:r>
    </w:p>
    <w:p>
      <w:pPr>
        <w:adjustRightInd w:val="0"/>
        <w:snapToGrid w:val="0"/>
        <w:spacing w:line="360" w:lineRule="auto"/>
        <w:ind w:firstLine="640" w:firstLineChars="200"/>
        <w:rPr>
          <w:rFonts w:eastAsia="仿宋_GB2312"/>
          <w:sz w:val="32"/>
          <w:szCs w:val="32"/>
        </w:rPr>
      </w:pPr>
      <w:r>
        <w:rPr>
          <w:rFonts w:hint="eastAsia" w:ascii="仿宋" w:hAnsi="仿宋" w:eastAsia="仿宋" w:cs="仿宋"/>
          <w:sz w:val="32"/>
          <w:szCs w:val="32"/>
        </w:rPr>
        <w:t>(三)主要项目:</w:t>
      </w:r>
      <w:r>
        <w:rPr>
          <w:rFonts w:hint="eastAsia" w:ascii="仿宋_GB2312" w:hAnsi="仿宋_GB2312" w:eastAsia="仿宋_GB2312" w:cs="仿宋_GB2312"/>
          <w:sz w:val="32"/>
          <w:szCs w:val="32"/>
        </w:rPr>
        <w:t>鄢陵县教育体育局8668.47万元，其中：其他运转类4698.59万元，特定目标类3969.88万元。</w:t>
      </w:r>
    </w:p>
    <w:p>
      <w:pPr>
        <w:adjustRightInd w:val="0"/>
        <w:snapToGrid w:val="0"/>
        <w:spacing w:line="360" w:lineRule="auto"/>
        <w:ind w:firstLine="636" w:firstLineChars="199"/>
        <w:rPr>
          <w:rFonts w:eastAsia="仿宋_GB2312"/>
          <w:sz w:val="32"/>
          <w:szCs w:val="32"/>
        </w:rPr>
      </w:pPr>
      <w:r>
        <w:rPr>
          <w:rFonts w:hint="eastAsia" w:eastAsia="黑体"/>
          <w:sz w:val="32"/>
          <w:szCs w:val="32"/>
        </w:rPr>
        <w:t>四、“三公”经费预算增减变化情况说明</w:t>
      </w:r>
    </w:p>
    <w:p>
      <w:pPr>
        <w:adjustRightInd w:val="0"/>
        <w:snapToGrid w:val="0"/>
        <w:spacing w:line="360" w:lineRule="auto"/>
        <w:ind w:firstLine="640" w:firstLineChars="200"/>
        <w:rPr>
          <w:rFonts w:ascii="仿宋_GB2312" w:hAnsi="仿宋_GB2312" w:eastAsia="仿宋_GB2312" w:cs="仿宋_GB2312"/>
          <w:sz w:val="32"/>
          <w:szCs w:val="32"/>
        </w:rPr>
      </w:pPr>
      <w:r>
        <w:rPr>
          <w:rFonts w:hint="eastAsia" w:eastAsia="仿宋_GB2312"/>
          <w:sz w:val="32"/>
          <w:szCs w:val="32"/>
        </w:rPr>
        <w:t>2022</w:t>
      </w:r>
      <w:r>
        <w:rPr>
          <w:rFonts w:hAnsi="仿宋_GB2312" w:eastAsia="仿宋_GB2312"/>
          <w:sz w:val="32"/>
          <w:szCs w:val="32"/>
        </w:rPr>
        <w:t>年，</w:t>
      </w:r>
      <w:r>
        <w:rPr>
          <w:rFonts w:hint="eastAsia" w:ascii="仿宋_GB2312" w:hAnsi="仿宋_GB2312" w:eastAsia="仿宋_GB2312" w:cs="仿宋_GB2312"/>
          <w:sz w:val="32"/>
          <w:szCs w:val="32"/>
        </w:rPr>
        <w:t>因公出国（境）费0万元，比上年增加0万元，增加0%。</w:t>
      </w:r>
    </w:p>
    <w:p>
      <w:pPr>
        <w:adjustRightInd w:val="0"/>
        <w:snapToGrid w:val="0"/>
        <w:spacing w:line="360" w:lineRule="auto"/>
        <w:ind w:firstLine="640" w:firstLineChars="200"/>
        <w:rPr>
          <w:rFonts w:ascii="仿宋_GB2312" w:hAnsi="仿宋_GB2312" w:eastAsia="仿宋_GB2312" w:cs="仿宋_GB2312"/>
          <w:sz w:val="32"/>
          <w:szCs w:val="32"/>
        </w:rPr>
      </w:pPr>
      <w:r>
        <w:rPr>
          <w:rFonts w:hint="eastAsia" w:eastAsia="仿宋_GB2312"/>
          <w:sz w:val="32"/>
          <w:szCs w:val="32"/>
        </w:rPr>
        <w:t>2022</w:t>
      </w:r>
      <w:r>
        <w:rPr>
          <w:rFonts w:hAnsi="仿宋_GB2312" w:eastAsia="仿宋_GB2312"/>
          <w:sz w:val="32"/>
          <w:szCs w:val="32"/>
        </w:rPr>
        <w:t>年，</w:t>
      </w:r>
      <w:r>
        <w:rPr>
          <w:rFonts w:hint="eastAsia" w:ascii="仿宋_GB2312" w:hAnsi="仿宋_GB2312" w:eastAsia="仿宋_GB2312" w:cs="仿宋_GB2312"/>
          <w:sz w:val="32"/>
          <w:szCs w:val="32"/>
        </w:rPr>
        <w:t>公务接待费2.77万元，比上年增加1.94万元，增加233.73%，原因是</w:t>
      </w:r>
      <w:r>
        <w:rPr>
          <w:rFonts w:hint="eastAsia" w:ascii="仿宋" w:hAnsi="仿宋" w:eastAsia="仿宋" w:cs="仿宋"/>
          <w:sz w:val="32"/>
          <w:szCs w:val="32"/>
        </w:rPr>
        <w:t>公务活动有所增加。</w:t>
      </w:r>
      <w:r>
        <w:rPr>
          <w:rFonts w:hint="eastAsia" w:eastAsia="仿宋_GB2312"/>
          <w:sz w:val="32"/>
          <w:szCs w:val="32"/>
        </w:rPr>
        <w:t>2021</w:t>
      </w:r>
      <w:r>
        <w:rPr>
          <w:rFonts w:hAnsi="仿宋_GB2312" w:eastAsia="仿宋_GB2312"/>
          <w:sz w:val="32"/>
          <w:szCs w:val="32"/>
        </w:rPr>
        <w:t>年，</w:t>
      </w:r>
      <w:r>
        <w:rPr>
          <w:rFonts w:hint="eastAsia" w:ascii="仿宋_GB2312" w:hAnsi="仿宋_GB2312" w:eastAsia="仿宋_GB2312" w:cs="仿宋_GB2312"/>
          <w:sz w:val="32"/>
          <w:szCs w:val="32"/>
        </w:rPr>
        <w:t>公务用车运行费0万元，比上年增加0万元，增加0%。</w:t>
      </w:r>
    </w:p>
    <w:p>
      <w:pPr>
        <w:adjustRightInd w:val="0"/>
        <w:snapToGrid w:val="0"/>
        <w:spacing w:line="360" w:lineRule="auto"/>
        <w:ind w:firstLine="640" w:firstLineChars="200"/>
        <w:rPr>
          <w:rFonts w:ascii="仿宋_GB2312" w:hAnsi="仿宋_GB2312" w:eastAsia="仿宋_GB2312" w:cs="仿宋_GB2312"/>
          <w:sz w:val="32"/>
          <w:szCs w:val="32"/>
        </w:rPr>
      </w:pPr>
      <w:r>
        <w:rPr>
          <w:rFonts w:hint="eastAsia" w:eastAsia="仿宋_GB2312"/>
          <w:sz w:val="32"/>
          <w:szCs w:val="32"/>
        </w:rPr>
        <w:t>2022</w:t>
      </w:r>
      <w:r>
        <w:rPr>
          <w:rFonts w:hAnsi="仿宋_GB2312" w:eastAsia="仿宋_GB2312"/>
          <w:sz w:val="32"/>
          <w:szCs w:val="32"/>
        </w:rPr>
        <w:t>年，</w:t>
      </w:r>
      <w:r>
        <w:rPr>
          <w:rFonts w:hint="eastAsia" w:ascii="仿宋_GB2312" w:hAnsi="仿宋_GB2312" w:eastAsia="仿宋_GB2312" w:cs="仿宋_GB2312"/>
          <w:sz w:val="32"/>
          <w:szCs w:val="32"/>
        </w:rPr>
        <w:t>公务用车购置费0万元，比上年增加0万元，增加0%。</w:t>
      </w:r>
    </w:p>
    <w:p>
      <w:pPr>
        <w:adjustRightInd w:val="0"/>
        <w:snapToGrid w:val="0"/>
        <w:spacing w:line="360" w:lineRule="auto"/>
        <w:ind w:firstLine="640" w:firstLineChars="200"/>
        <w:rPr>
          <w:rFonts w:eastAsia="黑体"/>
          <w:sz w:val="32"/>
          <w:szCs w:val="32"/>
        </w:rPr>
      </w:pPr>
      <w:r>
        <w:rPr>
          <w:rFonts w:hint="eastAsia" w:eastAsia="黑体"/>
          <w:sz w:val="32"/>
          <w:szCs w:val="32"/>
        </w:rPr>
        <w:t>五、其他重要事项情况说明</w:t>
      </w:r>
    </w:p>
    <w:p>
      <w:pPr>
        <w:adjustRightInd w:val="0"/>
        <w:snapToGrid w:val="0"/>
        <w:spacing w:line="360" w:lineRule="auto"/>
        <w:ind w:firstLine="643" w:firstLineChars="200"/>
        <w:rPr>
          <w:rFonts w:ascii="楷体_GB2312" w:hAnsi="仿宋_GB2312" w:eastAsia="楷体_GB2312" w:cs="仿宋_GB2312"/>
          <w:b/>
          <w:sz w:val="32"/>
          <w:szCs w:val="32"/>
        </w:rPr>
      </w:pPr>
      <w:r>
        <w:rPr>
          <w:rFonts w:hint="eastAsia" w:ascii="楷体_GB2312" w:eastAsia="楷体_GB2312"/>
          <w:b/>
          <w:sz w:val="32"/>
          <w:szCs w:val="32"/>
        </w:rPr>
        <w:t>（一）机关运行经费预算</w:t>
      </w:r>
    </w:p>
    <w:p>
      <w:pPr>
        <w:adjustRightInd w:val="0"/>
        <w:snapToGrid w:val="0"/>
        <w:spacing w:line="360" w:lineRule="auto"/>
        <w:ind w:firstLine="640" w:firstLineChars="200"/>
        <w:rPr>
          <w:rFonts w:eastAsia="仿宋_GB2312"/>
          <w:sz w:val="32"/>
          <w:szCs w:val="32"/>
        </w:rPr>
      </w:pPr>
      <w:r>
        <w:rPr>
          <w:rFonts w:hint="eastAsia" w:eastAsia="仿宋_GB2312"/>
          <w:sz w:val="32"/>
          <w:szCs w:val="32"/>
        </w:rPr>
        <w:t>2022</w:t>
      </w:r>
      <w:r>
        <w:rPr>
          <w:rFonts w:eastAsia="仿宋_GB2312"/>
          <w:sz w:val="32"/>
          <w:szCs w:val="32"/>
        </w:rPr>
        <w:t>年机关运行经费支出预算</w:t>
      </w:r>
      <w:r>
        <w:rPr>
          <w:rFonts w:hint="eastAsia" w:ascii="仿宋_GB2312" w:hAnsi="仿宋_GB2312" w:eastAsia="仿宋_GB2312" w:cs="仿宋_GB2312"/>
          <w:sz w:val="32"/>
          <w:szCs w:val="32"/>
        </w:rPr>
        <w:t>41.37</w:t>
      </w:r>
      <w:r>
        <w:rPr>
          <w:rFonts w:hint="eastAsia" w:eastAsia="仿宋_GB2312"/>
          <w:sz w:val="32"/>
          <w:szCs w:val="32"/>
        </w:rPr>
        <w:t>万</w:t>
      </w:r>
      <w:r>
        <w:rPr>
          <w:rFonts w:eastAsia="仿宋_GB2312"/>
          <w:sz w:val="32"/>
          <w:szCs w:val="32"/>
        </w:rPr>
        <w:t>元，主要用于</w:t>
      </w:r>
      <w:r>
        <w:rPr>
          <w:rFonts w:hint="eastAsia" w:eastAsia="仿宋_GB2312"/>
          <w:sz w:val="32"/>
          <w:szCs w:val="32"/>
        </w:rPr>
        <w:t>保障机构正常运转及正常履职需要，其中：办公费38.60万元，</w:t>
      </w:r>
      <w:r>
        <w:rPr>
          <w:rFonts w:hint="eastAsia" w:ascii="仿宋_GB2312" w:hAnsi="仿宋_GB2312" w:eastAsia="仿宋_GB2312" w:cs="仿宋_GB2312"/>
          <w:sz w:val="32"/>
          <w:szCs w:val="32"/>
        </w:rPr>
        <w:t>公务用车运行维护费0万元，公务接待费2.77万元等</w:t>
      </w:r>
      <w:r>
        <w:rPr>
          <w:rFonts w:hint="eastAsia" w:eastAsia="仿宋_GB2312"/>
          <w:sz w:val="32"/>
          <w:szCs w:val="32"/>
        </w:rPr>
        <w:t>，</w:t>
      </w:r>
      <w:r>
        <w:rPr>
          <w:rFonts w:hint="eastAsia" w:ascii="仿宋_GB2312" w:hAnsi="仿宋_GB2312" w:eastAsia="仿宋_GB2312" w:cs="仿宋_GB2312"/>
          <w:sz w:val="32"/>
          <w:szCs w:val="32"/>
        </w:rPr>
        <w:t>比上年减少9.42万元，主要原因是按照要求压缩一般性公务支出，节约开支。</w:t>
      </w:r>
    </w:p>
    <w:p>
      <w:pPr>
        <w:adjustRightInd w:val="0"/>
        <w:snapToGrid w:val="0"/>
        <w:spacing w:line="360" w:lineRule="auto"/>
        <w:ind w:firstLine="643" w:firstLineChars="200"/>
        <w:rPr>
          <w:rFonts w:ascii="楷体_GB2312" w:hAnsi="仿宋_GB2312" w:eastAsia="楷体_GB2312" w:cs="仿宋_GB2312"/>
          <w:b/>
          <w:sz w:val="32"/>
          <w:szCs w:val="32"/>
        </w:rPr>
      </w:pPr>
      <w:r>
        <w:rPr>
          <w:rFonts w:hint="eastAsia" w:ascii="楷体_GB2312" w:eastAsia="楷体_GB2312"/>
          <w:b/>
          <w:sz w:val="32"/>
          <w:szCs w:val="32"/>
        </w:rPr>
        <w:t>（二）政府采购支出预算</w:t>
      </w:r>
    </w:p>
    <w:p>
      <w:pPr>
        <w:adjustRightInd w:val="0"/>
        <w:snapToGrid w:val="0"/>
        <w:spacing w:line="360" w:lineRule="auto"/>
        <w:ind w:firstLine="640" w:firstLineChars="200"/>
        <w:rPr>
          <w:rFonts w:eastAsia="仿宋_GB2312"/>
          <w:sz w:val="32"/>
          <w:szCs w:val="32"/>
        </w:rPr>
      </w:pPr>
      <w:r>
        <w:rPr>
          <w:rFonts w:hint="eastAsia" w:eastAsia="仿宋_GB2312"/>
          <w:sz w:val="32"/>
          <w:szCs w:val="32"/>
        </w:rPr>
        <w:t>2022</w:t>
      </w:r>
      <w:r>
        <w:rPr>
          <w:rFonts w:eastAsia="仿宋_GB2312"/>
          <w:sz w:val="32"/>
          <w:szCs w:val="32"/>
        </w:rPr>
        <w:t>年，政府采购预算安排</w:t>
      </w:r>
      <w:r>
        <w:rPr>
          <w:rFonts w:hint="eastAsia" w:ascii="仿宋_GB2312" w:hAnsi="仿宋_GB2312" w:eastAsia="仿宋_GB2312" w:cs="仿宋_GB2312"/>
          <w:sz w:val="32"/>
          <w:szCs w:val="32"/>
        </w:rPr>
        <w:t>3575</w:t>
      </w:r>
      <w:r>
        <w:rPr>
          <w:rFonts w:eastAsia="仿宋_GB2312"/>
          <w:sz w:val="32"/>
          <w:szCs w:val="32"/>
        </w:rPr>
        <w:t>万元，</w:t>
      </w:r>
      <w:r>
        <w:rPr>
          <w:rFonts w:hint="eastAsia" w:eastAsia="仿宋_GB2312"/>
          <w:sz w:val="32"/>
          <w:szCs w:val="32"/>
        </w:rPr>
        <w:t>其中：政府采购货物预算</w:t>
      </w:r>
      <w:r>
        <w:rPr>
          <w:rFonts w:hint="eastAsia" w:ascii="仿宋_GB2312" w:hAnsi="仿宋_GB2312" w:eastAsia="仿宋_GB2312" w:cs="仿宋_GB2312"/>
          <w:sz w:val="32"/>
          <w:szCs w:val="32"/>
        </w:rPr>
        <w:t>2015</w:t>
      </w:r>
      <w:r>
        <w:rPr>
          <w:rFonts w:hint="eastAsia" w:eastAsia="仿宋_GB2312"/>
          <w:sz w:val="32"/>
          <w:szCs w:val="32"/>
        </w:rPr>
        <w:t>万元、政府采购工程预算</w:t>
      </w:r>
      <w:r>
        <w:rPr>
          <w:rFonts w:hint="eastAsia" w:ascii="仿宋_GB2312" w:hAnsi="仿宋_GB2312" w:eastAsia="仿宋_GB2312" w:cs="仿宋_GB2312"/>
          <w:sz w:val="32"/>
          <w:szCs w:val="32"/>
        </w:rPr>
        <w:t>1545</w:t>
      </w:r>
      <w:r>
        <w:rPr>
          <w:rFonts w:hint="eastAsia" w:eastAsia="仿宋_GB2312"/>
          <w:sz w:val="32"/>
          <w:szCs w:val="32"/>
        </w:rPr>
        <w:t>万元、政府采购服务预算</w:t>
      </w:r>
      <w:r>
        <w:rPr>
          <w:rFonts w:hint="eastAsia" w:ascii="仿宋_GB2312" w:hAnsi="仿宋_GB2312" w:eastAsia="仿宋_GB2312" w:cs="仿宋_GB2312"/>
          <w:sz w:val="32"/>
          <w:szCs w:val="32"/>
        </w:rPr>
        <w:t>15</w:t>
      </w:r>
      <w:r>
        <w:rPr>
          <w:rFonts w:hint="eastAsia" w:eastAsia="仿宋_GB2312"/>
          <w:sz w:val="32"/>
          <w:szCs w:val="32"/>
        </w:rPr>
        <w:t>万元。</w:t>
      </w:r>
    </w:p>
    <w:p>
      <w:pPr>
        <w:adjustRightInd w:val="0"/>
        <w:snapToGrid w:val="0"/>
        <w:spacing w:line="360" w:lineRule="auto"/>
        <w:ind w:firstLine="643" w:firstLineChars="200"/>
        <w:rPr>
          <w:rFonts w:ascii="楷体_GB2312" w:eastAsia="楷体_GB2312"/>
          <w:b/>
          <w:sz w:val="32"/>
          <w:szCs w:val="32"/>
        </w:rPr>
      </w:pPr>
      <w:r>
        <w:rPr>
          <w:rFonts w:hint="eastAsia" w:ascii="楷体_GB2312" w:eastAsia="楷体_GB2312"/>
          <w:b/>
          <w:sz w:val="32"/>
          <w:szCs w:val="32"/>
        </w:rPr>
        <w:t>（三）预算绩效管理工作</w:t>
      </w:r>
    </w:p>
    <w:p>
      <w:pPr>
        <w:adjustRightInd w:val="0"/>
        <w:snapToGrid w:val="0"/>
        <w:spacing w:line="360" w:lineRule="auto"/>
        <w:ind w:firstLine="640" w:firstLineChars="200"/>
        <w:rPr>
          <w:rFonts w:eastAsia="仿宋_GB2312"/>
          <w:sz w:val="32"/>
          <w:szCs w:val="32"/>
        </w:rPr>
      </w:pPr>
      <w:r>
        <w:rPr>
          <w:rFonts w:hint="eastAsia" w:eastAsia="仿宋_GB2312"/>
          <w:sz w:val="32"/>
          <w:szCs w:val="32"/>
        </w:rPr>
        <w:t>我单位2022年部门预算资金</w:t>
      </w:r>
      <w:r>
        <w:rPr>
          <w:rFonts w:hint="eastAsia" w:ascii="仿宋_GB2312" w:hAnsi="仿宋_GB2312" w:eastAsia="仿宋_GB2312" w:cs="仿宋_GB2312"/>
          <w:sz w:val="32"/>
          <w:szCs w:val="32"/>
        </w:rPr>
        <w:t>9727.85</w:t>
      </w:r>
      <w:r>
        <w:rPr>
          <w:rFonts w:hint="eastAsia" w:eastAsia="仿宋_GB2312"/>
          <w:sz w:val="32"/>
          <w:szCs w:val="32"/>
        </w:rPr>
        <w:t>万元，按要求编制部门整体绩效目标，其中项目资金</w:t>
      </w:r>
      <w:r>
        <w:rPr>
          <w:rFonts w:hint="eastAsia" w:ascii="仿宋_GB2312" w:hAnsi="仿宋_GB2312" w:eastAsia="仿宋_GB2312" w:cs="仿宋_GB2312"/>
          <w:sz w:val="32"/>
          <w:szCs w:val="32"/>
        </w:rPr>
        <w:t>8668.47</w:t>
      </w:r>
      <w:r>
        <w:rPr>
          <w:rFonts w:hint="eastAsia" w:eastAsia="仿宋_GB2312"/>
          <w:sz w:val="32"/>
          <w:szCs w:val="32"/>
        </w:rPr>
        <w:t>万元。均按要求编制了绩效目标，从项目产出、项目效益、满意度方面设置了绩效目标，综合反映项目预期完成的数量、实效、质量，预期达到的社会经济效益、可持续影响以及服务对象满意度等情况。</w:t>
      </w:r>
    </w:p>
    <w:p>
      <w:pPr>
        <w:adjustRightInd w:val="0"/>
        <w:snapToGrid w:val="0"/>
        <w:spacing w:line="360" w:lineRule="auto"/>
        <w:ind w:firstLine="643" w:firstLineChars="200"/>
        <w:rPr>
          <w:rFonts w:ascii="楷体_GB2312" w:eastAsia="楷体_GB2312"/>
          <w:b/>
          <w:sz w:val="32"/>
          <w:szCs w:val="32"/>
        </w:rPr>
      </w:pPr>
      <w:r>
        <w:rPr>
          <w:rFonts w:hint="eastAsia" w:ascii="楷体_GB2312" w:eastAsia="楷体_GB2312"/>
          <w:b/>
          <w:sz w:val="32"/>
          <w:szCs w:val="32"/>
        </w:rPr>
        <w:t>（三）国有资产占用</w:t>
      </w:r>
    </w:p>
    <w:p>
      <w:pPr>
        <w:adjustRightInd w:val="0"/>
        <w:snapToGrid w:val="0"/>
        <w:spacing w:line="360" w:lineRule="auto"/>
        <w:ind w:firstLine="640" w:firstLineChars="200"/>
        <w:rPr>
          <w:rFonts w:eastAsia="仿宋_GB2312"/>
          <w:sz w:val="32"/>
          <w:szCs w:val="32"/>
        </w:rPr>
      </w:pPr>
      <w:r>
        <w:rPr>
          <w:rFonts w:hint="eastAsia" w:eastAsia="仿宋_GB2312"/>
          <w:sz w:val="32"/>
          <w:szCs w:val="32"/>
        </w:rPr>
        <w:t>截至2021年末，本部门共有车辆</w:t>
      </w:r>
      <w:r>
        <w:rPr>
          <w:rFonts w:hint="eastAsia" w:ascii="仿宋_GB2312" w:hAnsi="仿宋_GB2312" w:eastAsia="仿宋_GB2312" w:cs="仿宋_GB2312"/>
          <w:sz w:val="32"/>
          <w:szCs w:val="32"/>
        </w:rPr>
        <w:t>0</w:t>
      </w:r>
      <w:r>
        <w:rPr>
          <w:rFonts w:hint="eastAsia" w:eastAsia="仿宋_GB2312"/>
          <w:sz w:val="32"/>
          <w:szCs w:val="32"/>
        </w:rPr>
        <w:t>辆，其中：一般公务用车</w:t>
      </w:r>
      <w:r>
        <w:rPr>
          <w:rFonts w:hint="eastAsia" w:ascii="仿宋_GB2312" w:hAnsi="仿宋_GB2312" w:eastAsia="仿宋_GB2312" w:cs="仿宋_GB2312"/>
          <w:sz w:val="32"/>
          <w:szCs w:val="32"/>
        </w:rPr>
        <w:t>0</w:t>
      </w:r>
      <w:r>
        <w:rPr>
          <w:rFonts w:hint="eastAsia" w:eastAsia="仿宋_GB2312"/>
          <w:sz w:val="32"/>
          <w:szCs w:val="32"/>
        </w:rPr>
        <w:t>辆、一般执法执勤用车</w:t>
      </w:r>
      <w:r>
        <w:rPr>
          <w:rFonts w:hint="eastAsia" w:ascii="仿宋_GB2312" w:hAnsi="仿宋_GB2312" w:eastAsia="仿宋_GB2312" w:cs="仿宋_GB2312"/>
          <w:sz w:val="32"/>
          <w:szCs w:val="32"/>
        </w:rPr>
        <w:t>0</w:t>
      </w:r>
      <w:r>
        <w:rPr>
          <w:rFonts w:hint="eastAsia" w:eastAsia="仿宋_GB2312"/>
          <w:sz w:val="32"/>
          <w:szCs w:val="32"/>
        </w:rPr>
        <w:t>辆、特种专业技术用车</w:t>
      </w:r>
      <w:r>
        <w:rPr>
          <w:rFonts w:hint="eastAsia" w:ascii="仿宋_GB2312" w:hAnsi="仿宋_GB2312" w:eastAsia="仿宋_GB2312" w:cs="仿宋_GB2312"/>
          <w:sz w:val="32"/>
          <w:szCs w:val="32"/>
        </w:rPr>
        <w:t>0</w:t>
      </w:r>
      <w:r>
        <w:rPr>
          <w:rFonts w:hint="eastAsia" w:eastAsia="仿宋_GB2312"/>
          <w:sz w:val="32"/>
          <w:szCs w:val="32"/>
        </w:rPr>
        <w:t>辆；单价50万元以上通用设备</w:t>
      </w:r>
      <w:r>
        <w:rPr>
          <w:rFonts w:hint="eastAsia" w:ascii="仿宋_GB2312" w:hAnsi="仿宋_GB2312" w:eastAsia="仿宋_GB2312" w:cs="仿宋_GB2312"/>
          <w:sz w:val="32"/>
          <w:szCs w:val="32"/>
        </w:rPr>
        <w:t>0</w:t>
      </w:r>
      <w:r>
        <w:rPr>
          <w:rFonts w:hint="eastAsia" w:eastAsia="仿宋_GB2312"/>
          <w:sz w:val="32"/>
          <w:szCs w:val="32"/>
        </w:rPr>
        <w:t>台（套），单位价值1 00 万元以上专用设备</w:t>
      </w:r>
      <w:r>
        <w:rPr>
          <w:rFonts w:hint="eastAsia" w:ascii="仿宋_GB2312" w:hAnsi="仿宋_GB2312" w:eastAsia="仿宋_GB2312" w:cs="仿宋_GB2312"/>
          <w:sz w:val="32"/>
          <w:szCs w:val="32"/>
        </w:rPr>
        <w:t>0</w:t>
      </w:r>
      <w:r>
        <w:rPr>
          <w:rFonts w:hint="eastAsia" w:eastAsia="仿宋_GB2312"/>
          <w:sz w:val="32"/>
          <w:szCs w:val="32"/>
        </w:rPr>
        <w:t>台（套）。</w:t>
      </w:r>
    </w:p>
    <w:p>
      <w:pPr>
        <w:adjustRightInd w:val="0"/>
        <w:snapToGrid w:val="0"/>
        <w:spacing w:line="360" w:lineRule="auto"/>
        <w:ind w:firstLine="643" w:firstLineChars="200"/>
        <w:rPr>
          <w:rFonts w:ascii="楷体_GB2312" w:eastAsia="楷体_GB2312"/>
          <w:b/>
          <w:sz w:val="32"/>
          <w:szCs w:val="32"/>
        </w:rPr>
      </w:pPr>
      <w:r>
        <w:rPr>
          <w:rFonts w:hint="eastAsia" w:ascii="楷体_GB2312" w:eastAsia="楷体_GB2312"/>
          <w:b/>
          <w:sz w:val="32"/>
          <w:szCs w:val="32"/>
        </w:rPr>
        <w:t>（四）专项转移支付项目情况</w:t>
      </w:r>
    </w:p>
    <w:p>
      <w:pPr>
        <w:adjustRightInd w:val="0"/>
        <w:snapToGrid w:val="0"/>
        <w:spacing w:line="360" w:lineRule="auto"/>
        <w:ind w:firstLine="640" w:firstLineChars="200"/>
        <w:rPr>
          <w:rFonts w:ascii="仿宋_GB2312" w:hAnsi="仿宋_GB2312" w:eastAsia="仿宋_GB2312" w:cs="仿宋_GB2312"/>
          <w:sz w:val="32"/>
          <w:szCs w:val="32"/>
        </w:rPr>
      </w:pPr>
      <w:r>
        <w:rPr>
          <w:rFonts w:hint="eastAsia" w:eastAsia="仿宋_GB2312"/>
          <w:sz w:val="32"/>
          <w:szCs w:val="32"/>
        </w:rPr>
        <w:t>2022年，本部门负责管理的专项转移支付项目共有</w:t>
      </w:r>
      <w:r>
        <w:rPr>
          <w:rFonts w:hint="eastAsia" w:ascii="仿宋_GB2312" w:hAnsi="仿宋_GB2312" w:eastAsia="仿宋_GB2312" w:cs="仿宋_GB2312"/>
          <w:sz w:val="32"/>
          <w:szCs w:val="32"/>
        </w:rPr>
        <w:t>0</w:t>
      </w:r>
      <w:r>
        <w:rPr>
          <w:rFonts w:hint="eastAsia" w:eastAsia="仿宋_GB2312"/>
          <w:sz w:val="32"/>
          <w:szCs w:val="32"/>
        </w:rPr>
        <w:t>项</w:t>
      </w:r>
      <w:r>
        <w:rPr>
          <w:rFonts w:hint="eastAsia" w:ascii="仿宋_GB2312" w:hAnsi="仿宋_GB2312" w:eastAsia="仿宋_GB2312" w:cs="仿宋_GB2312"/>
          <w:sz w:val="32"/>
          <w:szCs w:val="32"/>
        </w:rPr>
        <w:t>。</w:t>
      </w:r>
    </w:p>
    <w:p>
      <w:pPr>
        <w:adjustRightInd w:val="0"/>
        <w:snapToGrid w:val="0"/>
        <w:spacing w:line="360" w:lineRule="auto"/>
        <w:ind w:firstLine="640" w:firstLineChars="200"/>
        <w:rPr>
          <w:rFonts w:hint="default" w:eastAsia="黑体"/>
          <w:sz w:val="32"/>
          <w:szCs w:val="32"/>
          <w:lang w:val="en-US" w:eastAsia="zh-CN"/>
        </w:rPr>
      </w:pPr>
      <w:r>
        <w:rPr>
          <w:rFonts w:hint="eastAsia" w:eastAsia="黑体"/>
          <w:sz w:val="32"/>
          <w:szCs w:val="32"/>
        </w:rPr>
        <w:t xml:space="preserve">    </w:t>
      </w:r>
      <w:r>
        <w:rPr>
          <w:rFonts w:hint="eastAsia" w:eastAsia="黑体"/>
          <w:sz w:val="32"/>
          <w:szCs w:val="32"/>
          <w:lang w:val="en-US" w:eastAsia="zh-CN"/>
        </w:rPr>
        <w:t>六、空表情况说明</w:t>
      </w:r>
    </w:p>
    <w:p>
      <w:pPr>
        <w:adjustRightInd w:val="0"/>
        <w:snapToGrid w:val="0"/>
        <w:spacing w:line="620" w:lineRule="exact"/>
        <w:ind w:firstLine="640" w:firstLineChars="200"/>
        <w:rPr>
          <w:rFonts w:hint="eastAsia" w:eastAsia="仿宋_GB2312"/>
          <w:sz w:val="32"/>
          <w:szCs w:val="32"/>
        </w:rPr>
      </w:pPr>
      <w:r>
        <w:rPr>
          <w:rFonts w:hint="eastAsia" w:eastAsia="仿宋_GB2312"/>
          <w:sz w:val="32"/>
          <w:szCs w:val="32"/>
        </w:rPr>
        <w:t>1.政府性基金预算支出情况表。空表的主要原因是我</w:t>
      </w:r>
    </w:p>
    <w:p>
      <w:pPr>
        <w:adjustRightInd w:val="0"/>
        <w:snapToGrid w:val="0"/>
        <w:spacing w:line="620" w:lineRule="exact"/>
        <w:rPr>
          <w:rFonts w:hint="eastAsia" w:eastAsia="仿宋_GB2312"/>
          <w:sz w:val="32"/>
          <w:szCs w:val="32"/>
        </w:rPr>
      </w:pPr>
      <w:r>
        <w:rPr>
          <w:rFonts w:hint="eastAsia" w:eastAsia="仿宋_GB2312"/>
          <w:sz w:val="32"/>
          <w:szCs w:val="32"/>
        </w:rPr>
        <w:t>部门 20</w:t>
      </w:r>
      <w:r>
        <w:rPr>
          <w:rFonts w:hint="eastAsia" w:eastAsia="仿宋_GB2312"/>
          <w:sz w:val="32"/>
          <w:szCs w:val="32"/>
          <w:lang w:val="en-US" w:eastAsia="zh-CN"/>
        </w:rPr>
        <w:t>22</w:t>
      </w:r>
      <w:r>
        <w:rPr>
          <w:rFonts w:hint="eastAsia" w:eastAsia="仿宋_GB2312"/>
          <w:sz w:val="32"/>
          <w:szCs w:val="32"/>
        </w:rPr>
        <w:t>年预算未安排政府性基金支出。</w:t>
      </w:r>
    </w:p>
    <w:p>
      <w:pPr>
        <w:adjustRightInd w:val="0"/>
        <w:snapToGrid w:val="0"/>
        <w:spacing w:line="620" w:lineRule="exact"/>
        <w:ind w:firstLine="640" w:firstLineChars="200"/>
        <w:rPr>
          <w:rFonts w:hint="eastAsia" w:eastAsia="仿宋_GB2312"/>
          <w:sz w:val="32"/>
          <w:szCs w:val="32"/>
        </w:rPr>
      </w:pPr>
      <w:r>
        <w:rPr>
          <w:rFonts w:hint="eastAsia" w:eastAsia="仿宋_GB2312"/>
          <w:sz w:val="32"/>
          <w:szCs w:val="32"/>
        </w:rPr>
        <w:t>2.国有资本经营预算支出情况表。空表的主要原因是</w:t>
      </w:r>
    </w:p>
    <w:p>
      <w:pPr>
        <w:adjustRightInd w:val="0"/>
        <w:snapToGrid w:val="0"/>
        <w:spacing w:line="620" w:lineRule="exact"/>
        <w:rPr>
          <w:rFonts w:hint="eastAsia" w:eastAsia="仿宋_GB2312"/>
          <w:sz w:val="32"/>
          <w:szCs w:val="32"/>
        </w:rPr>
      </w:pPr>
      <w:r>
        <w:rPr>
          <w:rFonts w:hint="eastAsia" w:eastAsia="仿宋_GB2312"/>
          <w:sz w:val="32"/>
          <w:szCs w:val="32"/>
        </w:rPr>
        <w:t>我部门20</w:t>
      </w:r>
      <w:r>
        <w:rPr>
          <w:rFonts w:hint="eastAsia" w:eastAsia="仿宋_GB2312"/>
          <w:sz w:val="32"/>
          <w:szCs w:val="32"/>
          <w:lang w:val="en-US" w:eastAsia="zh-CN"/>
        </w:rPr>
        <w:t>22</w:t>
      </w:r>
      <w:r>
        <w:rPr>
          <w:rFonts w:hint="eastAsia" w:eastAsia="仿宋_GB2312"/>
          <w:sz w:val="32"/>
          <w:szCs w:val="32"/>
        </w:rPr>
        <w:t>年预算未安排国有资本经营预算支出。</w:t>
      </w:r>
    </w:p>
    <w:p>
      <w:pPr>
        <w:adjustRightInd w:val="0"/>
        <w:snapToGrid w:val="0"/>
        <w:spacing w:line="620" w:lineRule="exact"/>
        <w:ind w:firstLine="640" w:firstLineChars="200"/>
        <w:rPr>
          <w:rFonts w:hint="eastAsia" w:eastAsia="仿宋_GB2312"/>
          <w:sz w:val="32"/>
          <w:szCs w:val="32"/>
          <w:lang w:eastAsia="zh-CN"/>
        </w:rPr>
      </w:pPr>
      <w:r>
        <w:rPr>
          <w:rFonts w:hint="eastAsia" w:eastAsia="仿宋_GB2312"/>
          <w:sz w:val="32"/>
          <w:szCs w:val="32"/>
        </w:rPr>
        <w:t>3、政府采购汇总情况表。空表的主要原因是我部门202</w:t>
      </w:r>
      <w:r>
        <w:rPr>
          <w:rFonts w:hint="eastAsia" w:eastAsia="仿宋_GB2312"/>
          <w:sz w:val="32"/>
          <w:szCs w:val="32"/>
          <w:lang w:val="en-US" w:eastAsia="zh-CN"/>
        </w:rPr>
        <w:t>2</w:t>
      </w:r>
    </w:p>
    <w:p>
      <w:pPr>
        <w:adjustRightInd w:val="0"/>
        <w:snapToGrid w:val="0"/>
        <w:spacing w:line="620" w:lineRule="exact"/>
        <w:rPr>
          <w:rFonts w:hint="eastAsia" w:eastAsia="仿宋_GB2312"/>
          <w:sz w:val="32"/>
          <w:szCs w:val="32"/>
        </w:rPr>
      </w:pPr>
      <w:r>
        <w:rPr>
          <w:rFonts w:hint="eastAsia" w:eastAsia="仿宋_GB2312"/>
          <w:sz w:val="32"/>
          <w:szCs w:val="32"/>
        </w:rPr>
        <w:t>年预算未安排政府采购。</w:t>
      </w:r>
    </w:p>
    <w:p>
      <w:pPr>
        <w:adjustRightInd w:val="0"/>
        <w:snapToGrid w:val="0"/>
        <w:spacing w:line="620" w:lineRule="exact"/>
        <w:rPr>
          <w:rFonts w:eastAsia="仿宋_GB2312"/>
          <w:sz w:val="32"/>
          <w:szCs w:val="32"/>
        </w:rPr>
      </w:pPr>
    </w:p>
    <w:p>
      <w:pPr>
        <w:adjustRightInd w:val="0"/>
        <w:snapToGrid w:val="0"/>
        <w:spacing w:line="620" w:lineRule="exact"/>
        <w:rPr>
          <w:rFonts w:eastAsia="仿宋_GB2312"/>
          <w:sz w:val="32"/>
          <w:szCs w:val="32"/>
        </w:rPr>
      </w:pPr>
    </w:p>
    <w:p>
      <w:pPr>
        <w:adjustRightInd w:val="0"/>
        <w:snapToGrid w:val="0"/>
        <w:spacing w:line="620" w:lineRule="exact"/>
        <w:jc w:val="center"/>
        <w:rPr>
          <w:rFonts w:ascii="黑体" w:hAnsi="黑体" w:eastAsia="黑体" w:cs="黑体"/>
          <w:sz w:val="44"/>
          <w:szCs w:val="44"/>
        </w:rPr>
      </w:pPr>
      <w:r>
        <w:rPr>
          <w:rFonts w:hint="eastAsia" w:ascii="黑体" w:hAnsi="黑体" w:eastAsia="黑体" w:cs="黑体"/>
          <w:sz w:val="44"/>
          <w:szCs w:val="44"/>
        </w:rPr>
        <w:t>第三部分 ：名词解释</w:t>
      </w:r>
    </w:p>
    <w:p>
      <w:pPr>
        <w:adjustRightInd w:val="0"/>
        <w:snapToGrid w:val="0"/>
        <w:spacing w:line="620" w:lineRule="exact"/>
        <w:rPr>
          <w:rFonts w:ascii="黑体" w:hAnsi="黑体" w:eastAsia="黑体" w:cs="黑体"/>
          <w:sz w:val="44"/>
          <w:szCs w:val="44"/>
        </w:rPr>
      </w:pPr>
    </w:p>
    <w:p>
      <w:pPr>
        <w:adjustRightInd w:val="0"/>
        <w:snapToGrid w:val="0"/>
        <w:spacing w:line="620" w:lineRule="exact"/>
        <w:ind w:firstLine="640" w:firstLineChars="200"/>
        <w:rPr>
          <w:rFonts w:eastAsia="仿宋_GB2312"/>
          <w:sz w:val="32"/>
          <w:szCs w:val="32"/>
        </w:rPr>
      </w:pPr>
      <w:r>
        <w:rPr>
          <w:rFonts w:hint="eastAsia" w:eastAsia="仿宋_GB2312"/>
          <w:sz w:val="32"/>
          <w:szCs w:val="32"/>
        </w:rPr>
        <w:t>一 、财政拨款收入：是指市级财政当年拨付的资金。</w:t>
      </w:r>
    </w:p>
    <w:p>
      <w:pPr>
        <w:adjustRightInd w:val="0"/>
        <w:snapToGrid w:val="0"/>
        <w:spacing w:line="620" w:lineRule="exact"/>
        <w:ind w:firstLine="640" w:firstLineChars="200"/>
        <w:rPr>
          <w:rFonts w:eastAsia="仿宋_GB2312"/>
          <w:sz w:val="32"/>
          <w:szCs w:val="32"/>
        </w:rPr>
      </w:pPr>
      <w:r>
        <w:rPr>
          <w:rFonts w:hint="eastAsia" w:eastAsia="仿宋_GB2312"/>
          <w:sz w:val="32"/>
          <w:szCs w:val="32"/>
        </w:rPr>
        <w:t>二、其他收入：是指部门取得的除“财政拨款”、“事业收入”、“事业单位经营收入”等以外的收入。</w:t>
      </w:r>
    </w:p>
    <w:p>
      <w:pPr>
        <w:adjustRightInd w:val="0"/>
        <w:snapToGrid w:val="0"/>
        <w:spacing w:line="620" w:lineRule="exact"/>
        <w:ind w:firstLine="640" w:firstLineChars="200"/>
        <w:rPr>
          <w:rFonts w:eastAsia="仿宋_GB2312"/>
          <w:sz w:val="32"/>
          <w:szCs w:val="32"/>
        </w:rPr>
      </w:pPr>
      <w:r>
        <w:rPr>
          <w:rFonts w:hint="eastAsia" w:eastAsia="仿宋_GB2312"/>
          <w:sz w:val="32"/>
          <w:szCs w:val="32"/>
        </w:rPr>
        <w:t>三、基本支出：是指为保障机构正常运转、完成日常工作任务所必须的开支，其内容包括人员经费和日常公用经费两部分。</w:t>
      </w:r>
    </w:p>
    <w:p>
      <w:pPr>
        <w:adjustRightInd w:val="0"/>
        <w:snapToGrid w:val="0"/>
        <w:spacing w:line="620" w:lineRule="exact"/>
        <w:ind w:firstLine="640" w:firstLineChars="200"/>
        <w:rPr>
          <w:rFonts w:eastAsia="仿宋_GB2312"/>
          <w:sz w:val="32"/>
          <w:szCs w:val="32"/>
        </w:rPr>
      </w:pPr>
      <w:r>
        <w:rPr>
          <w:rFonts w:hint="eastAsia" w:eastAsia="仿宋_GB2312"/>
          <w:sz w:val="32"/>
          <w:szCs w:val="32"/>
        </w:rPr>
        <w:t>四、项目支出：是指在基本支出之外，为完成特定的行政工作任务或事业发展目标所发生的支出。</w:t>
      </w:r>
    </w:p>
    <w:p>
      <w:pPr>
        <w:adjustRightInd w:val="0"/>
        <w:snapToGrid w:val="0"/>
        <w:spacing w:line="620" w:lineRule="exact"/>
        <w:ind w:firstLine="640" w:firstLineChars="200"/>
        <w:rPr>
          <w:rFonts w:eastAsia="仿宋_GB2312"/>
          <w:sz w:val="32"/>
          <w:szCs w:val="32"/>
        </w:rPr>
      </w:pPr>
      <w:r>
        <w:rPr>
          <w:rFonts w:hint="eastAsia" w:eastAsia="仿宋_GB2312"/>
          <w:sz w:val="32"/>
          <w:szCs w:val="32"/>
        </w:rPr>
        <w:t>五、“三公”经费：是指纳入省级财政预算管理，部门使用财政拨款安排的因公出国（境）费、公务用车购置及运行费和公务接待费。其中，因公出国（境）费反映单位公务出国（境）的住宿费、旅费、伙食补助费、杂费、培训费等支出；公务用车购置及运行费反映单位公务用车购置费及租用费、燃料费、维修费、过路过桥费、保险费、安全奖励费用等支出；公务接待费反映单位按规定开支的各类公务接待（含外宾接待）支出。</w:t>
      </w:r>
    </w:p>
    <w:p>
      <w:pPr>
        <w:adjustRightInd w:val="0"/>
        <w:snapToGrid w:val="0"/>
        <w:spacing w:line="620" w:lineRule="exact"/>
        <w:ind w:firstLine="640" w:firstLineChars="200"/>
        <w:rPr>
          <w:rFonts w:eastAsia="仿宋_GB2312"/>
          <w:sz w:val="32"/>
          <w:szCs w:val="32"/>
        </w:rPr>
      </w:pPr>
      <w:r>
        <w:rPr>
          <w:rFonts w:hint="eastAsia" w:eastAsia="仿宋_GB2312"/>
          <w:sz w:val="32"/>
          <w:szCs w:val="32"/>
        </w:rPr>
        <w:t>六、机关运行经费：是指为保障行政单位（含参照公务员法管理河南省质量技术监督局部门预算公开的事业单位）运行用于购买货物和服务的各项资金，包括办公及印刷费、邮电费、差旅费、会议费、福利费、日常维修费及一般设备购置费、办公用房水电费、办公用房取暖费、办公用房物业管理费、公务用车运行维护费以及其他费用。</w:t>
      </w:r>
    </w:p>
    <w:p>
      <w:pPr>
        <w:adjustRightInd w:val="0"/>
        <w:snapToGrid w:val="0"/>
        <w:spacing w:line="620" w:lineRule="exact"/>
        <w:ind w:firstLine="640" w:firstLineChars="200"/>
        <w:rPr>
          <w:rFonts w:eastAsia="仿宋_GB2312"/>
          <w:sz w:val="32"/>
          <w:szCs w:val="32"/>
        </w:rPr>
      </w:pPr>
    </w:p>
    <w:p>
      <w:pPr>
        <w:adjustRightInd w:val="0"/>
        <w:snapToGrid w:val="0"/>
        <w:spacing w:line="620" w:lineRule="exact"/>
        <w:ind w:firstLine="640" w:firstLineChars="200"/>
        <w:rPr>
          <w:rFonts w:eastAsia="仿宋_GB2312"/>
          <w:sz w:val="32"/>
          <w:szCs w:val="32"/>
        </w:rPr>
      </w:pPr>
      <w:r>
        <w:rPr>
          <w:rFonts w:hint="eastAsia" w:eastAsia="仿宋_GB2312"/>
          <w:sz w:val="32"/>
          <w:szCs w:val="32"/>
        </w:rPr>
        <w:t>附件：鄢陵县教育体育局2 0 2 2年度部门预算表</w:t>
      </w:r>
    </w:p>
    <w:p>
      <w:pPr>
        <w:ind w:firstLine="640" w:firstLineChars="200"/>
        <w:rPr>
          <w:rFonts w:ascii="仿宋" w:hAnsi="仿宋" w:eastAsia="仿宋" w:cs="仿宋"/>
          <w:sz w:val="32"/>
          <w:szCs w:val="32"/>
        </w:rPr>
      </w:pPr>
      <w:r>
        <w:rPr>
          <w:rFonts w:hint="eastAsia" w:ascii="仿宋" w:hAnsi="仿宋" w:eastAsia="仿宋" w:cs="仿宋"/>
          <w:sz w:val="32"/>
          <w:szCs w:val="32"/>
        </w:rPr>
        <w:t>表1：2022年部门收支预算总表；</w:t>
      </w:r>
    </w:p>
    <w:p>
      <w:pPr>
        <w:ind w:firstLine="640" w:firstLineChars="200"/>
        <w:rPr>
          <w:rFonts w:ascii="仿宋" w:hAnsi="仿宋" w:eastAsia="仿宋" w:cs="仿宋"/>
          <w:sz w:val="32"/>
          <w:szCs w:val="32"/>
        </w:rPr>
      </w:pPr>
      <w:r>
        <w:rPr>
          <w:rFonts w:hint="eastAsia" w:ascii="仿宋" w:hAnsi="仿宋" w:eastAsia="仿宋" w:cs="仿宋"/>
          <w:sz w:val="32"/>
          <w:szCs w:val="32"/>
        </w:rPr>
        <w:t>表2：2022年部门收入预算表；</w:t>
      </w:r>
    </w:p>
    <w:p>
      <w:pPr>
        <w:ind w:firstLine="640" w:firstLineChars="200"/>
        <w:rPr>
          <w:rFonts w:ascii="仿宋" w:hAnsi="仿宋" w:eastAsia="仿宋" w:cs="仿宋"/>
          <w:sz w:val="32"/>
          <w:szCs w:val="32"/>
        </w:rPr>
      </w:pPr>
      <w:r>
        <w:rPr>
          <w:rFonts w:hint="eastAsia" w:ascii="仿宋" w:hAnsi="仿宋" w:eastAsia="仿宋" w:cs="仿宋"/>
          <w:sz w:val="32"/>
          <w:szCs w:val="32"/>
        </w:rPr>
        <w:t>表3：2022年部门支出预算表；</w:t>
      </w:r>
    </w:p>
    <w:p>
      <w:pPr>
        <w:ind w:firstLine="640" w:firstLineChars="200"/>
        <w:rPr>
          <w:rFonts w:ascii="仿宋" w:hAnsi="仿宋" w:eastAsia="仿宋" w:cs="仿宋"/>
          <w:sz w:val="32"/>
          <w:szCs w:val="32"/>
        </w:rPr>
      </w:pPr>
      <w:r>
        <w:rPr>
          <w:rFonts w:hint="eastAsia" w:ascii="仿宋" w:hAnsi="仿宋" w:eastAsia="仿宋" w:cs="仿宋"/>
          <w:sz w:val="32"/>
          <w:szCs w:val="32"/>
        </w:rPr>
        <w:t>表4：2022年财政拨款收支预算表；</w:t>
      </w:r>
    </w:p>
    <w:p>
      <w:pPr>
        <w:ind w:firstLine="640" w:firstLineChars="200"/>
        <w:rPr>
          <w:rFonts w:ascii="仿宋" w:hAnsi="仿宋" w:eastAsia="仿宋" w:cs="仿宋"/>
          <w:sz w:val="32"/>
          <w:szCs w:val="32"/>
        </w:rPr>
      </w:pPr>
      <w:r>
        <w:rPr>
          <w:rFonts w:hint="eastAsia" w:ascii="仿宋" w:hAnsi="仿宋" w:eastAsia="仿宋" w:cs="仿宋"/>
          <w:sz w:val="32"/>
          <w:szCs w:val="32"/>
        </w:rPr>
        <w:t>表5：2022年一般公共预算支出表；</w:t>
      </w:r>
    </w:p>
    <w:p>
      <w:pPr>
        <w:ind w:firstLine="640" w:firstLineChars="200"/>
        <w:rPr>
          <w:rFonts w:ascii="仿宋" w:hAnsi="仿宋" w:eastAsia="仿宋" w:cs="仿宋"/>
          <w:sz w:val="32"/>
          <w:szCs w:val="32"/>
        </w:rPr>
      </w:pPr>
      <w:r>
        <w:rPr>
          <w:rFonts w:hint="eastAsia" w:ascii="仿宋" w:hAnsi="仿宋" w:eastAsia="仿宋" w:cs="仿宋"/>
          <w:sz w:val="32"/>
          <w:szCs w:val="32"/>
        </w:rPr>
        <w:t>表6：2022年一般公共预算基本支出表；</w:t>
      </w:r>
    </w:p>
    <w:p>
      <w:pPr>
        <w:ind w:firstLine="640" w:firstLineChars="200"/>
        <w:rPr>
          <w:rFonts w:ascii="仿宋" w:hAnsi="仿宋" w:eastAsia="仿宋" w:cs="仿宋"/>
          <w:sz w:val="32"/>
          <w:szCs w:val="32"/>
        </w:rPr>
      </w:pPr>
      <w:r>
        <w:rPr>
          <w:rFonts w:hint="eastAsia" w:ascii="仿宋" w:hAnsi="仿宋" w:eastAsia="仿宋" w:cs="仿宋"/>
          <w:sz w:val="32"/>
          <w:szCs w:val="32"/>
        </w:rPr>
        <w:t>表7：2022年支出经济分类汇总表；</w:t>
      </w:r>
    </w:p>
    <w:p>
      <w:pPr>
        <w:ind w:firstLine="640" w:firstLineChars="200"/>
        <w:rPr>
          <w:rFonts w:ascii="仿宋" w:hAnsi="仿宋" w:eastAsia="仿宋" w:cs="仿宋"/>
          <w:sz w:val="32"/>
          <w:szCs w:val="32"/>
        </w:rPr>
      </w:pPr>
      <w:r>
        <w:rPr>
          <w:rFonts w:hint="eastAsia" w:ascii="仿宋" w:hAnsi="仿宋" w:eastAsia="仿宋" w:cs="仿宋"/>
          <w:sz w:val="32"/>
          <w:szCs w:val="32"/>
        </w:rPr>
        <w:t>表8：2022年“三公”经费预算表；</w:t>
      </w:r>
    </w:p>
    <w:p>
      <w:pPr>
        <w:ind w:firstLine="640" w:firstLineChars="200"/>
        <w:rPr>
          <w:rFonts w:ascii="仿宋" w:hAnsi="仿宋" w:eastAsia="仿宋" w:cs="仿宋"/>
          <w:sz w:val="32"/>
          <w:szCs w:val="32"/>
        </w:rPr>
      </w:pPr>
      <w:r>
        <w:rPr>
          <w:rFonts w:hint="eastAsia" w:ascii="仿宋" w:hAnsi="仿宋" w:eastAsia="仿宋" w:cs="仿宋"/>
          <w:sz w:val="32"/>
          <w:szCs w:val="32"/>
        </w:rPr>
        <w:t>表9：2022年政府性基金预算表；</w:t>
      </w:r>
    </w:p>
    <w:p>
      <w:pPr>
        <w:ind w:firstLine="640" w:firstLineChars="200"/>
        <w:rPr>
          <w:rFonts w:ascii="仿宋" w:hAnsi="仿宋" w:eastAsia="仿宋" w:cs="仿宋"/>
          <w:sz w:val="32"/>
          <w:szCs w:val="32"/>
        </w:rPr>
      </w:pPr>
      <w:r>
        <w:rPr>
          <w:rFonts w:hint="eastAsia" w:ascii="仿宋" w:hAnsi="仿宋" w:eastAsia="仿宋" w:cs="仿宋"/>
          <w:sz w:val="32"/>
          <w:szCs w:val="32"/>
        </w:rPr>
        <w:t>表10：2022年项目支出预算表</w:t>
      </w:r>
    </w:p>
    <w:p>
      <w:pPr>
        <w:ind w:firstLine="640" w:firstLineChars="200"/>
        <w:rPr>
          <w:rFonts w:ascii="仿宋" w:hAnsi="仿宋" w:eastAsia="仿宋" w:cs="仿宋"/>
          <w:sz w:val="32"/>
          <w:szCs w:val="32"/>
        </w:rPr>
      </w:pPr>
      <w:r>
        <w:rPr>
          <w:rFonts w:hint="eastAsia" w:ascii="仿宋" w:hAnsi="仿宋" w:eastAsia="仿宋" w:cs="仿宋"/>
          <w:sz w:val="32"/>
          <w:szCs w:val="32"/>
        </w:rPr>
        <w:t>表11：2022年本级部门(单位)整体绩效目标表</w:t>
      </w:r>
    </w:p>
    <w:p>
      <w:pPr>
        <w:ind w:firstLine="640" w:firstLineChars="200"/>
        <w:rPr>
          <w:rFonts w:hAnsi="仿宋_GB2312" w:eastAsia="仿宋_GB2312"/>
          <w:sz w:val="32"/>
          <w:szCs w:val="32"/>
        </w:rPr>
      </w:pPr>
      <w:r>
        <w:rPr>
          <w:rFonts w:hint="eastAsia" w:ascii="仿宋" w:hAnsi="仿宋" w:eastAsia="仿宋" w:cs="仿宋"/>
          <w:sz w:val="32"/>
          <w:szCs w:val="32"/>
        </w:rPr>
        <w:t>表12：2022年度部门预算项目绩效目标表</w:t>
      </w:r>
    </w:p>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auto"/>
    <w:pitch w:val="default"/>
    <w:sig w:usb0="00000000" w:usb1="00000000" w:usb2="0000000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E2621AF"/>
    <w:multiLevelType w:val="singleLevel"/>
    <w:tmpl w:val="0E2621AF"/>
    <w:lvl w:ilvl="0" w:tentative="0">
      <w:start w:val="1"/>
      <w:numFmt w:val="chineseCounting"/>
      <w:suff w:val="space"/>
      <w:lvlText w:val="第%1部分"/>
      <w:lvlJc w:val="left"/>
      <w:rPr>
        <w:rFonts w:hint="eastAsia"/>
      </w:rPr>
    </w:lvl>
  </w:abstractNum>
  <w:abstractNum w:abstractNumId="1">
    <w:nsid w:val="109E18CE"/>
    <w:multiLevelType w:val="singleLevel"/>
    <w:tmpl w:val="109E18CE"/>
    <w:lvl w:ilvl="0" w:tentative="0">
      <w:start w:val="1"/>
      <w:numFmt w:val="chineseCounting"/>
      <w:suff w:val="nothing"/>
      <w:lvlText w:val="（%1）"/>
      <w:lvlJc w:val="left"/>
      <w:pPr>
        <w:ind w:left="-10"/>
      </w:pPr>
      <w:rPr>
        <w:rFonts w:hint="eastAsia"/>
      </w:rPr>
    </w:lvl>
  </w:abstractNum>
  <w:abstractNum w:abstractNumId="2">
    <w:nsid w:val="492A0FD8"/>
    <w:multiLevelType w:val="singleLevel"/>
    <w:tmpl w:val="492A0FD8"/>
    <w:lvl w:ilvl="0" w:tentative="0">
      <w:start w:val="4"/>
      <w:numFmt w:val="chineseCounting"/>
      <w:suff w:val="nothing"/>
      <w:lvlText w:val="%1、"/>
      <w:lvlJc w:val="left"/>
      <w:rPr>
        <w:rFonts w:hint="eastAsia"/>
      </w:rPr>
    </w:lvl>
  </w:abstractNum>
  <w:abstractNum w:abstractNumId="3">
    <w:nsid w:val="5BBAD4AD"/>
    <w:multiLevelType w:val="singleLevel"/>
    <w:tmpl w:val="5BBAD4AD"/>
    <w:lvl w:ilvl="0" w:tentative="0">
      <w:start w:val="1"/>
      <w:numFmt w:val="chineseCounting"/>
      <w:suff w:val="nothing"/>
      <w:lvlText w:val="%1、"/>
      <w:lvlJc w:val="left"/>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TViODJhNTZiYzI0M2MwODIwZWI2NjI3ZmIxYWRiMGUifQ=="/>
  </w:docVars>
  <w:rsids>
    <w:rsidRoot w:val="005852B4"/>
    <w:rsid w:val="000978B7"/>
    <w:rsid w:val="000A742F"/>
    <w:rsid w:val="00114F01"/>
    <w:rsid w:val="00177AD9"/>
    <w:rsid w:val="002A65C1"/>
    <w:rsid w:val="002D31C0"/>
    <w:rsid w:val="002E1F7D"/>
    <w:rsid w:val="004B732C"/>
    <w:rsid w:val="004F4DFF"/>
    <w:rsid w:val="005852B4"/>
    <w:rsid w:val="006346DF"/>
    <w:rsid w:val="006E42EE"/>
    <w:rsid w:val="0073559E"/>
    <w:rsid w:val="00757A4F"/>
    <w:rsid w:val="0077540E"/>
    <w:rsid w:val="00837F6C"/>
    <w:rsid w:val="0088316A"/>
    <w:rsid w:val="0088429F"/>
    <w:rsid w:val="00886F18"/>
    <w:rsid w:val="008878BC"/>
    <w:rsid w:val="0095768F"/>
    <w:rsid w:val="009B7A2E"/>
    <w:rsid w:val="009C44B2"/>
    <w:rsid w:val="00A60FD0"/>
    <w:rsid w:val="00AC4573"/>
    <w:rsid w:val="00C15E42"/>
    <w:rsid w:val="00C92407"/>
    <w:rsid w:val="00D31D9C"/>
    <w:rsid w:val="00D47801"/>
    <w:rsid w:val="00D565F1"/>
    <w:rsid w:val="00E04618"/>
    <w:rsid w:val="00E24F06"/>
    <w:rsid w:val="00E732EB"/>
    <w:rsid w:val="00FF2A24"/>
    <w:rsid w:val="15C57570"/>
    <w:rsid w:val="199422DD"/>
    <w:rsid w:val="1D1A0314"/>
    <w:rsid w:val="3C38373D"/>
    <w:rsid w:val="4C9C0AFD"/>
    <w:rsid w:val="4CEF407E"/>
    <w:rsid w:val="74C26E4F"/>
    <w:rsid w:val="79B9327D"/>
    <w:rsid w:val="7BBC33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semiHidden/>
    <w:unhideWhenUsed/>
    <w:qFormat/>
    <w:uiPriority w:val="99"/>
    <w:pPr>
      <w:tabs>
        <w:tab w:val="center" w:pos="4153"/>
        <w:tab w:val="right" w:pos="8306"/>
      </w:tabs>
      <w:snapToGrid w:val="0"/>
      <w:jc w:val="left"/>
    </w:pPr>
    <w:rPr>
      <w:sz w:val="18"/>
      <w:szCs w:val="18"/>
    </w:rPr>
  </w:style>
  <w:style w:type="paragraph" w:styleId="3">
    <w:name w:val="header"/>
    <w:basedOn w:val="1"/>
    <w:link w:val="6"/>
    <w:semiHidden/>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semiHidden/>
    <w:uiPriority w:val="99"/>
    <w:rPr>
      <w:rFonts w:ascii="Times New Roman" w:hAnsi="Times New Roman" w:eastAsia="宋体" w:cs="Times New Roman"/>
      <w:kern w:val="2"/>
      <w:sz w:val="18"/>
      <w:szCs w:val="18"/>
    </w:rPr>
  </w:style>
  <w:style w:type="character" w:customStyle="1" w:styleId="7">
    <w:name w:val="页脚 Char"/>
    <w:basedOn w:val="5"/>
    <w:link w:val="2"/>
    <w:semiHidden/>
    <w:qFormat/>
    <w:uiPriority w:val="99"/>
    <w:rPr>
      <w:rFonts w:ascii="Times New Roman" w:hAnsi="Times New Roman" w:eastAsia="宋体" w:cs="Times New Roman"/>
      <w:kern w:val="2"/>
      <w:sz w:val="18"/>
      <w:szCs w:val="18"/>
    </w:rPr>
  </w:style>
  <w:style w:type="paragraph" w:customStyle="1" w:styleId="8">
    <w:name w:val="p0"/>
    <w:basedOn w:val="1"/>
    <w:qFormat/>
    <w:uiPriority w:val="0"/>
    <w:pPr>
      <w:widowControl/>
    </w:pPr>
    <w:rPr>
      <w:kern w:val="0"/>
      <w:szCs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51569CE9-F532-49D6-BA7D-ABE8D2CB5102}">
  <ds:schemaRefs/>
</ds:datastoreItem>
</file>

<file path=docProps/app.xml><?xml version="1.0" encoding="utf-8"?>
<Properties xmlns="http://schemas.openxmlformats.org/officeDocument/2006/extended-properties" xmlns:vt="http://schemas.openxmlformats.org/officeDocument/2006/docPropsVTypes">
  <Template>Normal.dotm</Template>
  <Pages>13</Pages>
  <Words>3937</Words>
  <Characters>4287</Characters>
  <Lines>31</Lines>
  <Paragraphs>8</Paragraphs>
  <TotalTime>0</TotalTime>
  <ScaleCrop>false</ScaleCrop>
  <LinksUpToDate>false</LinksUpToDate>
  <CharactersWithSpaces>4362</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2022-05-17T03:07:00Z</dcterms:created>
  <dc:creator>Administrator</dc:creator>
  <cp:lastModifiedBy>﹊St○p﹎失憶</cp:lastModifiedBy>
  <dcterms:modified xsi:type="dcterms:W3CDTF">2022-05-06T09:18:39Z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E3237D9976B84491ACDFDB1571975272</vt:lpwstr>
  </property>
</Properties>
</file>