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BC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农村危房改造资金补助标准</w:t>
      </w:r>
    </w:p>
    <w:p w14:paraId="7F8CE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补助标准：</w:t>
      </w:r>
      <w:r>
        <w:rPr>
          <w:rFonts w:hint="eastAsia" w:ascii="仿宋" w:hAnsi="仿宋" w:eastAsia="仿宋" w:cs="仿宋"/>
          <w:sz w:val="32"/>
          <w:szCs w:val="32"/>
        </w:rPr>
        <w:t>农户自筹资金为主、政府予以适当补助，是农村低收入群体等重点对象住房安全保障的主要方式。各省辖市和县(市、区)要结合当地实际，根据当年中央补助资金规模、改造需求、农户经济条件、房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屋危险程度、改造方式和建设成本等因素，科学合理设定细化分类分级补助标准。</w:t>
      </w:r>
    </w:p>
    <w:p w14:paraId="1350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农村危房改造维修加固原则上每户不高于18000元，拆除重建或选址新建原则上每户不高于50000元。</w:t>
      </w:r>
    </w:p>
    <w:p w14:paraId="4E7BD28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农房抗震改造采用新建原则上每户不高于8000元，采用加固的原则上每户不高于30000元。</w:t>
      </w:r>
    </w:p>
    <w:p w14:paraId="0E28D0C8"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在保障当年农村危房改造和农房抗震改造计划任务基础上，有条件的县(市、区)可同步实施农房节能改造，不得单独实施农房节能改造或品质提升。同步实施农房节能改造的县(市、区),上级补助资金可用于门窗等基础节能改造，户均补助标准原则上不高于5000元。各地不得擅自提高补助标准，上级补助资金有结余的，应增加改造任务数量，或按规定结转下年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30581"/>
    <w:rsid w:val="2423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2025-11-17T08:10:00Z</dcterms:created>
  <dc:creator>  </dc:creator>
  <cp:lastModifiedBy>  </cp:lastModifiedBy>
  <dcterms:modified xsi:type="dcterms:W3CDTF">2025-11-17T08:12:30Z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2210ABD5666C49FEA00FA8D4267D92CD_11</vt:lpwstr>
  </property>
  <property fmtid="{D5CDD505-2E9C-101B-9397-08002B2CF9AE}" pid="4" name="KSOTemplateDocerSaveRecord">
    <vt:lpwstr>eyJoZGlkIjoiYTY4ZjY5YzFjMGE0YzZhNzNhZGE0NzA1YmQ0ZTVmOTQiLCJ1c2VySWQiOiIzMjA3MjUyODMifQ==</vt:lpwstr>
  </property>
</Properties>
</file>