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center"/>
        <w:rPr>
          <w:rFonts w:ascii="仿宋" w:hAnsi="仿宋" w:eastAsia="仿宋" w:cs="宋体"/>
          <w:b/>
          <w:bCs/>
          <w:kern w:val="0"/>
          <w:sz w:val="44"/>
          <w:szCs w:val="44"/>
        </w:rPr>
      </w:pPr>
      <w:r>
        <w:rPr>
          <w:rFonts w:hint="eastAsia" w:ascii="仿宋" w:hAnsi="仿宋" w:eastAsia="仿宋" w:cs="宋体"/>
          <w:b/>
          <w:bCs/>
          <w:kern w:val="0"/>
          <w:sz w:val="44"/>
          <w:szCs w:val="44"/>
        </w:rPr>
        <w:t>国有建设用地使用权网上拍卖出让须知</w:t>
      </w:r>
    </w:p>
    <w:p>
      <w:pPr>
        <w:widowControl/>
        <w:spacing w:line="560" w:lineRule="exact"/>
        <w:rPr>
          <w:rFonts w:ascii="仿宋" w:hAnsi="仿宋" w:eastAsia="仿宋" w:cs="宋体"/>
          <w:kern w:val="0"/>
          <w:sz w:val="32"/>
          <w:szCs w:val="32"/>
        </w:rPr>
      </w:pPr>
      <w:r>
        <w:rPr>
          <w:rFonts w:ascii="仿宋" w:hAnsi="仿宋" w:eastAsia="仿宋" w:cs="宋体"/>
          <w:kern w:val="0"/>
          <w:sz w:val="32"/>
          <w:szCs w:val="32"/>
        </w:rPr>
        <w:t xml:space="preserve">    </w:t>
      </w:r>
    </w:p>
    <w:p>
      <w:pPr>
        <w:widowControl/>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根据《中华人民共和国土地管理法》《招标拍卖出让国有建设用地使用权规定》（自然资源部令第</w:t>
      </w:r>
      <w:r>
        <w:rPr>
          <w:rFonts w:ascii="仿宋" w:hAnsi="仿宋" w:eastAsia="仿宋" w:cs="宋体"/>
          <w:kern w:val="0"/>
          <w:sz w:val="32"/>
          <w:szCs w:val="32"/>
        </w:rPr>
        <w:t>39</w:t>
      </w:r>
      <w:r>
        <w:rPr>
          <w:rFonts w:hint="eastAsia" w:ascii="仿宋" w:hAnsi="仿宋" w:eastAsia="仿宋" w:cs="宋体"/>
          <w:kern w:val="0"/>
          <w:sz w:val="32"/>
          <w:szCs w:val="32"/>
        </w:rPr>
        <w:t>号）和《河南省人民政府办公厅关于转发河南省国有建设用地使用权网上交易管理办法的通知》（豫政办〔</w:t>
      </w:r>
      <w:r>
        <w:rPr>
          <w:rFonts w:ascii="仿宋" w:hAnsi="仿宋" w:eastAsia="仿宋" w:cs="宋体"/>
          <w:kern w:val="0"/>
          <w:sz w:val="32"/>
          <w:szCs w:val="32"/>
        </w:rPr>
        <w:t>2015</w:t>
      </w:r>
      <w:r>
        <w:rPr>
          <w:rFonts w:hint="eastAsia" w:ascii="仿宋" w:hAnsi="仿宋" w:eastAsia="仿宋" w:cs="宋体"/>
          <w:kern w:val="0"/>
          <w:sz w:val="32"/>
          <w:szCs w:val="32"/>
        </w:rPr>
        <w:t>〕</w:t>
      </w:r>
      <w:r>
        <w:rPr>
          <w:rFonts w:ascii="仿宋" w:hAnsi="仿宋" w:eastAsia="仿宋" w:cs="宋体"/>
          <w:kern w:val="0"/>
          <w:sz w:val="32"/>
          <w:szCs w:val="32"/>
        </w:rPr>
        <w:t>135</w:t>
      </w:r>
      <w:r>
        <w:rPr>
          <w:rFonts w:hint="eastAsia" w:ascii="仿宋" w:hAnsi="仿宋" w:eastAsia="仿宋" w:cs="宋体"/>
          <w:kern w:val="0"/>
          <w:sz w:val="32"/>
          <w:szCs w:val="32"/>
        </w:rPr>
        <w:t>号）等法律法规和有关规定，经鄢陵县人民政府批准，鄢陵县自然资源局决定以网上拍卖方式出让</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宗地的国有建设用地使用权。</w:t>
      </w:r>
      <w:r>
        <w:rPr>
          <w:rFonts w:ascii="仿宋" w:hAnsi="仿宋" w:eastAsia="仿宋" w:cs="宋体"/>
          <w:kern w:val="0"/>
          <w:sz w:val="32"/>
          <w:szCs w:val="32"/>
        </w:rPr>
        <w:t xml:space="preserve"> </w:t>
      </w: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（一）出让人及承办机构</w:t>
      </w:r>
      <w:r>
        <w:rPr>
          <w:rFonts w:ascii="仿宋" w:hAnsi="仿宋" w:eastAsia="仿宋" w:cs="宋体"/>
          <w:kern w:val="0"/>
          <w:sz w:val="32"/>
          <w:szCs w:val="32"/>
        </w:rPr>
        <w:t xml:space="preserve"> </w:t>
      </w:r>
    </w:p>
    <w:p>
      <w:pPr>
        <w:widowControl/>
        <w:spacing w:line="560" w:lineRule="exact"/>
        <w:ind w:left="13860" w:leftChars="200" w:hanging="13440" w:hangingChars="4200"/>
        <w:rPr>
          <w:rFonts w:ascii="仿宋" w:hAnsi="仿宋" w:eastAsia="仿宋" w:cs="宋体"/>
          <w:color w:val="000000"/>
          <w:kern w:val="0"/>
          <w:sz w:val="32"/>
          <w:szCs w:val="32"/>
        </w:rPr>
      </w:pPr>
      <w:r>
        <w:rPr>
          <w:rFonts w:hint="eastAsia" w:ascii="仿宋" w:hAnsi="仿宋" w:eastAsia="仿宋" w:cs="宋体"/>
          <w:kern w:val="0"/>
          <w:sz w:val="32"/>
          <w:szCs w:val="32"/>
        </w:rPr>
        <w:t>本次网上拍卖出让人为鄢陵县自然资源局，拍卖承办机构为鄢陵县公共资源交易中心。</w:t>
      </w:r>
      <w:r>
        <w:rPr>
          <w:rFonts w:ascii="仿宋" w:hAnsi="仿宋" w:eastAsia="仿宋" w:cs="宋体"/>
          <w:kern w:val="0"/>
          <w:sz w:val="32"/>
          <w:szCs w:val="32"/>
        </w:rPr>
        <w:t xml:space="preserve">                              </w:t>
      </w:r>
      <w:r>
        <w:rPr>
          <w:rFonts w:ascii="仿宋" w:hAnsi="仿宋" w:eastAsia="仿宋" w:cs="宋体"/>
          <w:color w:val="000000"/>
          <w:kern w:val="0"/>
          <w:sz w:val="32"/>
          <w:szCs w:val="32"/>
        </w:rPr>
        <w:t xml:space="preserve"> </w:t>
      </w:r>
    </w:p>
    <w:p>
      <w:pPr>
        <w:rPr>
          <w:rFonts w:ascii="仿宋" w:hAnsi="仿宋" w:eastAsia="仿宋" w:cs="宋体"/>
          <w:kern w:val="0"/>
          <w:sz w:val="32"/>
          <w:szCs w:val="32"/>
        </w:rPr>
      </w:pPr>
      <w:r>
        <w:rPr>
          <w:rFonts w:hint="eastAsia" w:ascii="仿宋" w:hAnsi="仿宋" w:eastAsia="仿宋" w:cs="宋体"/>
          <w:kern w:val="0"/>
          <w:sz w:val="32"/>
          <w:szCs w:val="32"/>
        </w:rPr>
        <w:t>（二）出让人及有关机构联系方式</w:t>
      </w:r>
      <w:r>
        <w:rPr>
          <w:rFonts w:ascii="仿宋" w:hAnsi="仿宋" w:eastAsia="仿宋" w:cs="宋体"/>
          <w:kern w:val="0"/>
          <w:sz w:val="32"/>
          <w:szCs w:val="32"/>
        </w:rPr>
        <w:t xml:space="preserve"> </w:t>
      </w:r>
    </w:p>
    <w:p>
      <w:pPr>
        <w:widowControl/>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、鄢陵县自然资源局联系方式</w:t>
      </w:r>
      <w:r>
        <w:rPr>
          <w:rFonts w:ascii="仿宋" w:hAnsi="仿宋" w:eastAsia="仿宋" w:cs="宋体"/>
          <w:kern w:val="0"/>
          <w:sz w:val="32"/>
          <w:szCs w:val="32"/>
        </w:rPr>
        <w:t xml:space="preserve"> </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地址：鄢陵县开发区花都大道南侧</w:t>
      </w:r>
      <w:r>
        <w:rPr>
          <w:rFonts w:ascii="仿宋" w:hAnsi="仿宋" w:eastAsia="仿宋" w:cs="宋体"/>
          <w:kern w:val="0"/>
          <w:sz w:val="32"/>
          <w:szCs w:val="32"/>
        </w:rPr>
        <w:t>869</w:t>
      </w:r>
      <w:r>
        <w:rPr>
          <w:rFonts w:hint="eastAsia" w:ascii="仿宋" w:hAnsi="仿宋" w:eastAsia="仿宋" w:cs="宋体"/>
          <w:kern w:val="0"/>
          <w:sz w:val="32"/>
          <w:szCs w:val="32"/>
        </w:rPr>
        <w:t>号</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联系人：李先生</w:t>
      </w:r>
      <w:r>
        <w:rPr>
          <w:rFonts w:ascii="仿宋" w:hAnsi="仿宋" w:eastAsia="仿宋" w:cs="宋体"/>
          <w:kern w:val="0"/>
          <w:sz w:val="32"/>
          <w:szCs w:val="32"/>
        </w:rPr>
        <w:t xml:space="preserve">      </w:t>
      </w:r>
      <w:r>
        <w:rPr>
          <w:rFonts w:hint="eastAsia" w:ascii="仿宋" w:hAnsi="仿宋" w:eastAsia="仿宋" w:cs="宋体"/>
          <w:kern w:val="0"/>
          <w:sz w:val="32"/>
          <w:szCs w:val="32"/>
        </w:rPr>
        <w:t>陈先生</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联系电话：</w:t>
      </w:r>
      <w:r>
        <w:rPr>
          <w:rFonts w:ascii="仿宋" w:hAnsi="仿宋" w:eastAsia="仿宋" w:cs="宋体"/>
          <w:kern w:val="0"/>
          <w:sz w:val="32"/>
          <w:szCs w:val="32"/>
        </w:rPr>
        <w:t>0374-----7165129</w:t>
      </w:r>
    </w:p>
    <w:p>
      <w:pPr>
        <w:widowControl/>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w:t>
      </w:r>
      <w:r>
        <w:rPr>
          <w:rFonts w:hint="eastAsia" w:ascii="仿宋" w:hAnsi="仿宋" w:eastAsia="仿宋" w:cs="宋体"/>
          <w:color w:val="000000"/>
          <w:kern w:val="0"/>
          <w:sz w:val="32"/>
          <w:szCs w:val="32"/>
        </w:rPr>
        <w:t>鄢陵县公共资源交易中心</w:t>
      </w:r>
      <w:r>
        <w:rPr>
          <w:rFonts w:hint="eastAsia" w:ascii="仿宋" w:hAnsi="仿宋" w:eastAsia="仿宋" w:cs="宋体"/>
          <w:kern w:val="0"/>
          <w:sz w:val="32"/>
          <w:szCs w:val="32"/>
        </w:rPr>
        <w:t>联系方式</w:t>
      </w:r>
      <w:r>
        <w:rPr>
          <w:rFonts w:ascii="仿宋" w:hAnsi="仿宋" w:eastAsia="仿宋" w:cs="宋体"/>
          <w:kern w:val="0"/>
          <w:sz w:val="32"/>
          <w:szCs w:val="32"/>
        </w:rPr>
        <w:t xml:space="preserve"> </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地址：鄢陵县鄢陶路东侧</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联系人：刘先生</w:t>
      </w:r>
    </w:p>
    <w:p>
      <w:pPr>
        <w:widowControl/>
        <w:spacing w:line="600" w:lineRule="exact"/>
        <w:ind w:firstLine="640" w:firstLineChars="200"/>
        <w:rPr>
          <w:rFonts w:ascii="仿宋" w:hAnsi="仿宋" w:eastAsia="仿宋" w:cs="宋体"/>
          <w:kern w:val="0"/>
          <w:sz w:val="32"/>
          <w:szCs w:val="32"/>
          <w:u w:val="single"/>
        </w:rPr>
      </w:pPr>
      <w:r>
        <w:rPr>
          <w:rFonts w:hint="eastAsia" w:ascii="仿宋" w:hAnsi="仿宋" w:eastAsia="仿宋" w:cs="宋体"/>
          <w:kern w:val="0"/>
          <w:sz w:val="32"/>
          <w:szCs w:val="32"/>
        </w:rPr>
        <w:t>联系电话：</w:t>
      </w:r>
      <w:r>
        <w:rPr>
          <w:rFonts w:ascii="仿宋" w:hAnsi="仿宋" w:eastAsia="仿宋" w:cs="宋体"/>
          <w:kern w:val="0"/>
          <w:sz w:val="32"/>
          <w:szCs w:val="32"/>
          <w:u w:val="single"/>
        </w:rPr>
        <w:t>0374---7607772</w:t>
      </w:r>
    </w:p>
    <w:p>
      <w:pPr>
        <w:widowControl/>
        <w:numPr>
          <w:ilvl w:val="0"/>
          <w:numId w:val="1"/>
        </w:num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河南省数字证书有限公司联系方式</w:t>
      </w:r>
      <w:r>
        <w:rPr>
          <w:rFonts w:ascii="仿宋" w:hAnsi="仿宋" w:eastAsia="仿宋" w:cs="宋体"/>
          <w:kern w:val="0"/>
          <w:sz w:val="32"/>
          <w:szCs w:val="32"/>
        </w:rPr>
        <w:t xml:space="preserve"> </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省办证大厅地址：</w:t>
      </w:r>
    </w:p>
    <w:p>
      <w:pPr>
        <w:widowControl/>
        <w:spacing w:line="600" w:lineRule="exact"/>
        <w:ind w:firstLine="640" w:firstLineChars="200"/>
        <w:rPr>
          <w:rFonts w:ascii="仿宋" w:hAnsi="仿宋" w:eastAsia="仿宋" w:cs="宋体"/>
          <w:kern w:val="0"/>
          <w:sz w:val="32"/>
          <w:szCs w:val="32"/>
          <w:u w:val="single"/>
        </w:rPr>
      </w:pPr>
      <w:r>
        <w:rPr>
          <w:rFonts w:hint="eastAsia" w:ascii="仿宋" w:hAnsi="仿宋" w:eastAsia="仿宋" w:cs="宋体"/>
          <w:kern w:val="0"/>
          <w:sz w:val="32"/>
          <w:szCs w:val="32"/>
        </w:rPr>
        <w:t>服务热线：</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各设区市办理数字证书</w:t>
      </w:r>
      <w:r>
        <w:rPr>
          <w:rFonts w:ascii="仿宋" w:hAnsi="仿宋" w:eastAsia="仿宋" w:cs="宋体"/>
          <w:kern w:val="0"/>
          <w:sz w:val="32"/>
          <w:szCs w:val="32"/>
        </w:rPr>
        <w:t>Ukey</w:t>
      </w:r>
      <w:r>
        <w:rPr>
          <w:rFonts w:hint="eastAsia" w:ascii="仿宋" w:hAnsi="仿宋" w:eastAsia="仿宋" w:cs="宋体"/>
          <w:kern w:val="0"/>
          <w:sz w:val="32"/>
          <w:szCs w:val="32"/>
        </w:rPr>
        <w:t>地址及联系电话请登陆</w:t>
      </w:r>
      <w:r>
        <w:rPr>
          <w:rFonts w:hint="eastAsia"/>
          <w:sz w:val="30"/>
          <w:szCs w:val="30"/>
        </w:rPr>
        <w:t>http://td.hnggzy.com/#/</w:t>
      </w:r>
      <w:r>
        <w:rPr>
          <w:rFonts w:hint="eastAsia" w:ascii="仿宋" w:hAnsi="仿宋" w:eastAsia="仿宋" w:cs="宋体"/>
          <w:kern w:val="0"/>
          <w:sz w:val="32"/>
          <w:szCs w:val="32"/>
        </w:rPr>
        <w:t>查阅。</w:t>
      </w:r>
      <w:r>
        <w:rPr>
          <w:rFonts w:ascii="仿宋" w:hAnsi="仿宋" w:eastAsia="仿宋" w:cs="宋体"/>
          <w:kern w:val="0"/>
          <w:sz w:val="32"/>
          <w:szCs w:val="32"/>
        </w:rPr>
        <w:t xml:space="preserve"> </w:t>
      </w:r>
    </w:p>
    <w:p>
      <w:pPr>
        <w:widowControl/>
        <w:numPr>
          <w:ilvl w:val="0"/>
          <w:numId w:val="2"/>
        </w:numPr>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本次国有建设用地使用权网上</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拍卖出让遵循公开、公平、公正和诚实信用原则。</w:t>
      </w:r>
      <w:r>
        <w:rPr>
          <w:rFonts w:ascii="仿宋" w:hAnsi="仿宋" w:eastAsia="仿宋" w:cs="宋体"/>
          <w:b/>
          <w:bCs/>
          <w:kern w:val="0"/>
          <w:sz w:val="32"/>
          <w:szCs w:val="32"/>
        </w:rPr>
        <w:t xml:space="preserve"> </w:t>
      </w:r>
    </w:p>
    <w:p>
      <w:pPr>
        <w:widowControl/>
        <w:numPr>
          <w:ilvl w:val="0"/>
          <w:numId w:val="2"/>
        </w:numPr>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出让地块基本情况及使用条件</w:t>
      </w:r>
    </w:p>
    <w:p>
      <w:pPr>
        <w:widowControl/>
        <w:spacing w:line="560" w:lineRule="exact"/>
        <w:rPr>
          <w:rFonts w:ascii="仿宋" w:hAnsi="仿宋" w:eastAsia="仿宋" w:cs="宋体"/>
          <w:kern w:val="0"/>
          <w:sz w:val="32"/>
          <w:szCs w:val="32"/>
        </w:rPr>
      </w:pPr>
      <w:r>
        <w:rPr>
          <w:rFonts w:hint="eastAsia" w:ascii="仿宋" w:hAnsi="仿宋" w:eastAsia="仿宋" w:cs="宋体"/>
          <w:b/>
          <w:bCs/>
          <w:kern w:val="0"/>
          <w:sz w:val="32"/>
          <w:szCs w:val="32"/>
        </w:rPr>
        <w:t>表一：</w:t>
      </w:r>
    </w:p>
    <w:p>
      <w:pPr>
        <w:widowControl/>
        <w:spacing w:line="560" w:lineRule="exact"/>
        <w:ind w:firstLine="643" w:firstLineChars="200"/>
        <w:rPr>
          <w:rFonts w:ascii="仿宋" w:hAnsi="仿宋" w:eastAsia="仿宋" w:cs="宋体"/>
          <w:b/>
          <w:bCs/>
          <w:kern w:val="0"/>
          <w:sz w:val="32"/>
          <w:szCs w:val="32"/>
        </w:rPr>
      </w:pPr>
    </w:p>
    <w:p>
      <w:pPr>
        <w:widowControl/>
        <w:spacing w:line="560" w:lineRule="exact"/>
        <w:ind w:firstLine="643" w:firstLineChars="200"/>
        <w:rPr>
          <w:rFonts w:ascii="仿宋" w:hAnsi="仿宋" w:eastAsia="仿宋" w:cs="宋体"/>
          <w:b/>
          <w:bCs/>
          <w:kern w:val="0"/>
          <w:sz w:val="32"/>
          <w:szCs w:val="32"/>
        </w:rPr>
      </w:pPr>
    </w:p>
    <w:p>
      <w:pPr>
        <w:widowControl/>
        <w:spacing w:line="560" w:lineRule="exact"/>
        <w:ind w:firstLine="643" w:firstLineChars="200"/>
        <w:rPr>
          <w:rFonts w:ascii="仿宋" w:hAnsi="仿宋" w:eastAsia="仿宋" w:cs="宋体"/>
          <w:b/>
          <w:bCs/>
          <w:kern w:val="0"/>
          <w:sz w:val="32"/>
          <w:szCs w:val="32"/>
        </w:rPr>
      </w:pPr>
    </w:p>
    <w:tbl>
      <w:tblPr>
        <w:tblStyle w:val="4"/>
        <w:tblpPr w:leftFromText="180" w:rightFromText="180" w:vertAnchor="text" w:horzAnchor="page" w:tblpX="1543" w:tblpY="232"/>
        <w:tblW w:w="14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68"/>
        <w:gridCol w:w="1512"/>
        <w:gridCol w:w="3317"/>
        <w:gridCol w:w="1890"/>
        <w:gridCol w:w="1890"/>
        <w:gridCol w:w="1440"/>
        <w:gridCol w:w="690"/>
        <w:gridCol w:w="88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526" w:type="dxa"/>
            <w:vAlign w:val="center"/>
          </w:tcPr>
          <w:p>
            <w:pPr>
              <w:widowControl/>
              <w:spacing w:line="560" w:lineRule="exact"/>
              <w:jc w:val="center"/>
              <w:rPr>
                <w:rFonts w:ascii="宋体" w:cs="宋体"/>
                <w:kern w:val="0"/>
                <w:szCs w:val="21"/>
              </w:rPr>
            </w:pPr>
            <w:r>
              <w:rPr>
                <w:rFonts w:hint="eastAsia" w:ascii="宋体" w:hAnsi="宋体" w:cs="宋体"/>
                <w:kern w:val="0"/>
                <w:szCs w:val="21"/>
              </w:rPr>
              <w:t>序号</w:t>
            </w:r>
          </w:p>
        </w:tc>
        <w:tc>
          <w:tcPr>
            <w:tcW w:w="1068" w:type="dxa"/>
            <w:vAlign w:val="center"/>
          </w:tcPr>
          <w:p>
            <w:pPr>
              <w:widowControl/>
              <w:spacing w:line="560" w:lineRule="exact"/>
              <w:jc w:val="center"/>
              <w:rPr>
                <w:rFonts w:ascii="宋体" w:cs="宋体"/>
                <w:kern w:val="0"/>
                <w:szCs w:val="21"/>
              </w:rPr>
            </w:pPr>
            <w:r>
              <w:rPr>
                <w:rFonts w:hint="eastAsia" w:ascii="宋体" w:hAnsi="宋体" w:cs="宋体"/>
                <w:kern w:val="0"/>
                <w:szCs w:val="21"/>
              </w:rPr>
              <w:t>地块编号</w:t>
            </w:r>
          </w:p>
        </w:tc>
        <w:tc>
          <w:tcPr>
            <w:tcW w:w="1512" w:type="dxa"/>
            <w:vAlign w:val="center"/>
          </w:tcPr>
          <w:p>
            <w:pPr>
              <w:widowControl/>
              <w:spacing w:line="560" w:lineRule="exact"/>
              <w:jc w:val="center"/>
              <w:rPr>
                <w:rFonts w:ascii="宋体" w:cs="宋体"/>
                <w:kern w:val="0"/>
                <w:szCs w:val="21"/>
              </w:rPr>
            </w:pPr>
            <w:r>
              <w:rPr>
                <w:rFonts w:hint="eastAsia" w:ascii="宋体" w:hAnsi="宋体" w:cs="宋体"/>
                <w:kern w:val="0"/>
                <w:szCs w:val="21"/>
              </w:rPr>
              <w:t>地块位置</w:t>
            </w:r>
          </w:p>
        </w:tc>
        <w:tc>
          <w:tcPr>
            <w:tcW w:w="3317" w:type="dxa"/>
            <w:vAlign w:val="center"/>
          </w:tcPr>
          <w:p>
            <w:pPr>
              <w:widowControl/>
              <w:spacing w:line="560" w:lineRule="exact"/>
              <w:jc w:val="center"/>
              <w:rPr>
                <w:rFonts w:ascii="宋体" w:cs="宋体"/>
                <w:kern w:val="0"/>
                <w:szCs w:val="21"/>
              </w:rPr>
            </w:pPr>
            <w:r>
              <w:rPr>
                <w:rFonts w:hint="eastAsia" w:ascii="宋体" w:hAnsi="宋体" w:cs="宋体"/>
                <w:kern w:val="0"/>
                <w:szCs w:val="21"/>
              </w:rPr>
              <w:t>地块四至范围</w:t>
            </w:r>
          </w:p>
        </w:tc>
        <w:tc>
          <w:tcPr>
            <w:tcW w:w="1890" w:type="dxa"/>
            <w:vAlign w:val="center"/>
          </w:tcPr>
          <w:p>
            <w:pPr>
              <w:widowControl/>
              <w:spacing w:line="560" w:lineRule="exact"/>
              <w:jc w:val="center"/>
              <w:rPr>
                <w:rFonts w:ascii="宋体" w:cs="宋体"/>
                <w:kern w:val="0"/>
                <w:szCs w:val="21"/>
              </w:rPr>
            </w:pPr>
            <w:r>
              <w:rPr>
                <w:rFonts w:hint="eastAsia" w:ascii="宋体" w:hAnsi="宋体" w:cs="宋体"/>
                <w:kern w:val="0"/>
                <w:szCs w:val="21"/>
              </w:rPr>
              <w:t>出让面积</w:t>
            </w:r>
          </w:p>
          <w:p>
            <w:pPr>
              <w:widowControl/>
              <w:spacing w:line="560" w:lineRule="exact"/>
              <w:jc w:val="center"/>
              <w:rPr>
                <w:rFonts w:ascii="宋体" w:cs="宋体"/>
                <w:kern w:val="0"/>
                <w:szCs w:val="21"/>
              </w:rPr>
            </w:pPr>
            <w:r>
              <w:rPr>
                <w:rFonts w:hint="eastAsia" w:ascii="宋体" w:hAnsi="宋体" w:cs="宋体"/>
                <w:kern w:val="0"/>
                <w:szCs w:val="21"/>
              </w:rPr>
              <w:t>（平方米</w:t>
            </w:r>
            <w:r>
              <w:rPr>
                <w:rFonts w:hint="eastAsia" w:ascii="宋体" w:hAnsi="宋体" w:cs="宋体"/>
                <w:kern w:val="0"/>
                <w:szCs w:val="21"/>
                <w:lang w:val="en-US" w:eastAsia="zh-CN"/>
              </w:rPr>
              <w:t>/</w:t>
            </w:r>
            <w:r>
              <w:rPr>
                <w:rFonts w:hint="eastAsia" w:ascii="宋体" w:hAnsi="宋体" w:cs="宋体"/>
                <w:kern w:val="0"/>
                <w:szCs w:val="21"/>
              </w:rPr>
              <w:t>亩）</w:t>
            </w:r>
          </w:p>
        </w:tc>
        <w:tc>
          <w:tcPr>
            <w:tcW w:w="1890" w:type="dxa"/>
            <w:vAlign w:val="center"/>
          </w:tcPr>
          <w:p>
            <w:pPr>
              <w:widowControl/>
              <w:spacing w:line="560" w:lineRule="exact"/>
              <w:jc w:val="center"/>
              <w:rPr>
                <w:rFonts w:ascii="宋体" w:cs="宋体"/>
                <w:kern w:val="0"/>
                <w:szCs w:val="21"/>
              </w:rPr>
            </w:pPr>
            <w:r>
              <w:rPr>
                <w:rFonts w:hint="eastAsia" w:ascii="宋体" w:hAnsi="宋体" w:cs="宋体"/>
                <w:kern w:val="0"/>
                <w:szCs w:val="21"/>
              </w:rPr>
              <w:t>土地权属来源批复文件</w:t>
            </w:r>
          </w:p>
        </w:tc>
        <w:tc>
          <w:tcPr>
            <w:tcW w:w="1440" w:type="dxa"/>
            <w:vAlign w:val="center"/>
          </w:tcPr>
          <w:p>
            <w:pPr>
              <w:widowControl/>
              <w:spacing w:line="560" w:lineRule="exact"/>
              <w:jc w:val="center"/>
              <w:rPr>
                <w:rFonts w:ascii="宋体" w:cs="宋体"/>
                <w:kern w:val="0"/>
                <w:szCs w:val="21"/>
              </w:rPr>
            </w:pPr>
            <w:r>
              <w:rPr>
                <w:rFonts w:hint="eastAsia" w:ascii="宋体" w:hAnsi="宋体" w:cs="宋体"/>
                <w:kern w:val="0"/>
                <w:szCs w:val="21"/>
              </w:rPr>
              <w:t>土地估价报告备案号</w:t>
            </w:r>
          </w:p>
        </w:tc>
        <w:tc>
          <w:tcPr>
            <w:tcW w:w="690" w:type="dxa"/>
            <w:vAlign w:val="center"/>
          </w:tcPr>
          <w:p>
            <w:pPr>
              <w:widowControl/>
              <w:spacing w:line="560" w:lineRule="exact"/>
              <w:jc w:val="center"/>
              <w:rPr>
                <w:rFonts w:ascii="宋体" w:cs="宋体"/>
                <w:kern w:val="0"/>
                <w:szCs w:val="21"/>
              </w:rPr>
            </w:pPr>
            <w:r>
              <w:rPr>
                <w:rFonts w:hint="eastAsia" w:ascii="宋体" w:hAnsi="宋体" w:cs="宋体"/>
                <w:kern w:val="0"/>
                <w:szCs w:val="21"/>
              </w:rPr>
              <w:t>土地用途</w:t>
            </w:r>
          </w:p>
        </w:tc>
        <w:tc>
          <w:tcPr>
            <w:tcW w:w="885" w:type="dxa"/>
            <w:vAlign w:val="center"/>
          </w:tcPr>
          <w:p>
            <w:pPr>
              <w:widowControl/>
              <w:spacing w:line="560" w:lineRule="exact"/>
              <w:jc w:val="center"/>
              <w:rPr>
                <w:rFonts w:ascii="宋体" w:cs="宋体"/>
                <w:kern w:val="0"/>
                <w:szCs w:val="21"/>
              </w:rPr>
            </w:pPr>
            <w:r>
              <w:rPr>
                <w:rFonts w:hint="eastAsia" w:ascii="宋体" w:hAnsi="宋体" w:cs="宋体"/>
                <w:kern w:val="0"/>
                <w:szCs w:val="21"/>
              </w:rPr>
              <w:t>绿地率</w:t>
            </w:r>
          </w:p>
        </w:tc>
        <w:tc>
          <w:tcPr>
            <w:tcW w:w="1213" w:type="dxa"/>
            <w:vAlign w:val="center"/>
          </w:tcPr>
          <w:p>
            <w:pPr>
              <w:widowControl/>
              <w:spacing w:line="560" w:lineRule="exact"/>
              <w:jc w:val="center"/>
              <w:rPr>
                <w:rFonts w:ascii="宋体" w:cs="宋体"/>
                <w:kern w:val="0"/>
                <w:szCs w:val="21"/>
              </w:rPr>
            </w:pPr>
            <w:r>
              <w:rPr>
                <w:rFonts w:hint="eastAsia" w:ascii="宋体" w:hAnsi="宋体" w:cs="宋体"/>
                <w:kern w:val="0"/>
                <w:szCs w:val="21"/>
              </w:rPr>
              <w:t>规划建筑密度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526" w:type="dxa"/>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1068" w:type="dxa"/>
            <w:vAlign w:val="center"/>
          </w:tcPr>
          <w:p>
            <w:pPr>
              <w:shd w:val="solid" w:color="FFFFFF" w:fill="auto"/>
              <w:autoSpaceDN w:val="0"/>
              <w:jc w:val="both"/>
              <w:rPr>
                <w:rFonts w:hint="eastAsia" w:ascii="宋体" w:hAnsi="宋体" w:eastAsia="宋体" w:cs="宋体"/>
                <w:kern w:val="0"/>
                <w:sz w:val="18"/>
                <w:szCs w:val="18"/>
              </w:rPr>
            </w:pPr>
            <w:r>
              <w:rPr>
                <w:rFonts w:hint="eastAsia" w:ascii="宋体" w:hAnsi="宋体" w:eastAsia="宋体" w:cs="宋体"/>
                <w:b w:val="0"/>
                <w:bCs/>
                <w:color w:val="000000"/>
                <w:kern w:val="0"/>
                <w:sz w:val="18"/>
                <w:szCs w:val="18"/>
                <w:lang w:val="en-US" w:eastAsia="zh-CN"/>
              </w:rPr>
              <w:t>YC-21-20</w:t>
            </w:r>
            <w:r>
              <w:rPr>
                <w:rFonts w:hint="eastAsia" w:ascii="宋体" w:hAnsi="宋体" w:eastAsia="宋体" w:cs="宋体"/>
                <w:b w:val="0"/>
                <w:bCs/>
                <w:color w:val="000000"/>
                <w:kern w:val="0"/>
                <w:sz w:val="18"/>
                <w:szCs w:val="18"/>
                <w:vertAlign w:val="superscript"/>
                <w:lang w:val="en-US" w:eastAsia="zh-CN"/>
              </w:rPr>
              <w:t>#</w:t>
            </w:r>
          </w:p>
        </w:tc>
        <w:tc>
          <w:tcPr>
            <w:tcW w:w="1512"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创业大道以东、二级河以南</w:t>
            </w:r>
          </w:p>
        </w:tc>
        <w:tc>
          <w:tcPr>
            <w:tcW w:w="3317" w:type="dxa"/>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东邻：</w:t>
            </w:r>
            <w:r>
              <w:rPr>
                <w:rFonts w:hint="eastAsia" w:ascii="宋体" w:hAnsi="宋体" w:cs="宋体"/>
                <w:kern w:val="0"/>
                <w:sz w:val="18"/>
                <w:szCs w:val="18"/>
                <w:lang w:eastAsia="zh-CN"/>
              </w:rPr>
              <w:t>李孟社区</w:t>
            </w:r>
            <w:r>
              <w:rPr>
                <w:rFonts w:hint="eastAsia" w:ascii="宋体" w:hAnsi="宋体" w:eastAsia="宋体" w:cs="宋体"/>
                <w:kern w:val="0"/>
                <w:sz w:val="18"/>
                <w:szCs w:val="18"/>
              </w:rPr>
              <w:t>、西邻：</w:t>
            </w:r>
            <w:r>
              <w:rPr>
                <w:rFonts w:hint="eastAsia" w:ascii="宋体" w:hAnsi="宋体" w:cs="宋体"/>
                <w:kern w:val="0"/>
                <w:sz w:val="18"/>
                <w:szCs w:val="18"/>
                <w:lang w:eastAsia="zh-CN"/>
              </w:rPr>
              <w:t>创业大道</w:t>
            </w:r>
            <w:r>
              <w:rPr>
                <w:rFonts w:hint="eastAsia" w:ascii="宋体" w:hAnsi="宋体" w:eastAsia="宋体" w:cs="宋体"/>
                <w:kern w:val="0"/>
                <w:sz w:val="18"/>
                <w:szCs w:val="18"/>
              </w:rPr>
              <w:t>、南邻：</w:t>
            </w:r>
            <w:r>
              <w:rPr>
                <w:rFonts w:hint="eastAsia" w:ascii="宋体" w:hAnsi="宋体" w:cs="宋体"/>
                <w:kern w:val="0"/>
                <w:sz w:val="18"/>
                <w:szCs w:val="18"/>
                <w:lang w:eastAsia="zh-CN"/>
              </w:rPr>
              <w:t>鄢陵建斌农业实业有限公司</w:t>
            </w:r>
            <w:r>
              <w:rPr>
                <w:rFonts w:hint="eastAsia" w:ascii="宋体" w:hAnsi="宋体" w:eastAsia="宋体" w:cs="宋体"/>
                <w:kern w:val="0"/>
                <w:sz w:val="18"/>
                <w:szCs w:val="18"/>
              </w:rPr>
              <w:t>、北邻：</w:t>
            </w:r>
            <w:r>
              <w:rPr>
                <w:rFonts w:hint="eastAsia" w:ascii="宋体" w:hAnsi="宋体" w:cs="宋体"/>
                <w:kern w:val="0"/>
                <w:sz w:val="18"/>
                <w:szCs w:val="18"/>
                <w:lang w:eastAsia="zh-CN"/>
              </w:rPr>
              <w:t>二级河</w:t>
            </w:r>
          </w:p>
        </w:tc>
        <w:tc>
          <w:tcPr>
            <w:tcW w:w="1890"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31513 </w:t>
            </w:r>
          </w:p>
          <w:p>
            <w:pPr>
              <w:widowControl/>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 xml:space="preserve"> （47.27亩）</w:t>
            </w:r>
          </w:p>
        </w:tc>
        <w:tc>
          <w:tcPr>
            <w:tcW w:w="1890" w:type="dxa"/>
            <w:vAlign w:val="center"/>
          </w:tcPr>
          <w:p>
            <w:pPr>
              <w:widowControl/>
              <w:spacing w:line="5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鄢政文【2021】</w:t>
            </w:r>
            <w:r>
              <w:rPr>
                <w:rFonts w:hint="eastAsia" w:ascii="宋体" w:hAnsi="宋体" w:eastAsia="宋体" w:cs="宋体"/>
                <w:kern w:val="0"/>
                <w:sz w:val="18"/>
                <w:szCs w:val="18"/>
                <w:lang w:val="en-US" w:eastAsia="zh-CN"/>
              </w:rPr>
              <w:t>52</w:t>
            </w:r>
            <w:r>
              <w:rPr>
                <w:rFonts w:hint="eastAsia" w:ascii="宋体" w:hAnsi="宋体" w:eastAsia="宋体" w:cs="宋体"/>
                <w:kern w:val="0"/>
                <w:sz w:val="18"/>
                <w:szCs w:val="18"/>
              </w:rPr>
              <w:t>号</w:t>
            </w:r>
          </w:p>
        </w:tc>
        <w:tc>
          <w:tcPr>
            <w:tcW w:w="1440" w:type="dxa"/>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412322</w:t>
            </w:r>
            <w:r>
              <w:rPr>
                <w:rFonts w:hint="eastAsia" w:ascii="宋体" w:hAnsi="宋体" w:cs="宋体"/>
                <w:kern w:val="0"/>
                <w:sz w:val="18"/>
                <w:szCs w:val="18"/>
                <w:lang w:val="en-US" w:eastAsia="zh-CN"/>
              </w:rPr>
              <w:t>1</w:t>
            </w:r>
            <w:r>
              <w:rPr>
                <w:rFonts w:hint="eastAsia" w:ascii="宋体" w:hAnsi="宋体" w:eastAsia="宋体" w:cs="宋体"/>
                <w:kern w:val="0"/>
                <w:sz w:val="18"/>
                <w:szCs w:val="18"/>
                <w:lang w:val="en-US" w:eastAsia="zh-CN"/>
              </w:rPr>
              <w:t>BA0020</w:t>
            </w:r>
          </w:p>
        </w:tc>
        <w:tc>
          <w:tcPr>
            <w:tcW w:w="690" w:type="dxa"/>
            <w:vAlign w:val="center"/>
          </w:tcPr>
          <w:p>
            <w:pPr>
              <w:widowControl/>
              <w:spacing w:line="5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公共设施用地</w:t>
            </w:r>
          </w:p>
        </w:tc>
        <w:tc>
          <w:tcPr>
            <w:tcW w:w="885" w:type="dxa"/>
            <w:vAlign w:val="center"/>
          </w:tcPr>
          <w:p>
            <w:pPr>
              <w:widowControl/>
              <w:spacing w:line="4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213" w:type="dxa"/>
            <w:vAlign w:val="center"/>
          </w:tcPr>
          <w:p>
            <w:pPr>
              <w:widowControl/>
              <w:spacing w:line="4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r>
    </w:tbl>
    <w:p>
      <w:pPr>
        <w:widowControl/>
        <w:spacing w:line="560" w:lineRule="exact"/>
        <w:rPr>
          <w:rFonts w:hint="eastAsia" w:ascii="宋体" w:hAnsi="宋体" w:eastAsia="宋体" w:cs="宋体"/>
          <w:kern w:val="0"/>
          <w:sz w:val="18"/>
          <w:szCs w:val="18"/>
        </w:rPr>
      </w:pPr>
    </w:p>
    <w:p>
      <w:pPr>
        <w:widowControl/>
        <w:spacing w:line="560" w:lineRule="exact"/>
        <w:rPr>
          <w:rFonts w:ascii="仿宋" w:hAnsi="仿宋" w:eastAsia="仿宋" w:cs="宋体"/>
          <w:kern w:val="0"/>
          <w:sz w:val="32"/>
          <w:szCs w:val="32"/>
        </w:rPr>
      </w:pPr>
      <w:r>
        <w:rPr>
          <w:rFonts w:hint="eastAsia" w:ascii="仿宋" w:hAnsi="仿宋" w:eastAsia="仿宋" w:cs="宋体"/>
          <w:kern w:val="0"/>
          <w:sz w:val="32"/>
          <w:szCs w:val="32"/>
        </w:rPr>
        <w:t>表二：</w:t>
      </w:r>
    </w:p>
    <w:tbl>
      <w:tblPr>
        <w:tblStyle w:val="4"/>
        <w:tblpPr w:leftFromText="180" w:rightFromText="180" w:vertAnchor="text" w:horzAnchor="margin" w:tblpY="87"/>
        <w:tblW w:w="14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59"/>
        <w:gridCol w:w="1570"/>
        <w:gridCol w:w="1650"/>
        <w:gridCol w:w="2115"/>
        <w:gridCol w:w="1950"/>
        <w:gridCol w:w="336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25" w:type="dxa"/>
            <w:vAlign w:val="center"/>
          </w:tcPr>
          <w:p>
            <w:pPr>
              <w:widowControl/>
              <w:spacing w:line="560" w:lineRule="exact"/>
              <w:jc w:val="center"/>
              <w:rPr>
                <w:rFonts w:ascii="宋体" w:cs="宋体"/>
                <w:kern w:val="0"/>
                <w:sz w:val="18"/>
                <w:szCs w:val="18"/>
              </w:rPr>
            </w:pPr>
            <w:r>
              <w:rPr>
                <w:rFonts w:hint="eastAsia" w:ascii="宋体" w:hAnsi="宋体" w:cs="宋体"/>
                <w:kern w:val="0"/>
                <w:sz w:val="18"/>
                <w:szCs w:val="18"/>
              </w:rPr>
              <w:t>序号</w:t>
            </w:r>
          </w:p>
        </w:tc>
        <w:tc>
          <w:tcPr>
            <w:tcW w:w="1059" w:type="dxa"/>
            <w:vAlign w:val="center"/>
          </w:tcPr>
          <w:p>
            <w:pPr>
              <w:widowControl/>
              <w:spacing w:line="560" w:lineRule="exact"/>
              <w:jc w:val="center"/>
              <w:rPr>
                <w:rFonts w:ascii="宋体" w:cs="宋体"/>
                <w:kern w:val="0"/>
                <w:sz w:val="18"/>
                <w:szCs w:val="18"/>
              </w:rPr>
            </w:pPr>
            <w:r>
              <w:rPr>
                <w:rFonts w:hint="eastAsia" w:ascii="宋体" w:hAnsi="宋体" w:cs="宋体"/>
                <w:kern w:val="0"/>
                <w:sz w:val="18"/>
                <w:szCs w:val="18"/>
              </w:rPr>
              <w:t>地块编号</w:t>
            </w:r>
          </w:p>
        </w:tc>
        <w:tc>
          <w:tcPr>
            <w:tcW w:w="1570" w:type="dxa"/>
            <w:vAlign w:val="center"/>
          </w:tcPr>
          <w:p>
            <w:pPr>
              <w:widowControl/>
              <w:spacing w:line="560" w:lineRule="exact"/>
              <w:jc w:val="center"/>
              <w:rPr>
                <w:rFonts w:ascii="宋体" w:cs="宋体"/>
                <w:kern w:val="0"/>
                <w:sz w:val="18"/>
                <w:szCs w:val="18"/>
              </w:rPr>
            </w:pPr>
            <w:r>
              <w:rPr>
                <w:rFonts w:hint="eastAsia" w:ascii="宋体" w:hAnsi="宋体" w:cs="宋体"/>
                <w:kern w:val="0"/>
                <w:sz w:val="18"/>
                <w:szCs w:val="18"/>
              </w:rPr>
              <w:t>土地开发程度</w:t>
            </w:r>
          </w:p>
        </w:tc>
        <w:tc>
          <w:tcPr>
            <w:tcW w:w="1650" w:type="dxa"/>
            <w:vAlign w:val="center"/>
          </w:tcPr>
          <w:p>
            <w:pPr>
              <w:widowControl/>
              <w:spacing w:line="560" w:lineRule="exact"/>
              <w:jc w:val="center"/>
              <w:rPr>
                <w:rFonts w:ascii="宋体" w:cs="宋体"/>
                <w:kern w:val="0"/>
                <w:sz w:val="18"/>
                <w:szCs w:val="18"/>
              </w:rPr>
            </w:pPr>
            <w:r>
              <w:rPr>
                <w:rFonts w:hint="eastAsia" w:ascii="宋体" w:hAnsi="宋体" w:cs="宋体"/>
                <w:kern w:val="0"/>
                <w:sz w:val="18"/>
                <w:szCs w:val="18"/>
              </w:rPr>
              <w:t>交付土地时间</w:t>
            </w:r>
          </w:p>
        </w:tc>
        <w:tc>
          <w:tcPr>
            <w:tcW w:w="2115" w:type="dxa"/>
            <w:vAlign w:val="center"/>
          </w:tcPr>
          <w:p>
            <w:pPr>
              <w:widowControl/>
              <w:spacing w:line="560" w:lineRule="exact"/>
              <w:jc w:val="center"/>
              <w:rPr>
                <w:rFonts w:ascii="宋体" w:cs="宋体"/>
                <w:kern w:val="0"/>
                <w:sz w:val="18"/>
                <w:szCs w:val="18"/>
              </w:rPr>
            </w:pPr>
            <w:r>
              <w:rPr>
                <w:rFonts w:hint="eastAsia" w:ascii="宋体" w:hAnsi="宋体" w:cs="宋体"/>
                <w:kern w:val="0"/>
                <w:sz w:val="18"/>
                <w:szCs w:val="18"/>
              </w:rPr>
              <w:t>开工时间</w:t>
            </w:r>
          </w:p>
        </w:tc>
        <w:tc>
          <w:tcPr>
            <w:tcW w:w="1950" w:type="dxa"/>
            <w:vAlign w:val="center"/>
          </w:tcPr>
          <w:p>
            <w:pPr>
              <w:widowControl/>
              <w:spacing w:line="560" w:lineRule="exact"/>
              <w:jc w:val="center"/>
              <w:rPr>
                <w:rFonts w:ascii="宋体" w:cs="宋体"/>
                <w:kern w:val="0"/>
                <w:sz w:val="18"/>
                <w:szCs w:val="18"/>
              </w:rPr>
            </w:pPr>
            <w:r>
              <w:rPr>
                <w:rFonts w:hint="eastAsia" w:ascii="宋体" w:hAnsi="宋体" w:cs="宋体"/>
                <w:kern w:val="0"/>
                <w:sz w:val="18"/>
                <w:szCs w:val="18"/>
              </w:rPr>
              <w:t>竣工时间</w:t>
            </w:r>
          </w:p>
        </w:tc>
        <w:tc>
          <w:tcPr>
            <w:tcW w:w="3360" w:type="dxa"/>
            <w:vAlign w:val="center"/>
          </w:tcPr>
          <w:p>
            <w:pPr>
              <w:widowControl/>
              <w:spacing w:line="560" w:lineRule="exact"/>
              <w:jc w:val="center"/>
              <w:rPr>
                <w:rFonts w:ascii="宋体" w:cs="宋体"/>
                <w:kern w:val="0"/>
                <w:sz w:val="18"/>
                <w:szCs w:val="18"/>
              </w:rPr>
            </w:pPr>
            <w:r>
              <w:rPr>
                <w:rFonts w:hint="eastAsia" w:ascii="宋体" w:hAnsi="宋体" w:cs="宋体"/>
                <w:kern w:val="0"/>
                <w:sz w:val="18"/>
                <w:szCs w:val="18"/>
              </w:rPr>
              <w:t>土地成交价款缴纳方式及时间</w:t>
            </w:r>
          </w:p>
        </w:tc>
        <w:tc>
          <w:tcPr>
            <w:tcW w:w="2385" w:type="dxa"/>
            <w:vAlign w:val="center"/>
          </w:tcPr>
          <w:p>
            <w:pPr>
              <w:widowControl/>
              <w:spacing w:line="560" w:lineRule="exact"/>
              <w:jc w:val="center"/>
              <w:rPr>
                <w:rFonts w:ascii="宋体" w:cs="宋体"/>
                <w:kern w:val="0"/>
                <w:sz w:val="18"/>
                <w:szCs w:val="18"/>
              </w:rPr>
            </w:pPr>
            <w:r>
              <w:rPr>
                <w:rFonts w:hint="eastAsia" w:ascii="宋体" w:hAnsi="宋体" w:cs="宋体"/>
                <w:kern w:val="0"/>
                <w:sz w:val="18"/>
                <w:szCs w:val="18"/>
              </w:rPr>
              <w:t>依法依规需要说明宗地的其他情况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25" w:type="dxa"/>
            <w:vAlign w:val="center"/>
          </w:tcPr>
          <w:p>
            <w:pPr>
              <w:widowControl/>
              <w:spacing w:line="5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059" w:type="dxa"/>
            <w:vAlign w:val="center"/>
          </w:tcPr>
          <w:p>
            <w:pPr>
              <w:shd w:val="solid" w:color="FFFFFF" w:fill="auto"/>
              <w:autoSpaceDN w:val="0"/>
              <w:jc w:val="center"/>
              <w:rPr>
                <w:rFonts w:hint="eastAsia" w:ascii="宋体" w:hAnsi="宋体" w:eastAsia="宋体" w:cs="宋体"/>
                <w:bCs/>
                <w:sz w:val="18"/>
                <w:szCs w:val="18"/>
                <w:shd w:val="clear" w:color="auto" w:fill="FFFFFF"/>
                <w:lang w:val="en-US"/>
              </w:rPr>
            </w:pPr>
            <w:r>
              <w:rPr>
                <w:rFonts w:hint="eastAsia" w:ascii="宋体" w:hAnsi="宋体" w:eastAsia="宋体" w:cs="宋体"/>
                <w:b w:val="0"/>
                <w:bCs/>
                <w:color w:val="000000"/>
                <w:kern w:val="0"/>
                <w:sz w:val="18"/>
                <w:szCs w:val="18"/>
                <w:lang w:val="en-US" w:eastAsia="zh-CN"/>
              </w:rPr>
              <w:t>YC-21-20#</w:t>
            </w:r>
          </w:p>
        </w:tc>
        <w:tc>
          <w:tcPr>
            <w:tcW w:w="1570" w:type="dxa"/>
            <w:vAlign w:val="center"/>
          </w:tcPr>
          <w:p>
            <w:pPr>
              <w:widowControl/>
              <w:spacing w:line="560" w:lineRule="exact"/>
              <w:jc w:val="center"/>
              <w:rPr>
                <w:rFonts w:hint="eastAsia" w:ascii="宋体" w:hAnsi="宋体" w:eastAsia="宋体" w:cs="宋体"/>
                <w:kern w:val="0"/>
                <w:sz w:val="18"/>
                <w:szCs w:val="18"/>
              </w:rPr>
            </w:pPr>
            <w:r>
              <w:rPr>
                <w:rFonts w:hint="eastAsia" w:ascii="宋体" w:hAnsi="宋体" w:eastAsia="宋体" w:cs="宋体"/>
                <w:bCs/>
                <w:sz w:val="18"/>
                <w:szCs w:val="18"/>
                <w:shd w:val="clear" w:color="auto" w:fill="FFFFFF"/>
              </w:rPr>
              <w:t>现状</w:t>
            </w:r>
          </w:p>
        </w:tc>
        <w:tc>
          <w:tcPr>
            <w:tcW w:w="1650" w:type="dxa"/>
            <w:vAlign w:val="center"/>
          </w:tcPr>
          <w:p>
            <w:pPr>
              <w:widowControl/>
              <w:spacing w:line="5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成交款交齐后30日内</w:t>
            </w:r>
          </w:p>
        </w:tc>
        <w:tc>
          <w:tcPr>
            <w:tcW w:w="2115" w:type="dxa"/>
            <w:vAlign w:val="center"/>
          </w:tcPr>
          <w:p>
            <w:pPr>
              <w:widowControl/>
              <w:spacing w:line="5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交付土地后</w:t>
            </w:r>
            <w:r>
              <w:rPr>
                <w:rFonts w:hint="eastAsia" w:ascii="宋体" w:hAnsi="宋体" w:cs="宋体"/>
                <w:kern w:val="0"/>
                <w:sz w:val="18"/>
                <w:szCs w:val="18"/>
                <w:lang w:eastAsia="zh-CN"/>
              </w:rPr>
              <w:t>九十日</w:t>
            </w:r>
            <w:r>
              <w:rPr>
                <w:rFonts w:hint="eastAsia" w:ascii="宋体" w:hAnsi="宋体" w:eastAsia="宋体" w:cs="宋体"/>
                <w:kern w:val="0"/>
                <w:sz w:val="18"/>
                <w:szCs w:val="18"/>
              </w:rPr>
              <w:t>内</w:t>
            </w:r>
          </w:p>
        </w:tc>
        <w:tc>
          <w:tcPr>
            <w:tcW w:w="1950" w:type="dxa"/>
            <w:vAlign w:val="center"/>
          </w:tcPr>
          <w:p>
            <w:pPr>
              <w:widowControl/>
              <w:spacing w:line="5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交付土地后</w:t>
            </w:r>
            <w:r>
              <w:rPr>
                <w:rFonts w:hint="eastAsia" w:ascii="宋体" w:hAnsi="宋体" w:eastAsia="宋体" w:cs="宋体"/>
                <w:kern w:val="0"/>
                <w:sz w:val="18"/>
                <w:szCs w:val="18"/>
                <w:lang w:val="en-US" w:eastAsia="zh-CN"/>
              </w:rPr>
              <w:t>一</w:t>
            </w:r>
            <w:r>
              <w:rPr>
                <w:rFonts w:hint="eastAsia" w:ascii="宋体" w:hAnsi="宋体" w:eastAsia="宋体" w:cs="宋体"/>
                <w:kern w:val="0"/>
                <w:sz w:val="18"/>
                <w:szCs w:val="18"/>
              </w:rPr>
              <w:t>年内</w:t>
            </w:r>
          </w:p>
        </w:tc>
        <w:tc>
          <w:tcPr>
            <w:tcW w:w="3360" w:type="dxa"/>
            <w:vAlign w:val="center"/>
          </w:tcPr>
          <w:p>
            <w:pPr>
              <w:widowControl/>
              <w:spacing w:line="5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签订合同之起</w:t>
            </w:r>
            <w:r>
              <w:rPr>
                <w:rFonts w:hint="eastAsia" w:ascii="宋体" w:hAnsi="宋体" w:cs="宋体"/>
                <w:kern w:val="0"/>
                <w:sz w:val="18"/>
                <w:szCs w:val="18"/>
                <w:lang w:val="en-US" w:eastAsia="zh-CN"/>
              </w:rPr>
              <w:t>60</w:t>
            </w:r>
            <w:r>
              <w:rPr>
                <w:rFonts w:hint="eastAsia" w:ascii="宋体" w:hAnsi="宋体" w:eastAsia="宋体" w:cs="宋体"/>
                <w:kern w:val="0"/>
                <w:sz w:val="18"/>
                <w:szCs w:val="18"/>
              </w:rPr>
              <w:t>日内，支付国有建设用地使用权出让价款的</w:t>
            </w:r>
            <w:r>
              <w:rPr>
                <w:rFonts w:hint="eastAsia" w:ascii="宋体" w:hAnsi="宋体" w:cs="宋体"/>
                <w:kern w:val="0"/>
                <w:sz w:val="18"/>
                <w:szCs w:val="18"/>
                <w:lang w:val="en-US" w:eastAsia="zh-CN"/>
              </w:rPr>
              <w:t>100</w:t>
            </w:r>
            <w:r>
              <w:rPr>
                <w:rFonts w:hint="eastAsia" w:ascii="宋体" w:hAnsi="宋体" w:eastAsia="宋体" w:cs="宋体"/>
                <w:kern w:val="0"/>
                <w:sz w:val="18"/>
                <w:szCs w:val="18"/>
              </w:rPr>
              <w:t>%</w:t>
            </w:r>
          </w:p>
        </w:tc>
        <w:tc>
          <w:tcPr>
            <w:tcW w:w="2385" w:type="dxa"/>
            <w:vAlign w:val="center"/>
          </w:tcPr>
          <w:p>
            <w:pPr>
              <w:widowControl/>
              <w:spacing w:line="5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竞得人应严格按照规划合同和约定实施建设</w:t>
            </w:r>
          </w:p>
        </w:tc>
      </w:tr>
    </w:tbl>
    <w:p>
      <w:pPr>
        <w:widowControl/>
        <w:spacing w:line="560" w:lineRule="exact"/>
        <w:rPr>
          <w:rFonts w:ascii="仿宋" w:hAnsi="仿宋" w:eastAsia="仿宋" w:cs="宋体"/>
          <w:b/>
          <w:bCs/>
          <w:kern w:val="0"/>
          <w:sz w:val="32"/>
          <w:szCs w:val="32"/>
        </w:rPr>
      </w:pPr>
      <w:r>
        <w:rPr>
          <w:rFonts w:ascii="仿宋" w:hAnsi="仿宋" w:eastAsia="仿宋" w:cs="宋体"/>
          <w:b/>
          <w:bCs/>
          <w:kern w:val="0"/>
          <w:sz w:val="32"/>
          <w:szCs w:val="32"/>
        </w:rPr>
        <w:t xml:space="preserve">                                                                     </w:t>
      </w:r>
    </w:p>
    <w:p>
      <w:pPr>
        <w:widowControl/>
        <w:spacing w:line="560" w:lineRule="exact"/>
        <w:rPr>
          <w:rFonts w:ascii="仿宋" w:hAnsi="仿宋" w:eastAsia="仿宋" w:cs="宋体"/>
          <w:kern w:val="0"/>
          <w:sz w:val="32"/>
          <w:szCs w:val="32"/>
        </w:rPr>
      </w:pPr>
      <w:r>
        <w:rPr>
          <w:rFonts w:hint="eastAsia" w:ascii="仿宋" w:hAnsi="仿宋" w:eastAsia="仿宋" w:cs="宋体"/>
          <w:b/>
          <w:bCs/>
          <w:kern w:val="0"/>
          <w:sz w:val="32"/>
          <w:szCs w:val="32"/>
        </w:rPr>
        <w:t>四、申请条件及要求</w:t>
      </w:r>
      <w:r>
        <w:rPr>
          <w:rFonts w:ascii="仿宋" w:hAnsi="仿宋" w:eastAsia="仿宋" w:cs="宋体"/>
          <w:b/>
          <w:bCs/>
          <w:kern w:val="0"/>
          <w:sz w:val="32"/>
          <w:szCs w:val="32"/>
        </w:rPr>
        <w:t xml:space="preserve">  </w:t>
      </w:r>
    </w:p>
    <w:p>
      <w:pPr>
        <w:widowControl/>
        <w:spacing w:line="560" w:lineRule="exact"/>
        <w:rPr>
          <w:rFonts w:ascii="仿宋" w:hAnsi="仿宋" w:eastAsia="仿宋" w:cs="宋体"/>
          <w:kern w:val="0"/>
          <w:sz w:val="32"/>
          <w:szCs w:val="32"/>
        </w:rPr>
      </w:pPr>
      <w:r>
        <w:rPr>
          <w:rFonts w:hint="eastAsia" w:ascii="仿宋" w:hAnsi="仿宋" w:eastAsia="仿宋" w:cs="宋体"/>
          <w:kern w:val="0"/>
          <w:sz w:val="32"/>
          <w:szCs w:val="32"/>
        </w:rPr>
        <w:t>中华人民共和国境内外的法人、自然人和其他组织，符合网上出让公告或出让须知中明确的资格条件，均可申请参加本次国有建设用地使用权网上拍卖出让活动。竞买申请人可以单独申请，也可以联合申请。</w:t>
      </w:r>
      <w:r>
        <w:rPr>
          <w:rFonts w:ascii="仿宋" w:hAnsi="仿宋" w:eastAsia="仿宋" w:cs="宋体"/>
          <w:kern w:val="0"/>
          <w:sz w:val="32"/>
          <w:szCs w:val="32"/>
        </w:rPr>
        <w:t xml:space="preserve"> </w:t>
      </w:r>
    </w:p>
    <w:p>
      <w:pPr>
        <w:widowControl/>
        <w:spacing w:line="560" w:lineRule="exact"/>
        <w:rPr>
          <w:rFonts w:ascii="仿宋" w:hAnsi="仿宋" w:eastAsia="仿宋" w:cs="宋体"/>
          <w:b/>
          <w:bCs/>
          <w:kern w:val="0"/>
          <w:sz w:val="32"/>
          <w:szCs w:val="32"/>
        </w:rPr>
      </w:pPr>
      <w:r>
        <w:rPr>
          <w:rFonts w:hint="eastAsia" w:ascii="仿宋" w:hAnsi="仿宋" w:eastAsia="仿宋" w:cs="宋体"/>
          <w:b/>
          <w:bCs/>
          <w:kern w:val="0"/>
          <w:sz w:val="32"/>
          <w:szCs w:val="32"/>
        </w:rPr>
        <w:t>五、</w:t>
      </w:r>
      <w:r>
        <w:rPr>
          <w:rFonts w:hint="eastAsia" w:ascii="仿宋" w:hAnsi="仿宋" w:eastAsia="仿宋" w:cs="宋体"/>
          <w:kern w:val="0"/>
          <w:sz w:val="32"/>
          <w:szCs w:val="32"/>
        </w:rPr>
        <w:t>拍卖</w:t>
      </w:r>
      <w:r>
        <w:rPr>
          <w:rFonts w:hint="eastAsia" w:ascii="仿宋" w:hAnsi="仿宋" w:eastAsia="仿宋" w:cs="宋体"/>
          <w:b/>
          <w:bCs/>
          <w:kern w:val="0"/>
          <w:sz w:val="32"/>
          <w:szCs w:val="32"/>
        </w:rPr>
        <w:t>交易及竞买保证金交纳时间</w:t>
      </w:r>
    </w:p>
    <w:p>
      <w:pPr>
        <w:widowControl/>
        <w:spacing w:line="560" w:lineRule="exact"/>
        <w:rPr>
          <w:rFonts w:ascii="仿宋" w:hAnsi="仿宋" w:eastAsia="仿宋" w:cs="宋体"/>
          <w:kern w:val="0"/>
          <w:sz w:val="32"/>
          <w:szCs w:val="32"/>
        </w:rPr>
      </w:pPr>
      <w:r>
        <w:rPr>
          <w:rFonts w:hint="eastAsia" w:ascii="仿宋" w:hAnsi="仿宋" w:eastAsia="仿宋" w:cs="宋体"/>
          <w:kern w:val="0"/>
          <w:sz w:val="32"/>
          <w:szCs w:val="32"/>
        </w:rPr>
        <w:t>（一）本次拍卖交易定于：</w:t>
      </w:r>
      <w:r>
        <w:rPr>
          <w:rFonts w:ascii="仿宋" w:hAnsi="仿宋" w:eastAsia="仿宋" w:cs="宋体"/>
          <w:kern w:val="0"/>
          <w:sz w:val="32"/>
          <w:szCs w:val="32"/>
        </w:rPr>
        <w:t>2021</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15</w:t>
      </w:r>
      <w:bookmarkStart w:id="0" w:name="_GoBack"/>
      <w:bookmarkEnd w:id="0"/>
      <w:r>
        <w:rPr>
          <w:rFonts w:hint="eastAsia" w:ascii="仿宋" w:hAnsi="仿宋" w:eastAsia="仿宋" w:cs="宋体"/>
          <w:kern w:val="0"/>
          <w:sz w:val="32"/>
          <w:szCs w:val="32"/>
        </w:rPr>
        <w:t>日上午</w:t>
      </w:r>
      <w:r>
        <w:rPr>
          <w:rFonts w:ascii="仿宋" w:hAnsi="仿宋" w:eastAsia="仿宋" w:cs="宋体"/>
          <w:kern w:val="0"/>
          <w:sz w:val="32"/>
          <w:szCs w:val="32"/>
        </w:rPr>
        <w:t>10</w:t>
      </w:r>
      <w:r>
        <w:rPr>
          <w:rFonts w:hint="eastAsia" w:ascii="仿宋" w:hAnsi="仿宋" w:eastAsia="仿宋" w:cs="宋体"/>
          <w:kern w:val="0"/>
          <w:sz w:val="32"/>
          <w:szCs w:val="32"/>
        </w:rPr>
        <w:t>时</w:t>
      </w:r>
      <w:r>
        <w:rPr>
          <w:rFonts w:ascii="仿宋" w:hAnsi="仿宋" w:eastAsia="仿宋" w:cs="宋体"/>
          <w:kern w:val="0"/>
          <w:sz w:val="32"/>
          <w:szCs w:val="32"/>
        </w:rPr>
        <w:t>00</w:t>
      </w:r>
      <w:r>
        <w:rPr>
          <w:rFonts w:hint="eastAsia" w:ascii="仿宋" w:hAnsi="仿宋" w:eastAsia="仿宋" w:cs="宋体"/>
          <w:kern w:val="0"/>
          <w:sz w:val="32"/>
          <w:szCs w:val="32"/>
        </w:rPr>
        <w:t>分开始在河南省交易中心网上交易系统（网址：http://td.hnggzy.com/#/）（以下简称网上交易系统）进行。</w:t>
      </w:r>
    </w:p>
    <w:p>
      <w:pPr>
        <w:widowControl/>
        <w:spacing w:line="560" w:lineRule="exact"/>
        <w:rPr>
          <w:rFonts w:ascii="仿宋" w:hAnsi="仿宋" w:eastAsia="仿宋" w:cs="宋体"/>
          <w:kern w:val="0"/>
          <w:sz w:val="32"/>
          <w:szCs w:val="32"/>
        </w:rPr>
      </w:pPr>
      <w:r>
        <w:rPr>
          <w:rFonts w:hint="eastAsia" w:ascii="仿宋" w:hAnsi="仿宋" w:eastAsia="仿宋" w:cs="宋体"/>
          <w:kern w:val="0"/>
          <w:sz w:val="32"/>
          <w:szCs w:val="32"/>
        </w:rPr>
        <w:t>（二）竞买保证金到账截止时间为：</w:t>
      </w:r>
      <w:r>
        <w:rPr>
          <w:rFonts w:ascii="仿宋" w:hAnsi="仿宋" w:eastAsia="仿宋" w:cs="宋体"/>
          <w:kern w:val="0"/>
          <w:sz w:val="32"/>
          <w:szCs w:val="32"/>
        </w:rPr>
        <w:t>2021</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日下午</w:t>
      </w:r>
      <w:r>
        <w:rPr>
          <w:rFonts w:ascii="仿宋" w:hAnsi="仿宋" w:eastAsia="仿宋" w:cs="宋体"/>
          <w:kern w:val="0"/>
          <w:sz w:val="32"/>
          <w:szCs w:val="32"/>
        </w:rPr>
        <w:t>16</w:t>
      </w:r>
      <w:r>
        <w:rPr>
          <w:rFonts w:hint="eastAsia" w:ascii="仿宋" w:hAnsi="仿宋" w:eastAsia="仿宋" w:cs="宋体"/>
          <w:kern w:val="0"/>
          <w:sz w:val="32"/>
          <w:szCs w:val="32"/>
        </w:rPr>
        <w:t>时</w:t>
      </w:r>
      <w:r>
        <w:rPr>
          <w:rFonts w:ascii="仿宋" w:hAnsi="仿宋" w:eastAsia="仿宋" w:cs="宋体"/>
          <w:kern w:val="0"/>
          <w:sz w:val="32"/>
          <w:szCs w:val="32"/>
        </w:rPr>
        <w:t>00</w:t>
      </w:r>
      <w:r>
        <w:rPr>
          <w:rFonts w:hint="eastAsia" w:ascii="仿宋" w:hAnsi="仿宋" w:eastAsia="仿宋" w:cs="宋体"/>
          <w:kern w:val="0"/>
          <w:sz w:val="32"/>
          <w:szCs w:val="32"/>
        </w:rPr>
        <w:t>分</w:t>
      </w:r>
    </w:p>
    <w:p>
      <w:pPr>
        <w:widowControl/>
        <w:spacing w:line="560" w:lineRule="exact"/>
        <w:rPr>
          <w:rFonts w:ascii="仿宋" w:hAnsi="仿宋" w:eastAsia="仿宋" w:cs="宋体"/>
          <w:b/>
          <w:bCs/>
          <w:kern w:val="0"/>
          <w:sz w:val="32"/>
          <w:szCs w:val="32"/>
        </w:rPr>
      </w:pPr>
      <w:r>
        <w:rPr>
          <w:rFonts w:hint="eastAsia" w:ascii="仿宋" w:hAnsi="仿宋" w:eastAsia="仿宋" w:cs="宋体"/>
          <w:b/>
          <w:bCs/>
          <w:kern w:val="0"/>
          <w:sz w:val="32"/>
          <w:szCs w:val="32"/>
        </w:rPr>
        <w:t>温馨提示：（</w:t>
      </w:r>
      <w:r>
        <w:rPr>
          <w:rFonts w:ascii="仿宋" w:hAnsi="仿宋" w:eastAsia="仿宋" w:cs="宋体"/>
          <w:b/>
          <w:bCs/>
          <w:kern w:val="0"/>
          <w:sz w:val="32"/>
          <w:szCs w:val="32"/>
        </w:rPr>
        <w:t>1</w:t>
      </w:r>
      <w:r>
        <w:rPr>
          <w:rFonts w:hint="eastAsia" w:ascii="仿宋" w:hAnsi="仿宋" w:eastAsia="仿宋" w:cs="宋体"/>
          <w:b/>
          <w:bCs/>
          <w:kern w:val="0"/>
          <w:sz w:val="32"/>
          <w:szCs w:val="32"/>
        </w:rPr>
        <w:t>）为避免因竞买保证金到账时间延误，影响您顺利获取网上交易竞买资格，建议您在</w:t>
      </w:r>
      <w:r>
        <w:rPr>
          <w:rFonts w:hint="eastAsia" w:ascii="仿宋" w:hAnsi="仿宋" w:eastAsia="仿宋" w:cs="宋体"/>
          <w:b/>
          <w:bCs/>
          <w:kern w:val="0"/>
          <w:sz w:val="32"/>
          <w:szCs w:val="32"/>
          <w:u w:val="single"/>
        </w:rPr>
        <w:t>竞买</w:t>
      </w:r>
      <w:r>
        <w:rPr>
          <w:rFonts w:hint="eastAsia" w:ascii="仿宋" w:hAnsi="仿宋" w:eastAsia="仿宋" w:cs="宋体"/>
          <w:b/>
          <w:bCs/>
          <w:kern w:val="0"/>
          <w:sz w:val="32"/>
          <w:szCs w:val="32"/>
        </w:rPr>
        <w:t>保证金到账截止时间的</w:t>
      </w:r>
      <w:r>
        <w:rPr>
          <w:rFonts w:ascii="仿宋" w:hAnsi="仿宋" w:eastAsia="仿宋" w:cs="宋体"/>
          <w:b/>
          <w:bCs/>
          <w:kern w:val="0"/>
          <w:sz w:val="32"/>
          <w:szCs w:val="32"/>
        </w:rPr>
        <w:t>1</w:t>
      </w:r>
      <w:r>
        <w:rPr>
          <w:rFonts w:hint="eastAsia" w:ascii="仿宋" w:hAnsi="仿宋" w:eastAsia="仿宋" w:cs="宋体"/>
          <w:b/>
          <w:bCs/>
          <w:kern w:val="0"/>
          <w:sz w:val="32"/>
          <w:szCs w:val="32"/>
        </w:rPr>
        <w:t>至</w:t>
      </w:r>
      <w:r>
        <w:rPr>
          <w:rFonts w:ascii="仿宋" w:hAnsi="仿宋" w:eastAsia="仿宋" w:cs="宋体"/>
          <w:b/>
          <w:bCs/>
          <w:kern w:val="0"/>
          <w:sz w:val="32"/>
          <w:szCs w:val="32"/>
        </w:rPr>
        <w:t>2</w:t>
      </w:r>
      <w:r>
        <w:rPr>
          <w:rFonts w:hint="eastAsia" w:ascii="仿宋" w:hAnsi="仿宋" w:eastAsia="仿宋" w:cs="宋体"/>
          <w:b/>
          <w:bCs/>
          <w:kern w:val="0"/>
          <w:sz w:val="32"/>
          <w:szCs w:val="32"/>
        </w:rPr>
        <w:t>天之前交纳竞买保证金。</w:t>
      </w:r>
    </w:p>
    <w:p>
      <w:pPr>
        <w:widowControl/>
        <w:spacing w:line="560" w:lineRule="exact"/>
        <w:ind w:firstLine="562" w:firstLineChars="200"/>
        <w:rPr>
          <w:rFonts w:ascii="仿宋" w:hAnsi="仿宋" w:eastAsia="仿宋" w:cs="宋体"/>
          <w:b/>
          <w:bCs/>
          <w:kern w:val="0"/>
          <w:sz w:val="28"/>
          <w:szCs w:val="28"/>
        </w:rPr>
      </w:pPr>
      <w:r>
        <w:rPr>
          <w:rFonts w:ascii="仿宋" w:hAnsi="仿宋" w:eastAsia="仿宋" w:cs="宋体"/>
          <w:b/>
          <w:bCs/>
          <w:kern w:val="0"/>
          <w:sz w:val="28"/>
          <w:szCs w:val="28"/>
        </w:rPr>
        <w:t>2.</w:t>
      </w:r>
      <w:r>
        <w:rPr>
          <w:rFonts w:hint="eastAsia" w:ascii="仿宋" w:hAnsi="仿宋" w:eastAsia="仿宋" w:cs="宋体"/>
          <w:b/>
          <w:bCs/>
          <w:kern w:val="0"/>
          <w:sz w:val="28"/>
          <w:szCs w:val="28"/>
        </w:rPr>
        <w:t>县公管办要组织实施好交易地块的网上拍卖出让活动，严格按照法定程序进行拍卖交易。县纪委监察委要对整个交易过程做好全程监督，确保阳光操作，做到公正、公平、公开。</w:t>
      </w:r>
    </w:p>
    <w:p>
      <w:pPr>
        <w:widowControl/>
        <w:spacing w:line="560" w:lineRule="exact"/>
        <w:rPr>
          <w:rFonts w:ascii="仿宋" w:hAnsi="仿宋" w:eastAsia="仿宋" w:cs="宋体"/>
          <w:b/>
          <w:bCs/>
          <w:kern w:val="0"/>
          <w:sz w:val="32"/>
          <w:szCs w:val="32"/>
        </w:rPr>
      </w:pPr>
      <w:r>
        <w:rPr>
          <w:rFonts w:hint="eastAsia" w:ascii="仿宋" w:hAnsi="仿宋" w:eastAsia="仿宋" w:cs="宋体"/>
          <w:b/>
          <w:bCs/>
          <w:kern w:val="0"/>
          <w:sz w:val="32"/>
          <w:szCs w:val="32"/>
        </w:rPr>
        <w:t>六、拍卖交易起始价、增价幅度、竞买保证金</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、出让方式</w:t>
      </w:r>
    </w:p>
    <w:p>
      <w:pPr>
        <w:widowControl/>
        <w:spacing w:line="560" w:lineRule="exact"/>
        <w:ind w:firstLine="643" w:firstLineChars="200"/>
        <w:rPr>
          <w:rFonts w:ascii="仿宋" w:hAnsi="仿宋" w:eastAsia="仿宋" w:cs="宋体"/>
          <w:b/>
          <w:bCs/>
          <w:kern w:val="0"/>
          <w:sz w:val="32"/>
          <w:szCs w:val="32"/>
        </w:rPr>
      </w:pPr>
    </w:p>
    <w:tbl>
      <w:tblPr>
        <w:tblStyle w:val="4"/>
        <w:tblpPr w:leftFromText="180" w:rightFromText="180" w:vertAnchor="text" w:horzAnchor="page" w:tblpX="1407" w:tblpY="253"/>
        <w:tblOverlap w:val="never"/>
        <w:tblW w:w="14757" w:type="dxa"/>
        <w:tblCellSpacing w:w="0" w:type="dxa"/>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
      <w:tblGrid>
        <w:gridCol w:w="1713"/>
        <w:gridCol w:w="2149"/>
        <w:gridCol w:w="1710"/>
        <w:gridCol w:w="3232"/>
        <w:gridCol w:w="2835"/>
        <w:gridCol w:w="3118"/>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591" w:hRule="atLeast"/>
          <w:tblCellSpacing w:w="0" w:type="dxa"/>
        </w:trPr>
        <w:tc>
          <w:tcPr>
            <w:tcW w:w="1713" w:type="dxa"/>
            <w:tcBorders>
              <w:top w:val="outset" w:color="CCCCCC" w:sz="6" w:space="0"/>
              <w:bottom w:val="outset" w:color="CCCCCC" w:sz="6" w:space="0"/>
              <w:right w:val="outset" w:color="CCCCCC" w:sz="6" w:space="0"/>
            </w:tcBorders>
            <w:vAlign w:val="center"/>
          </w:tcPr>
          <w:p>
            <w:pPr>
              <w:widowControl/>
              <w:spacing w:line="560" w:lineRule="exact"/>
              <w:rPr>
                <w:rFonts w:ascii="宋体" w:cs="宋体"/>
                <w:b/>
                <w:bCs/>
                <w:kern w:val="0"/>
                <w:szCs w:val="21"/>
              </w:rPr>
            </w:pPr>
            <w:r>
              <w:rPr>
                <w:rFonts w:ascii="宋体" w:hAnsi="宋体" w:cs="宋体"/>
                <w:b/>
                <w:bCs/>
                <w:kern w:val="0"/>
                <w:szCs w:val="21"/>
              </w:rPr>
              <w:t xml:space="preserve">     </w:t>
            </w:r>
            <w:r>
              <w:rPr>
                <w:rFonts w:hint="eastAsia" w:ascii="宋体" w:hAnsi="宋体" w:cs="宋体"/>
                <w:b/>
                <w:bCs/>
                <w:kern w:val="0"/>
                <w:szCs w:val="21"/>
              </w:rPr>
              <w:t>地块编号</w:t>
            </w:r>
          </w:p>
        </w:tc>
        <w:tc>
          <w:tcPr>
            <w:tcW w:w="2149" w:type="dxa"/>
            <w:tcBorders>
              <w:top w:val="outset" w:color="CCCCCC" w:sz="6" w:space="0"/>
              <w:left w:val="outset" w:color="CCCCCC" w:sz="6" w:space="0"/>
              <w:bottom w:val="outset" w:color="CCCCCC" w:sz="6" w:space="0"/>
              <w:right w:val="outset" w:color="CCCCCC" w:sz="6" w:space="0"/>
            </w:tcBorders>
            <w:vAlign w:val="center"/>
          </w:tcPr>
          <w:p>
            <w:pPr>
              <w:widowControl/>
              <w:spacing w:line="560" w:lineRule="exact"/>
              <w:rPr>
                <w:rFonts w:ascii="宋体" w:cs="宋体"/>
                <w:b/>
                <w:bCs/>
                <w:kern w:val="0"/>
                <w:szCs w:val="21"/>
              </w:rPr>
            </w:pPr>
            <w:r>
              <w:rPr>
                <w:rFonts w:ascii="仿宋" w:hAnsi="仿宋" w:eastAsia="仿宋" w:cs="宋体"/>
                <w:b/>
                <w:bCs/>
                <w:kern w:val="0"/>
                <w:szCs w:val="21"/>
              </w:rPr>
              <w:t xml:space="preserve">     </w:t>
            </w:r>
            <w:r>
              <w:rPr>
                <w:rFonts w:hint="eastAsia" w:ascii="仿宋" w:hAnsi="仿宋" w:eastAsia="仿宋" w:cs="宋体"/>
                <w:b/>
                <w:bCs/>
                <w:kern w:val="0"/>
                <w:szCs w:val="21"/>
              </w:rPr>
              <w:t>出让方式</w:t>
            </w:r>
          </w:p>
        </w:tc>
        <w:tc>
          <w:tcPr>
            <w:tcW w:w="1710" w:type="dxa"/>
            <w:tcBorders>
              <w:top w:val="outset" w:color="CCCCCC" w:sz="6" w:space="0"/>
              <w:left w:val="outset" w:color="CCCCCC" w:sz="6" w:space="0"/>
              <w:bottom w:val="outset" w:color="CCCCCC" w:sz="6" w:space="0"/>
              <w:right w:val="outset" w:color="CCCCCC" w:sz="6" w:space="0"/>
            </w:tcBorders>
            <w:vAlign w:val="center"/>
          </w:tcPr>
          <w:p>
            <w:pPr>
              <w:widowControl/>
              <w:spacing w:line="560" w:lineRule="exact"/>
              <w:rPr>
                <w:rFonts w:ascii="宋体" w:cs="宋体"/>
                <w:b/>
                <w:bCs/>
                <w:kern w:val="0"/>
                <w:szCs w:val="21"/>
              </w:rPr>
            </w:pPr>
            <w:r>
              <w:rPr>
                <w:rFonts w:ascii="宋体" w:hAnsi="宋体" w:cs="宋体"/>
                <w:b/>
                <w:bCs/>
                <w:kern w:val="0"/>
                <w:szCs w:val="21"/>
              </w:rPr>
              <w:t xml:space="preserve">     </w:t>
            </w:r>
            <w:r>
              <w:rPr>
                <w:rFonts w:hint="eastAsia" w:ascii="宋体" w:hAnsi="宋体" w:cs="宋体"/>
                <w:b/>
                <w:bCs/>
                <w:kern w:val="0"/>
                <w:szCs w:val="21"/>
              </w:rPr>
              <w:t>报价方式</w:t>
            </w:r>
          </w:p>
        </w:tc>
        <w:tc>
          <w:tcPr>
            <w:tcW w:w="3232" w:type="dxa"/>
            <w:tcBorders>
              <w:top w:val="outset" w:color="CCCCCC" w:sz="6" w:space="0"/>
              <w:left w:val="outset" w:color="CCCCCC" w:sz="6" w:space="0"/>
              <w:bottom w:val="outset" w:color="CCCCCC" w:sz="6" w:space="0"/>
              <w:right w:val="outset" w:color="CCCCCC" w:sz="6" w:space="0"/>
            </w:tcBorders>
            <w:vAlign w:val="center"/>
          </w:tcPr>
          <w:p>
            <w:pPr>
              <w:widowControl/>
              <w:spacing w:line="560" w:lineRule="exact"/>
              <w:rPr>
                <w:rFonts w:ascii="宋体" w:cs="宋体"/>
                <w:b/>
                <w:bCs/>
                <w:kern w:val="0"/>
                <w:szCs w:val="21"/>
              </w:rPr>
            </w:pPr>
            <w:r>
              <w:rPr>
                <w:rFonts w:ascii="宋体" w:hAnsi="宋体" w:cs="宋体"/>
                <w:b/>
                <w:bCs/>
                <w:kern w:val="0"/>
                <w:szCs w:val="21"/>
              </w:rPr>
              <w:t xml:space="preserve">       </w:t>
            </w:r>
            <w:r>
              <w:rPr>
                <w:rFonts w:hint="eastAsia" w:ascii="宋体" w:hAnsi="宋体" w:cs="宋体"/>
                <w:b/>
                <w:bCs/>
                <w:kern w:val="0"/>
                <w:szCs w:val="21"/>
              </w:rPr>
              <w:t>起始价</w:t>
            </w:r>
            <w:r>
              <w:rPr>
                <w:rFonts w:ascii="宋体" w:hAnsi="宋体" w:cs="宋体"/>
                <w:b/>
                <w:bCs/>
                <w:kern w:val="0"/>
                <w:szCs w:val="21"/>
              </w:rPr>
              <w:t xml:space="preserve"> </w:t>
            </w:r>
            <w:r>
              <w:rPr>
                <w:rFonts w:hint="eastAsia" w:ascii="宋体" w:hAnsi="宋体" w:cs="宋体"/>
                <w:b/>
                <w:bCs/>
                <w:kern w:val="0"/>
                <w:szCs w:val="21"/>
              </w:rPr>
              <w:t>（万元）</w:t>
            </w:r>
          </w:p>
        </w:tc>
        <w:tc>
          <w:tcPr>
            <w:tcW w:w="2835" w:type="dxa"/>
            <w:tcBorders>
              <w:top w:val="outset" w:color="CCCCCC" w:sz="6" w:space="0"/>
              <w:left w:val="outset" w:color="CCCCCC" w:sz="6" w:space="0"/>
              <w:bottom w:val="outset" w:color="CCCCCC" w:sz="6" w:space="0"/>
              <w:right w:val="outset" w:color="CCCCCC" w:sz="6" w:space="0"/>
            </w:tcBorders>
            <w:vAlign w:val="center"/>
          </w:tcPr>
          <w:p>
            <w:pPr>
              <w:widowControl/>
              <w:spacing w:line="560" w:lineRule="exact"/>
              <w:rPr>
                <w:rFonts w:ascii="宋体" w:cs="宋体"/>
                <w:b/>
                <w:bCs/>
                <w:kern w:val="0"/>
                <w:szCs w:val="21"/>
              </w:rPr>
            </w:pPr>
            <w:r>
              <w:rPr>
                <w:rFonts w:ascii="宋体" w:hAnsi="宋体" w:cs="宋体"/>
                <w:b/>
                <w:bCs/>
                <w:kern w:val="0"/>
                <w:szCs w:val="21"/>
              </w:rPr>
              <w:t xml:space="preserve">     </w:t>
            </w:r>
            <w:r>
              <w:rPr>
                <w:rFonts w:hint="eastAsia" w:ascii="宋体" w:hAnsi="宋体" w:cs="宋体"/>
                <w:b/>
                <w:bCs/>
                <w:kern w:val="0"/>
                <w:szCs w:val="21"/>
              </w:rPr>
              <w:t>竞买保证金（万元）</w:t>
            </w:r>
          </w:p>
        </w:tc>
        <w:tc>
          <w:tcPr>
            <w:tcW w:w="3118" w:type="dxa"/>
            <w:tcBorders>
              <w:top w:val="outset" w:color="CCCCCC" w:sz="6" w:space="0"/>
              <w:left w:val="outset" w:color="CCCCCC" w:sz="6" w:space="0"/>
              <w:bottom w:val="outset" w:color="CCCCCC" w:sz="6" w:space="0"/>
            </w:tcBorders>
            <w:vAlign w:val="center"/>
          </w:tcPr>
          <w:p>
            <w:pPr>
              <w:widowControl/>
              <w:spacing w:line="560" w:lineRule="exact"/>
              <w:rPr>
                <w:rFonts w:ascii="宋体" w:cs="宋体"/>
                <w:b/>
                <w:bCs/>
                <w:kern w:val="0"/>
                <w:szCs w:val="21"/>
              </w:rPr>
            </w:pPr>
            <w:r>
              <w:rPr>
                <w:rFonts w:ascii="宋体" w:hAnsi="宋体" w:cs="宋体"/>
                <w:b/>
                <w:bCs/>
                <w:kern w:val="0"/>
                <w:szCs w:val="21"/>
              </w:rPr>
              <w:t xml:space="preserve">       </w:t>
            </w:r>
            <w:r>
              <w:rPr>
                <w:rFonts w:hint="eastAsia" w:ascii="宋体" w:hAnsi="宋体" w:cs="宋体"/>
                <w:b/>
                <w:bCs/>
                <w:kern w:val="0"/>
                <w:szCs w:val="21"/>
              </w:rPr>
              <w:t>增价幅度</w:t>
            </w:r>
            <w:r>
              <w:rPr>
                <w:rFonts w:ascii="宋体" w:hAnsi="宋体" w:cs="宋体"/>
                <w:b/>
                <w:bCs/>
                <w:kern w:val="0"/>
                <w:szCs w:val="21"/>
              </w:rPr>
              <w:t xml:space="preserve">   </w:t>
            </w:r>
            <w:r>
              <w:rPr>
                <w:rFonts w:hint="eastAsia" w:ascii="宋体" w:hAnsi="宋体" w:cs="宋体"/>
                <w:b/>
                <w:bCs/>
                <w:kern w:val="0"/>
                <w:szCs w:val="21"/>
              </w:rPr>
              <w:t>（万元）</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35" w:hRule="atLeast"/>
          <w:tblCellSpacing w:w="0" w:type="dxa"/>
        </w:trPr>
        <w:tc>
          <w:tcPr>
            <w:tcW w:w="1713" w:type="dxa"/>
            <w:tcBorders>
              <w:top w:val="outset" w:color="CCCCCC" w:sz="6" w:space="0"/>
              <w:bottom w:val="outset" w:color="CCCCCC" w:sz="6" w:space="0"/>
              <w:right w:val="outset" w:color="CCCCCC" w:sz="6" w:space="0"/>
            </w:tcBorders>
            <w:vAlign w:val="center"/>
          </w:tcPr>
          <w:p>
            <w:pPr>
              <w:shd w:val="solid" w:color="FFFFFF" w:fill="auto"/>
              <w:autoSpaceDN w:val="0"/>
              <w:jc w:val="center"/>
              <w:rPr>
                <w:rFonts w:ascii="宋体" w:cs="宋体"/>
                <w:bCs/>
                <w:sz w:val="18"/>
                <w:szCs w:val="18"/>
                <w:shd w:val="clear" w:color="auto" w:fill="FFFFFF"/>
              </w:rPr>
            </w:pPr>
            <w:r>
              <w:rPr>
                <w:rFonts w:hint="eastAsia" w:ascii="宋体" w:hAnsi="宋体" w:cs="方正仿宋_GBK"/>
                <w:bCs/>
                <w:color w:val="000000"/>
                <w:kern w:val="0"/>
                <w:sz w:val="18"/>
                <w:szCs w:val="18"/>
              </w:rPr>
              <w:t>YC-2</w:t>
            </w:r>
            <w:r>
              <w:rPr>
                <w:rFonts w:hint="eastAsia" w:ascii="宋体" w:hAnsi="宋体" w:cs="方正仿宋_GBK"/>
                <w:bCs/>
                <w:color w:val="000000"/>
                <w:kern w:val="0"/>
                <w:sz w:val="18"/>
                <w:szCs w:val="18"/>
                <w:lang w:val="en-US" w:eastAsia="zh-CN"/>
              </w:rPr>
              <w:t>1</w:t>
            </w:r>
            <w:r>
              <w:rPr>
                <w:rFonts w:hint="eastAsia" w:ascii="宋体" w:hAnsi="宋体" w:cs="方正仿宋_GBK"/>
                <w:bCs/>
                <w:color w:val="000000"/>
                <w:kern w:val="0"/>
                <w:sz w:val="18"/>
                <w:szCs w:val="18"/>
              </w:rPr>
              <w:t>-</w:t>
            </w:r>
            <w:r>
              <w:rPr>
                <w:rFonts w:hint="eastAsia" w:ascii="宋体" w:hAnsi="宋体" w:cs="方正仿宋_GBK"/>
                <w:bCs/>
                <w:color w:val="000000"/>
                <w:kern w:val="0"/>
                <w:sz w:val="18"/>
                <w:szCs w:val="18"/>
                <w:lang w:val="en-US" w:eastAsia="zh-CN"/>
              </w:rPr>
              <w:t>20</w:t>
            </w:r>
            <w:r>
              <w:rPr>
                <w:rFonts w:hint="eastAsia" w:ascii="宋体" w:hAnsi="宋体" w:cs="方正仿宋_GBK"/>
                <w:bCs/>
                <w:color w:val="000000"/>
                <w:kern w:val="0"/>
                <w:sz w:val="18"/>
                <w:szCs w:val="18"/>
                <w:vertAlign w:val="superscript"/>
              </w:rPr>
              <w:t>#</w:t>
            </w:r>
          </w:p>
        </w:tc>
        <w:tc>
          <w:tcPr>
            <w:tcW w:w="2149"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宋体" w:cs="宋体"/>
                <w:kern w:val="0"/>
                <w:sz w:val="18"/>
                <w:szCs w:val="18"/>
              </w:rPr>
            </w:pPr>
            <w:r>
              <w:rPr>
                <w:rFonts w:hint="eastAsia" w:ascii="宋体" w:hAnsi="宋体" w:cs="宋体"/>
                <w:kern w:val="0"/>
                <w:sz w:val="18"/>
                <w:szCs w:val="18"/>
              </w:rPr>
              <w:t>拍卖</w:t>
            </w:r>
          </w:p>
        </w:tc>
        <w:tc>
          <w:tcPr>
            <w:tcW w:w="1710" w:type="dxa"/>
            <w:tcBorders>
              <w:top w:val="outset" w:color="CCCCCC" w:sz="6" w:space="0"/>
              <w:left w:val="outset" w:color="CCCCCC" w:sz="6" w:space="0"/>
              <w:bottom w:val="outset" w:color="CCCCCC" w:sz="6" w:space="0"/>
              <w:right w:val="outset" w:color="CCCCCC" w:sz="6" w:space="0"/>
            </w:tcBorders>
            <w:vAlign w:val="center"/>
          </w:tcPr>
          <w:p>
            <w:pPr>
              <w:widowControl/>
              <w:spacing w:line="560" w:lineRule="exact"/>
              <w:jc w:val="center"/>
              <w:rPr>
                <w:rFonts w:ascii="宋体" w:cs="宋体"/>
                <w:kern w:val="0"/>
                <w:sz w:val="18"/>
                <w:szCs w:val="18"/>
              </w:rPr>
            </w:pPr>
            <w:r>
              <w:rPr>
                <w:rFonts w:hint="eastAsia" w:ascii="宋体" w:hAnsi="宋体" w:cs="宋体"/>
                <w:kern w:val="0"/>
                <w:sz w:val="18"/>
                <w:szCs w:val="18"/>
              </w:rPr>
              <w:t>总价</w:t>
            </w:r>
          </w:p>
        </w:tc>
        <w:tc>
          <w:tcPr>
            <w:tcW w:w="3232"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1901</w:t>
            </w:r>
          </w:p>
        </w:tc>
        <w:tc>
          <w:tcPr>
            <w:tcW w:w="2835" w:type="dxa"/>
            <w:tcBorders>
              <w:top w:val="outset" w:color="CCCCCC" w:sz="6" w:space="0"/>
              <w:left w:val="outset" w:color="CCCCCC" w:sz="6" w:space="0"/>
              <w:bottom w:val="outset" w:color="CCCCCC" w:sz="6" w:space="0"/>
              <w:right w:val="outset" w:color="CCCCCC" w:sz="6" w:space="0"/>
            </w:tcBorders>
            <w:vAlign w:val="center"/>
          </w:tcPr>
          <w:p>
            <w:pPr>
              <w:widowControl/>
              <w:spacing w:line="560" w:lineRule="exact"/>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385</w:t>
            </w:r>
          </w:p>
        </w:tc>
        <w:tc>
          <w:tcPr>
            <w:tcW w:w="3118" w:type="dxa"/>
            <w:tcBorders>
              <w:top w:val="outset" w:color="CCCCCC" w:sz="6" w:space="0"/>
              <w:left w:val="outset" w:color="CCCCCC" w:sz="6" w:space="0"/>
              <w:bottom w:val="outset" w:color="CCCCCC" w:sz="6" w:space="0"/>
            </w:tcBorders>
            <w:vAlign w:val="center"/>
          </w:tcPr>
          <w:p>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19</w:t>
            </w:r>
          </w:p>
        </w:tc>
      </w:tr>
    </w:tbl>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（三）网上交易竞买保证金币种为人民币，使用美元或者港币交纳竞买保证金的境内或境外竞买申请人，</w:t>
      </w:r>
      <w:r>
        <w:rPr>
          <w:rFonts w:ascii="仿宋" w:hAnsi="仿宋" w:eastAsia="仿宋" w:cs="宋体"/>
          <w:kern w:val="0"/>
          <w:sz w:val="32"/>
          <w:szCs w:val="32"/>
        </w:rPr>
        <w:t xml:space="preserve"> </w:t>
      </w:r>
      <w:r>
        <w:rPr>
          <w:rFonts w:hint="eastAsia" w:ascii="仿宋" w:hAnsi="仿宋" w:eastAsia="仿宋" w:cs="宋体"/>
          <w:kern w:val="0"/>
          <w:sz w:val="32"/>
          <w:szCs w:val="32"/>
        </w:rPr>
        <w:t>应按</w:t>
      </w:r>
      <w:r>
        <w:rPr>
          <w:rFonts w:hint="eastAsia" w:ascii="仿宋" w:hAnsi="仿宋" w:eastAsia="仿宋" w:cs="宋体"/>
          <w:bCs/>
          <w:kern w:val="0"/>
          <w:sz w:val="32"/>
          <w:szCs w:val="32"/>
        </w:rPr>
        <w:t>竞买</w:t>
      </w:r>
      <w:r>
        <w:rPr>
          <w:rFonts w:hint="eastAsia" w:ascii="仿宋" w:hAnsi="仿宋" w:eastAsia="仿宋" w:cs="宋体"/>
          <w:kern w:val="0"/>
          <w:sz w:val="32"/>
          <w:szCs w:val="32"/>
        </w:rPr>
        <w:t>保证金交纳当天外汇中间牌价将等值人民币交入网上交易系统提供的保证金专用账户（子账号）。该账户只接受现汇方式汇入，不接受以现钞方式存入。</w:t>
      </w:r>
      <w:r>
        <w:rPr>
          <w:rFonts w:ascii="仿宋" w:hAnsi="仿宋" w:eastAsia="仿宋" w:cs="宋体"/>
          <w:kern w:val="0"/>
          <w:sz w:val="32"/>
          <w:szCs w:val="32"/>
        </w:rPr>
        <w:t xml:space="preserve"> </w:t>
      </w:r>
    </w:p>
    <w:p>
      <w:pPr>
        <w:widowControl/>
        <w:spacing w:line="560" w:lineRule="exact"/>
        <w:rPr>
          <w:rFonts w:ascii="仿宋" w:hAnsi="仿宋" w:eastAsia="仿宋" w:cs="宋体"/>
          <w:b/>
          <w:bCs/>
          <w:kern w:val="0"/>
          <w:sz w:val="32"/>
          <w:szCs w:val="32"/>
        </w:rPr>
      </w:pPr>
      <w:r>
        <w:rPr>
          <w:rFonts w:hint="eastAsia" w:ascii="仿宋" w:hAnsi="仿宋" w:eastAsia="仿宋" w:cs="宋体"/>
          <w:b/>
          <w:bCs/>
          <w:kern w:val="0"/>
          <w:sz w:val="32"/>
          <w:szCs w:val="32"/>
        </w:rPr>
        <w:t>七、竞买申请</w:t>
      </w:r>
      <w:r>
        <w:rPr>
          <w:rFonts w:ascii="仿宋" w:hAnsi="仿宋" w:eastAsia="仿宋" w:cs="宋体"/>
          <w:b/>
          <w:bCs/>
          <w:kern w:val="0"/>
          <w:sz w:val="32"/>
          <w:szCs w:val="32"/>
        </w:rPr>
        <w:t xml:space="preserve"> </w:t>
      </w:r>
    </w:p>
    <w:p>
      <w:pPr>
        <w:widowControl/>
        <w:spacing w:line="560" w:lineRule="exact"/>
        <w:ind w:firstLine="640" w:firstLineChars="200"/>
        <w:rPr>
          <w:rFonts w:ascii="仿宋" w:hAnsi="仿宋" w:eastAsia="仿宋" w:cs="宋体"/>
          <w:b/>
          <w:bCs/>
          <w:kern w:val="0"/>
          <w:sz w:val="32"/>
          <w:szCs w:val="32"/>
        </w:rPr>
      </w:pPr>
      <w:r>
        <w:rPr>
          <w:rFonts w:hint="eastAsia" w:ascii="仿宋" w:hAnsi="仿宋" w:eastAsia="仿宋" w:cs="宋体"/>
          <w:kern w:val="0"/>
          <w:sz w:val="32"/>
          <w:szCs w:val="32"/>
        </w:rPr>
        <w:t>（一）在提交宗地竞买申请之前，竞买申请人应当仔细阅读《河南省国有建设用地使用权网上交易管理办法》、网上交易公告、宗地信息、交易须知和其他相关文件。</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（二）竞买申请人应当取得有效数字证书，方能参与网上交易竞买活动。详情请登录网上交易系统网站查看数字证书办理指南。</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竞买申请人应妥善保管数字证书及其密码，如有遗失或者损毁数字证书、遗忘或者泄露密码的，应及时到原办理机构办理挂失，并重新申领。竞买申请人登记信息有变化的，应及时到数字证书服务机构进行信息变更。</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（三）竞买申请人应在</w:t>
      </w:r>
      <w:r>
        <w:rPr>
          <w:rFonts w:ascii="仿宋" w:hAnsi="仿宋" w:eastAsia="仿宋" w:cs="宋体"/>
          <w:kern w:val="0"/>
          <w:sz w:val="32"/>
          <w:szCs w:val="32"/>
        </w:rPr>
        <w:t xml:space="preserve"> 2021</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22</w:t>
      </w:r>
      <w:r>
        <w:rPr>
          <w:rFonts w:hint="eastAsia" w:ascii="仿宋" w:hAnsi="仿宋" w:eastAsia="仿宋" w:cs="宋体"/>
          <w:kern w:val="0"/>
          <w:sz w:val="32"/>
          <w:szCs w:val="32"/>
        </w:rPr>
        <w:t>日至</w:t>
      </w:r>
      <w:r>
        <w:rPr>
          <w:rFonts w:ascii="仿宋" w:hAnsi="仿宋" w:eastAsia="仿宋" w:cs="宋体"/>
          <w:kern w:val="0"/>
          <w:sz w:val="32"/>
          <w:szCs w:val="32"/>
        </w:rPr>
        <w:t>2021</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22</w:t>
      </w:r>
      <w:r>
        <w:rPr>
          <w:rFonts w:hint="eastAsia" w:ascii="仿宋" w:hAnsi="仿宋" w:eastAsia="仿宋" w:cs="宋体"/>
          <w:kern w:val="0"/>
          <w:sz w:val="32"/>
          <w:szCs w:val="32"/>
        </w:rPr>
        <w:t>日</w:t>
      </w:r>
      <w:r>
        <w:rPr>
          <w:rFonts w:ascii="仿宋" w:hAnsi="仿宋" w:eastAsia="仿宋" w:cs="宋体"/>
          <w:kern w:val="0"/>
          <w:sz w:val="32"/>
          <w:szCs w:val="32"/>
        </w:rPr>
        <w:t xml:space="preserve"> 16:00</w:t>
      </w:r>
      <w:r>
        <w:rPr>
          <w:rFonts w:hint="eastAsia" w:ascii="仿宋" w:hAnsi="仿宋" w:eastAsia="仿宋" w:cs="宋体"/>
          <w:kern w:val="0"/>
          <w:sz w:val="32"/>
          <w:szCs w:val="32"/>
        </w:rPr>
        <w:t>前登录网上交易系统，查看网上拍卖出让公告、出让须知、现状图及其他出让文件，提交竞买申请。如对网上交易相关文件及宗地信息有疑问的，可以向我局或</w:t>
      </w:r>
      <w:r>
        <w:rPr>
          <w:rFonts w:hint="eastAsia" w:ascii="仿宋" w:hAnsi="仿宋" w:eastAsia="仿宋" w:cs="宋体"/>
          <w:color w:val="003366"/>
          <w:kern w:val="0"/>
          <w:sz w:val="32"/>
          <w:szCs w:val="32"/>
        </w:rPr>
        <w:t>鄢陵县</w:t>
      </w:r>
      <w:r>
        <w:rPr>
          <w:rFonts w:hint="eastAsia" w:ascii="仿宋" w:hAnsi="仿宋" w:eastAsia="仿宋" w:cs="宋体"/>
          <w:color w:val="000000"/>
          <w:kern w:val="0"/>
          <w:sz w:val="32"/>
          <w:szCs w:val="32"/>
        </w:rPr>
        <w:t>公共资源交易中心</w:t>
      </w:r>
      <w:r>
        <w:rPr>
          <w:rFonts w:hint="eastAsia" w:ascii="仿宋" w:hAnsi="仿宋" w:eastAsia="仿宋" w:cs="宋体"/>
          <w:kern w:val="0"/>
          <w:sz w:val="32"/>
          <w:szCs w:val="32"/>
        </w:rPr>
        <w:t>咨询。此次交易不组织对网上出让地块的现场踏勘，竞买申请人可自行前往现场踏勘。</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（四）竞买申请一经提交，即视为对交易办法、应急处置办法、出让公告、交易须知、其他相关文件、宗地现状等无异议，并对可能存在的风险完全接受。</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竞买申请人在网上交易系统提交竞买申请后，网上交易系统会自动生成唯一的随机竞买保证金子账号。竞买申请人应以本人身份在规定时间内，将竞买保证金交入随机生成的保证金子账号。每次提交竞买申请及交纳竞买保证金只对应一宗地块，竞买多宗地块的，应分别提交申请并按时足额交纳竞买保证金。</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六）竞买申请人在规定时间内足额交纳了竞买保证金至指定账户的（以保证金到达指定账户时间为准），网上交易系统会自动颁发《国有建设用地使用权竞买保证金到账确认书》，确认其竞买资格。竞买申请人没有按时足额交纳竞买保证金的，不能获得竞买资格。</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（七）法人、自然人和其他组织进行联合竞买的，应当按要求如实填报联合竞买各方的出资比例及相关信息，并明确签订《国有建设用地使用权出让合同》的受让人。</w:t>
      </w:r>
    </w:p>
    <w:p>
      <w:pPr>
        <w:widowControl/>
        <w:spacing w:line="560" w:lineRule="exact"/>
        <w:rPr>
          <w:rFonts w:ascii="仿宋" w:hAnsi="仿宋" w:eastAsia="仿宋" w:cs="宋体"/>
          <w:b/>
          <w:bCs/>
          <w:kern w:val="0"/>
          <w:sz w:val="32"/>
          <w:szCs w:val="32"/>
        </w:rPr>
      </w:pPr>
      <w:r>
        <w:rPr>
          <w:rFonts w:hint="eastAsia" w:ascii="仿宋" w:hAnsi="仿宋" w:eastAsia="仿宋" w:cs="宋体"/>
          <w:b/>
          <w:bCs/>
          <w:kern w:val="0"/>
          <w:sz w:val="32"/>
          <w:szCs w:val="32"/>
        </w:rPr>
        <w:t>八、</w:t>
      </w:r>
      <w:r>
        <w:rPr>
          <w:rFonts w:hint="eastAsia" w:ascii="仿宋" w:hAnsi="仿宋" w:eastAsia="仿宋" w:cs="宋体"/>
          <w:kern w:val="0"/>
          <w:sz w:val="32"/>
          <w:szCs w:val="32"/>
        </w:rPr>
        <w:t>拍卖</w:t>
      </w:r>
      <w:r>
        <w:rPr>
          <w:rFonts w:hint="eastAsia" w:ascii="仿宋" w:hAnsi="仿宋" w:eastAsia="仿宋" w:cs="宋体"/>
          <w:b/>
          <w:bCs/>
          <w:kern w:val="0"/>
          <w:sz w:val="32"/>
          <w:szCs w:val="32"/>
        </w:rPr>
        <w:t>报价（竞价）</w:t>
      </w:r>
      <w:r>
        <w:rPr>
          <w:rFonts w:ascii="仿宋" w:hAnsi="仿宋" w:eastAsia="仿宋" w:cs="宋体"/>
          <w:b/>
          <w:bCs/>
          <w:kern w:val="0"/>
          <w:sz w:val="32"/>
          <w:szCs w:val="32"/>
        </w:rPr>
        <w:t xml:space="preserve"> </w:t>
      </w:r>
    </w:p>
    <w:p>
      <w:pPr>
        <w:widowControl/>
        <w:spacing w:line="560" w:lineRule="exact"/>
        <w:ind w:firstLine="960" w:firstLineChars="300"/>
        <w:rPr>
          <w:rFonts w:ascii="仿宋" w:hAnsi="仿宋" w:eastAsia="仿宋" w:cs="宋体"/>
          <w:kern w:val="0"/>
          <w:sz w:val="32"/>
          <w:szCs w:val="32"/>
        </w:rPr>
      </w:pPr>
      <w:r>
        <w:rPr>
          <w:rFonts w:hint="eastAsia" w:ascii="仿宋" w:hAnsi="仿宋" w:eastAsia="仿宋" w:cs="宋体"/>
          <w:kern w:val="0"/>
          <w:sz w:val="32"/>
          <w:szCs w:val="32"/>
        </w:rPr>
        <w:t>（一）本次拍卖设有底价。获得竞买资格的竞买人通过网上交易系统进行拍卖竞价。本次网上拍卖</w:t>
      </w:r>
      <w:r>
        <w:rPr>
          <w:rFonts w:ascii="仿宋" w:hAnsi="仿宋" w:eastAsia="仿宋" w:cs="宋体"/>
          <w:kern w:val="0"/>
          <w:sz w:val="32"/>
          <w:szCs w:val="32"/>
        </w:rPr>
        <w:t>YC-2</w:t>
      </w:r>
      <w:r>
        <w:rPr>
          <w:rFonts w:hint="eastAsia" w:ascii="仿宋" w:hAnsi="仿宋" w:eastAsia="仿宋" w:cs="宋体"/>
          <w:kern w:val="0"/>
          <w:sz w:val="32"/>
          <w:szCs w:val="32"/>
          <w:lang w:val="en-US" w:eastAsia="zh-CN"/>
        </w:rPr>
        <w:t>1</w:t>
      </w:r>
      <w:r>
        <w:rPr>
          <w:rFonts w:ascii="仿宋" w:hAnsi="仿宋" w:eastAsia="仿宋" w:cs="宋体"/>
          <w:kern w:val="0"/>
          <w:sz w:val="32"/>
          <w:szCs w:val="32"/>
        </w:rPr>
        <w:t>-</w:t>
      </w:r>
      <w:r>
        <w:rPr>
          <w:rFonts w:hint="eastAsia" w:ascii="仿宋" w:hAnsi="仿宋" w:eastAsia="仿宋" w:cs="宋体"/>
          <w:kern w:val="0"/>
          <w:sz w:val="32"/>
          <w:szCs w:val="32"/>
          <w:lang w:val="en-US" w:eastAsia="zh-CN"/>
        </w:rPr>
        <w:t>20</w:t>
      </w:r>
      <w:r>
        <w:rPr>
          <w:rFonts w:ascii="仿宋" w:hAnsi="仿宋" w:eastAsia="仿宋" w:cs="宋体"/>
          <w:kern w:val="0"/>
          <w:sz w:val="32"/>
          <w:szCs w:val="32"/>
        </w:rPr>
        <w:t>#</w:t>
      </w:r>
      <w:r>
        <w:rPr>
          <w:rFonts w:hint="eastAsia" w:ascii="仿宋" w:hAnsi="仿宋" w:eastAsia="仿宋" w:cs="宋体"/>
          <w:kern w:val="0"/>
          <w:sz w:val="32"/>
          <w:szCs w:val="32"/>
        </w:rPr>
        <w:t>的起始价为</w:t>
      </w:r>
      <w:r>
        <w:rPr>
          <w:rFonts w:hint="eastAsia" w:ascii="仿宋" w:hAnsi="仿宋" w:eastAsia="仿宋" w:cs="宋体"/>
          <w:kern w:val="0"/>
          <w:sz w:val="32"/>
          <w:szCs w:val="32"/>
          <w:lang w:val="en-US" w:eastAsia="zh-CN"/>
        </w:rPr>
        <w:t>40.22</w:t>
      </w:r>
      <w:r>
        <w:rPr>
          <w:rFonts w:hint="eastAsia" w:ascii="仿宋" w:hAnsi="仿宋" w:eastAsia="仿宋" w:cs="宋体"/>
          <w:kern w:val="0"/>
          <w:sz w:val="32"/>
          <w:szCs w:val="32"/>
        </w:rPr>
        <w:t>万元</w:t>
      </w:r>
      <w:r>
        <w:rPr>
          <w:rFonts w:ascii="仿宋" w:hAnsi="仿宋" w:eastAsia="仿宋" w:cs="宋体"/>
          <w:kern w:val="0"/>
          <w:sz w:val="32"/>
          <w:szCs w:val="32"/>
        </w:rPr>
        <w:t>/</w:t>
      </w:r>
      <w:r>
        <w:rPr>
          <w:rFonts w:hint="eastAsia" w:ascii="仿宋" w:hAnsi="仿宋" w:eastAsia="仿宋" w:cs="宋体"/>
          <w:kern w:val="0"/>
          <w:sz w:val="32"/>
          <w:szCs w:val="32"/>
        </w:rPr>
        <w:t>亩，报价以增价方式进行，每次加价幅度为</w:t>
      </w:r>
      <w:r>
        <w:rPr>
          <w:rFonts w:hint="eastAsia" w:ascii="仿宋" w:hAnsi="仿宋" w:eastAsia="仿宋" w:cs="宋体"/>
          <w:kern w:val="0"/>
          <w:sz w:val="32"/>
          <w:szCs w:val="32"/>
          <w:lang w:val="en-US" w:eastAsia="zh-CN"/>
        </w:rPr>
        <w:t>19</w:t>
      </w:r>
      <w:r>
        <w:rPr>
          <w:rFonts w:hint="eastAsia" w:ascii="仿宋" w:hAnsi="仿宋" w:eastAsia="仿宋" w:cs="宋体"/>
          <w:kern w:val="0"/>
          <w:sz w:val="32"/>
          <w:szCs w:val="32"/>
        </w:rPr>
        <w:t>万元或其整数倍</w:t>
      </w:r>
      <w:r>
        <w:rPr>
          <w:rFonts w:ascii="仿宋" w:hAnsi="仿宋" w:eastAsia="仿宋" w:cs="宋体"/>
          <w:kern w:val="0"/>
          <w:sz w:val="32"/>
          <w:szCs w:val="32"/>
        </w:rPr>
        <w:t>;</w:t>
      </w:r>
      <w:r>
        <w:rPr>
          <w:rFonts w:hint="eastAsia" w:ascii="仿宋" w:hAnsi="仿宋" w:eastAsia="仿宋" w:cs="宋体"/>
          <w:kern w:val="0"/>
          <w:sz w:val="32"/>
          <w:szCs w:val="32"/>
        </w:rPr>
        <w:t>可多次报价。符合条件的报价，网上交易系统予以接受并公布。</w:t>
      </w:r>
    </w:p>
    <w:p>
      <w:pPr>
        <w:widowControl/>
        <w:spacing w:line="560" w:lineRule="exact"/>
        <w:ind w:firstLine="960" w:firstLineChars="300"/>
        <w:rPr>
          <w:rFonts w:ascii="仿宋" w:hAnsi="仿宋" w:eastAsia="仿宋" w:cs="宋体"/>
          <w:kern w:val="0"/>
          <w:sz w:val="32"/>
          <w:szCs w:val="32"/>
        </w:rPr>
      </w:pPr>
      <w:r>
        <w:rPr>
          <w:rFonts w:hint="eastAsia" w:ascii="仿宋" w:hAnsi="仿宋" w:eastAsia="仿宋" w:cs="宋体"/>
          <w:kern w:val="0"/>
          <w:sz w:val="32"/>
          <w:szCs w:val="32"/>
        </w:rPr>
        <w:t>（二）竞买人应当谨慎报价，报价一经提交，不得修改或撤回。</w:t>
      </w:r>
    </w:p>
    <w:p>
      <w:pPr>
        <w:widowControl/>
        <w:spacing w:line="560" w:lineRule="exact"/>
        <w:ind w:firstLine="960" w:firstLineChars="300"/>
        <w:rPr>
          <w:rFonts w:ascii="仿宋" w:hAnsi="仿宋" w:eastAsia="仿宋" w:cs="宋体"/>
          <w:kern w:val="0"/>
          <w:sz w:val="32"/>
          <w:szCs w:val="32"/>
        </w:rPr>
      </w:pPr>
      <w:r>
        <w:rPr>
          <w:rFonts w:hint="eastAsia" w:ascii="仿宋" w:hAnsi="仿宋" w:eastAsia="仿宋" w:cs="宋体"/>
          <w:kern w:val="0"/>
          <w:sz w:val="32"/>
          <w:szCs w:val="32"/>
        </w:rPr>
        <w:t>（三）网上拍卖时，网上交易系统以</w:t>
      </w:r>
      <w:r>
        <w:rPr>
          <w:rFonts w:ascii="仿宋" w:hAnsi="仿宋" w:eastAsia="仿宋" w:cs="宋体"/>
          <w:kern w:val="0"/>
          <w:sz w:val="32"/>
          <w:szCs w:val="32"/>
        </w:rPr>
        <w:t>4</w:t>
      </w:r>
      <w:r>
        <w:rPr>
          <w:rFonts w:hint="eastAsia" w:ascii="仿宋" w:hAnsi="仿宋" w:eastAsia="仿宋" w:cs="宋体"/>
          <w:kern w:val="0"/>
          <w:sz w:val="32"/>
          <w:szCs w:val="32"/>
        </w:rPr>
        <w:t>分钟倒计时为竞价时限，如在</w:t>
      </w:r>
      <w:r>
        <w:rPr>
          <w:rFonts w:ascii="仿宋" w:hAnsi="仿宋" w:eastAsia="仿宋" w:cs="宋体"/>
          <w:kern w:val="0"/>
          <w:sz w:val="32"/>
          <w:szCs w:val="32"/>
        </w:rPr>
        <w:t>4</w:t>
      </w:r>
      <w:r>
        <w:rPr>
          <w:rFonts w:hint="eastAsia" w:ascii="仿宋" w:hAnsi="仿宋" w:eastAsia="仿宋" w:cs="宋体"/>
          <w:kern w:val="0"/>
          <w:sz w:val="32"/>
          <w:szCs w:val="32"/>
        </w:rPr>
        <w:t>分钟倒计时内有新的报价，网上交易系统即从接受新的报价起再重新倒计时。</w:t>
      </w:r>
      <w:r>
        <w:rPr>
          <w:rFonts w:ascii="仿宋" w:hAnsi="仿宋" w:eastAsia="仿宋" w:cs="宋体"/>
          <w:kern w:val="0"/>
          <w:sz w:val="32"/>
          <w:szCs w:val="32"/>
        </w:rPr>
        <w:t>4</w:t>
      </w:r>
      <w:r>
        <w:rPr>
          <w:rFonts w:hint="eastAsia" w:ascii="仿宋" w:hAnsi="仿宋" w:eastAsia="仿宋" w:cs="宋体"/>
          <w:kern w:val="0"/>
          <w:sz w:val="32"/>
          <w:szCs w:val="32"/>
        </w:rPr>
        <w:t>分钟倒计时截止，网上交易系统将不再接受新的报价，以最后一次报价为最高报价，网上交易系统自动判断</w:t>
      </w:r>
      <w:r>
        <w:rPr>
          <w:rFonts w:hint="eastAsia" w:ascii="仿宋" w:hAnsi="仿宋" w:eastAsia="仿宋" w:cs="宋体"/>
          <w:kern w:val="0"/>
          <w:sz w:val="32"/>
          <w:szCs w:val="32"/>
          <w:u w:val="single"/>
        </w:rPr>
        <w:t>竞价</w:t>
      </w:r>
      <w:r>
        <w:rPr>
          <w:rFonts w:hint="eastAsia" w:ascii="仿宋" w:hAnsi="仿宋" w:eastAsia="仿宋" w:cs="宋体"/>
          <w:kern w:val="0"/>
          <w:sz w:val="32"/>
          <w:szCs w:val="32"/>
        </w:rPr>
        <w:t>是否成</w:t>
      </w:r>
      <w:r>
        <w:rPr>
          <w:rFonts w:hint="eastAsia" w:ascii="仿宋" w:hAnsi="仿宋" w:eastAsia="仿宋" w:cs="宋体"/>
          <w:kern w:val="0"/>
          <w:sz w:val="32"/>
          <w:szCs w:val="32"/>
          <w:u w:val="single"/>
        </w:rPr>
        <w:t>功</w:t>
      </w:r>
      <w:r>
        <w:rPr>
          <w:rFonts w:hint="eastAsia" w:ascii="仿宋" w:hAnsi="仿宋" w:eastAsia="仿宋" w:cs="宋体"/>
          <w:kern w:val="0"/>
          <w:sz w:val="32"/>
          <w:szCs w:val="32"/>
        </w:rPr>
        <w:t>。</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网上拍卖截止时，系统将自动关闭报价通道</w:t>
      </w:r>
      <w:r>
        <w:rPr>
          <w:rFonts w:hint="eastAsia" w:ascii="仿宋" w:hAnsi="仿宋" w:eastAsia="仿宋" w:cs="宋体"/>
          <w:color w:val="000000"/>
          <w:kern w:val="0"/>
          <w:sz w:val="32"/>
          <w:szCs w:val="32"/>
        </w:rPr>
        <w:t>，并公布竞价结果</w:t>
      </w:r>
      <w:r>
        <w:rPr>
          <w:rFonts w:hint="eastAsia" w:ascii="仿宋" w:hAnsi="仿宋" w:eastAsia="仿宋" w:cs="宋体"/>
          <w:kern w:val="0"/>
          <w:sz w:val="32"/>
          <w:szCs w:val="32"/>
        </w:rPr>
        <w:t>。</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（四）网上拍卖按下列规定确定竞得入选人</w:t>
      </w:r>
      <w:r>
        <w:rPr>
          <w:rFonts w:ascii="仿宋" w:hAnsi="仿宋" w:eastAsia="仿宋" w:cs="宋体"/>
          <w:kern w:val="0"/>
          <w:sz w:val="32"/>
          <w:szCs w:val="32"/>
        </w:rPr>
        <w:t>:</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、未设底价的，报价最高者即为竞得入选人。</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、设有底价的，报价最高且不低于底价者即为竞得入选人。报价低于底价的，拍卖不成交。</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、拍卖开始后，第一次</w:t>
      </w:r>
      <w:r>
        <w:rPr>
          <w:rFonts w:ascii="仿宋" w:hAnsi="仿宋" w:eastAsia="仿宋" w:cs="宋体"/>
          <w:kern w:val="0"/>
          <w:sz w:val="32"/>
          <w:szCs w:val="32"/>
        </w:rPr>
        <w:t>4</w:t>
      </w:r>
      <w:r>
        <w:rPr>
          <w:rFonts w:hint="eastAsia" w:ascii="仿宋" w:hAnsi="仿宋" w:eastAsia="仿宋" w:cs="宋体"/>
          <w:kern w:val="0"/>
          <w:sz w:val="32"/>
          <w:szCs w:val="32"/>
        </w:rPr>
        <w:t>分钟倒计时内，无人报价，该次倒计时结束时，网上拍卖终止，拍卖不成交。</w:t>
      </w:r>
    </w:p>
    <w:p>
      <w:pPr>
        <w:widowControl/>
        <w:spacing w:line="560" w:lineRule="exact"/>
        <w:ind w:firstLine="643" w:firstLineChars="200"/>
        <w:rPr>
          <w:rFonts w:ascii="仿宋" w:hAnsi="仿宋" w:eastAsia="仿宋" w:cs="宋体"/>
          <w:kern w:val="0"/>
          <w:sz w:val="32"/>
          <w:szCs w:val="32"/>
        </w:rPr>
      </w:pPr>
      <w:r>
        <w:rPr>
          <w:rFonts w:hint="eastAsia" w:ascii="仿宋" w:hAnsi="仿宋" w:eastAsia="仿宋" w:cs="宋体"/>
          <w:b/>
          <w:bCs/>
          <w:color w:val="000000"/>
          <w:kern w:val="0"/>
          <w:sz w:val="32"/>
          <w:szCs w:val="32"/>
        </w:rPr>
        <w:t>九</w:t>
      </w:r>
      <w:r>
        <w:rPr>
          <w:rFonts w:hint="eastAsia" w:ascii="仿宋" w:hAnsi="仿宋" w:eastAsia="仿宋" w:cs="宋体"/>
          <w:b/>
          <w:bCs/>
          <w:kern w:val="0"/>
          <w:sz w:val="32"/>
          <w:szCs w:val="32"/>
        </w:rPr>
        <w:t>、资格审查、成交确认及合同签订</w:t>
      </w:r>
      <w:r>
        <w:rPr>
          <w:rFonts w:ascii="仿宋" w:hAnsi="仿宋" w:eastAsia="仿宋" w:cs="宋体"/>
          <w:b/>
          <w:bCs/>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网上交易前不对竞买申请人进行资格审查。网上交易结束后，对竞得入选人进行资格审查。</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（一）竞得入选人资格审查</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竞得入选人须在网上交易结束后</w:t>
      </w:r>
      <w:r>
        <w:rPr>
          <w:rFonts w:ascii="仿宋" w:hAnsi="仿宋" w:eastAsia="仿宋" w:cs="宋体"/>
          <w:kern w:val="0"/>
          <w:sz w:val="32"/>
          <w:szCs w:val="32"/>
        </w:rPr>
        <w:t>3</w:t>
      </w:r>
      <w:r>
        <w:rPr>
          <w:rFonts w:hint="eastAsia" w:ascii="仿宋" w:hAnsi="仿宋" w:eastAsia="仿宋" w:cs="宋体"/>
          <w:kern w:val="0"/>
          <w:sz w:val="32"/>
          <w:szCs w:val="32"/>
        </w:rPr>
        <w:t>个工作日内，持以下资料到我局进行资格审查。</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、企业法人竞得的，应提交下列文件：</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⑴企业营业执照副本（复印件）；</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⑵企业组织机构代码证书副本（复印件）；</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⑶法定代表人的有效身份证明文件</w:t>
      </w:r>
      <w:r>
        <w:rPr>
          <w:rFonts w:ascii="仿宋" w:hAnsi="仿宋" w:eastAsia="仿宋" w:cs="宋体"/>
          <w:kern w:val="0"/>
          <w:sz w:val="32"/>
          <w:szCs w:val="32"/>
        </w:rPr>
        <w:t>(</w:t>
      </w:r>
      <w:r>
        <w:rPr>
          <w:rFonts w:hint="eastAsia" w:ascii="仿宋" w:hAnsi="仿宋" w:eastAsia="仿宋" w:cs="宋体"/>
          <w:kern w:val="0"/>
          <w:sz w:val="32"/>
          <w:szCs w:val="32"/>
        </w:rPr>
        <w:t>含法人代表证书或法人单位盖章的证明材料</w:t>
      </w:r>
      <w:r>
        <w:rPr>
          <w:rFonts w:ascii="仿宋" w:hAnsi="仿宋" w:eastAsia="仿宋" w:cs="宋体"/>
          <w:kern w:val="0"/>
          <w:sz w:val="32"/>
          <w:szCs w:val="32"/>
        </w:rPr>
        <w:t>,</w:t>
      </w:r>
      <w:r>
        <w:rPr>
          <w:rFonts w:hint="eastAsia" w:ascii="仿宋" w:hAnsi="仿宋" w:eastAsia="仿宋" w:cs="宋体"/>
          <w:kern w:val="0"/>
          <w:sz w:val="32"/>
          <w:szCs w:val="32"/>
        </w:rPr>
        <w:t>法定代表人个人身份证明等</w:t>
      </w:r>
      <w:r>
        <w:rPr>
          <w:rFonts w:ascii="仿宋" w:hAnsi="仿宋" w:eastAsia="仿宋" w:cs="宋体"/>
          <w:kern w:val="0"/>
          <w:sz w:val="32"/>
          <w:szCs w:val="32"/>
        </w:rPr>
        <w:t>)</w:t>
      </w:r>
      <w:r>
        <w:rPr>
          <w:rFonts w:hint="eastAsia" w:ascii="仿宋" w:hAnsi="仿宋" w:eastAsia="仿宋" w:cs="宋体"/>
          <w:kern w:val="0"/>
          <w:sz w:val="32"/>
          <w:szCs w:val="32"/>
        </w:rPr>
        <w:t>；</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⑷竞得入选人委托他人办理的，应提交授权委托书及委托代理人的有效身份证明文件；</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kern w:val="0"/>
          <w:sz w:val="32"/>
          <w:szCs w:val="32"/>
        </w:rPr>
        <w:t>⑸竞得入选人在线打印的</w:t>
      </w:r>
      <w:r>
        <w:rPr>
          <w:rFonts w:hint="eastAsia" w:ascii="仿宋" w:hAnsi="仿宋" w:eastAsia="仿宋" w:cs="宋体"/>
          <w:color w:val="000000"/>
          <w:kern w:val="0"/>
          <w:sz w:val="32"/>
          <w:szCs w:val="32"/>
        </w:rPr>
        <w:t>《国有建设用地使用权竞买申请书》、《国有建设用地使用权竞买保证金到账确认书》、《国有建设用地使用权竞得入选人确认书》。</w:t>
      </w:r>
      <w:r>
        <w:rPr>
          <w:rFonts w:ascii="仿宋" w:hAnsi="仿宋" w:eastAsia="仿宋" w:cs="宋体"/>
          <w:color w:val="000000"/>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、自然人竞得的，应提交下列文件：</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⑴竞得入选人有效身份证明文件；</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⑵竞得入选人委托他人办理的，须提交授权委托书及委托代理人的有效身份证明文件；</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⑶竞得入选人在线打印网上交易系统自动生成的《国有建设用地使用权竞买申请书》、《国有建设用地使用权竞买保证金到账确认书》和《国有建设用地使用权竞得入选人确认书》。</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、其他组织竞得的，应提交下列文件：</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⑴表明该组织合法存在的文件或有效证明；</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⑵组织机构代码证书副本（复印件）；</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⑶表明该组织负责人身份的有效证明文件；</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⑷竞得入选人委托他人办理的，须提交授权委托书及委托代理人的有效身份证明文件；</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⑸竞得入选人在线打印的《国有建设用地使用权竞买申请书》、《国有建设用地使用权竞买保证金到账确认书》、《国有建设用地使用权竞得入选人确认书》。</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、境外竞买申请人竞得的，应提交下列文件：</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⑴境外法人、自然人、其他组织的有效身份证明文件经公证、认证的副本；</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⑵竞得入选人委托他人办理的，须提交授权委托书及委托代理人的有效身份证明文件；</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⑶竞得入选人在线打印的《国有建设用地使用权竞买申请书》、《国有建设用地使用权竞买保证金到账确认书》、《国有建设用地使用权竞得入选人确认书。</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5</w:t>
      </w:r>
      <w:r>
        <w:rPr>
          <w:rFonts w:hint="eastAsia" w:ascii="仿宋" w:hAnsi="仿宋" w:eastAsia="仿宋" w:cs="宋体"/>
          <w:kern w:val="0"/>
          <w:sz w:val="32"/>
          <w:szCs w:val="32"/>
        </w:rPr>
        <w:t>、联合竞得的，应提交下列文件：</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⑴联合竞买各方的有效身份证明文件；</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⑵联合竞买协议，协议要规定联合各方的权利、义务，并明确签订《国有建设用地使用权出让合同》时的受让人（各项内容须与在交易系统上申购时提交的内容一致）；</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⑶竞得入选人委托他人办理成交后续手续的，须提交授权委托书及委托代理人的有效身份证明文件；</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⑷竞得入选人在线打印的《国有建设用地使用权竞买申请书》、《国有建设用地使用权竞买保证金到账确认书》、《国有建设用地使用权竞得入选人确认书》。</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属房地产开发用地的，还应提交竞买保证金不属于银行贷款、股东借款、转贷和募集资金的承诺书及商业金融机构的资信证明。</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上述文件为复印件的，应在复印件上注明“与原件一致”并加盖竞买申请人公章，同时提交原件核实。</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有下列情形之一的，视为资格审查不能通过，竞得结果无效，该竞买人的竞买保证金不予退还。</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．竞得入选人不符合竞买资格要求的；</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．提交核对的文件资料不齐全或不符合规定的；</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．法律法规规定的其它情形。</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（二）签订《国有建设用地使用权成交确认书》。</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竞得入选人在规定时间提交上述资料并经审查符合竞买资格的，鄢陵县</w:t>
      </w:r>
      <w:r>
        <w:rPr>
          <w:rFonts w:hint="eastAsia" w:ascii="仿宋" w:hAnsi="仿宋" w:eastAsia="仿宋" w:cs="宋体"/>
          <w:color w:val="003366"/>
          <w:kern w:val="0"/>
          <w:sz w:val="32"/>
          <w:szCs w:val="32"/>
        </w:rPr>
        <w:t>国土资源局</w:t>
      </w:r>
      <w:r>
        <w:rPr>
          <w:rFonts w:hint="eastAsia" w:ascii="仿宋" w:hAnsi="仿宋" w:eastAsia="仿宋" w:cs="宋体"/>
          <w:kern w:val="0"/>
          <w:sz w:val="32"/>
          <w:szCs w:val="32"/>
        </w:rPr>
        <w:t>与竞得人签订《国有建设用地使用权成交确认书》。委托他人代签的，应提交法定代表人亲笔签名并盖章的授权委托书。</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（三）签订《国有建设用地使用权出让合同》。</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竞得人持签订的《国有建设用地使用权成交确认书》，在约定的期限内与我局签订《国有建设用地使用权出让合同》。</w:t>
      </w:r>
      <w:r>
        <w:rPr>
          <w:rFonts w:ascii="仿宋" w:hAnsi="仿宋" w:eastAsia="仿宋" w:cs="宋体"/>
          <w:kern w:val="0"/>
          <w:sz w:val="32"/>
          <w:szCs w:val="32"/>
        </w:rPr>
        <w:t xml:space="preserve"> </w:t>
      </w:r>
    </w:p>
    <w:p>
      <w:pPr>
        <w:widowControl/>
        <w:spacing w:line="560" w:lineRule="exact"/>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十、出让结果公示</w:t>
      </w:r>
      <w:r>
        <w:rPr>
          <w:rFonts w:ascii="仿宋" w:hAnsi="仿宋" w:eastAsia="仿宋" w:cs="宋体"/>
          <w:b/>
          <w:bCs/>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我局将在本次国有建设用地使用权网上拍卖出让活动结束后</w:t>
      </w:r>
      <w:r>
        <w:rPr>
          <w:rFonts w:ascii="仿宋" w:hAnsi="仿宋" w:eastAsia="仿宋" w:cs="宋体"/>
          <w:kern w:val="0"/>
          <w:sz w:val="32"/>
          <w:szCs w:val="32"/>
        </w:rPr>
        <w:t>10</w:t>
      </w:r>
      <w:r>
        <w:rPr>
          <w:rFonts w:hint="eastAsia" w:ascii="仿宋" w:hAnsi="仿宋" w:eastAsia="仿宋" w:cs="宋体"/>
          <w:kern w:val="0"/>
          <w:sz w:val="32"/>
          <w:szCs w:val="32"/>
        </w:rPr>
        <w:t>个工作日内，在中国土地市场网、河南省自然资源厅门户网、《许昌日报》向社会公布本次国有建设用地使用权网上拍卖出让结果。</w:t>
      </w:r>
    </w:p>
    <w:p>
      <w:pPr>
        <w:widowControl/>
        <w:spacing w:line="560" w:lineRule="exact"/>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十一、</w:t>
      </w:r>
      <w:r>
        <w:rPr>
          <w:rFonts w:hint="eastAsia" w:ascii="仿宋" w:hAnsi="仿宋" w:eastAsia="仿宋" w:cs="宋体"/>
          <w:kern w:val="0"/>
          <w:sz w:val="32"/>
          <w:szCs w:val="32"/>
        </w:rPr>
        <w:t>拍卖</w:t>
      </w:r>
      <w:r>
        <w:rPr>
          <w:rFonts w:hint="eastAsia" w:ascii="仿宋" w:hAnsi="仿宋" w:eastAsia="仿宋" w:cs="宋体"/>
          <w:b/>
          <w:bCs/>
          <w:kern w:val="0"/>
          <w:sz w:val="32"/>
          <w:szCs w:val="32"/>
        </w:rPr>
        <w:t>中止或终止</w:t>
      </w:r>
      <w:r>
        <w:rPr>
          <w:rFonts w:ascii="仿宋" w:hAnsi="仿宋" w:eastAsia="仿宋" w:cs="宋体"/>
          <w:b/>
          <w:bCs/>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有下列情形之一的，我局将发布中止或者终止网上交易公告，并中止或者终止网上交易活动</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（一）司法机关、监察机关依法要求中止或者终止网上交易活动的</w:t>
      </w:r>
      <w:r>
        <w:rPr>
          <w:rFonts w:ascii="仿宋" w:hAnsi="仿宋" w:eastAsia="仿宋" w:cs="宋体"/>
          <w:kern w:val="0"/>
          <w:sz w:val="32"/>
          <w:szCs w:val="32"/>
        </w:rPr>
        <w:t>;</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（二）因相关政策、宗地规划条件等发生变化，对土地使用权有重大影响的；</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（三）网上交易系统软、硬件故障，网上交易系统网络专线故障，网上交易</w:t>
      </w:r>
      <w:r>
        <w:rPr>
          <w:rFonts w:ascii="仿宋" w:hAnsi="仿宋" w:eastAsia="仿宋" w:cs="宋体"/>
          <w:kern w:val="0"/>
          <w:sz w:val="32"/>
          <w:szCs w:val="32"/>
        </w:rPr>
        <w:t>CA</w:t>
      </w:r>
      <w:r>
        <w:rPr>
          <w:rFonts w:hint="eastAsia" w:ascii="仿宋" w:hAnsi="仿宋" w:eastAsia="仿宋" w:cs="宋体"/>
          <w:kern w:val="0"/>
          <w:sz w:val="32"/>
          <w:szCs w:val="32"/>
        </w:rPr>
        <w:t>认证系统故障，代理银行保证金交纳系统故障以及不可抗力因素等，导致网上交易系统不能正常运行的；</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（四）因网络入侵等非可控因素，导致网上交易系统不能正常运行的；</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（五）依法应当中止或者终止网上交易活动的其他情形。</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网上交易中止时间超过</w:t>
      </w:r>
      <w:r>
        <w:rPr>
          <w:rFonts w:ascii="仿宋" w:hAnsi="仿宋" w:eastAsia="仿宋" w:cs="宋体"/>
          <w:color w:val="FF0000"/>
          <w:kern w:val="0"/>
          <w:sz w:val="32"/>
          <w:szCs w:val="32"/>
        </w:rPr>
        <w:t>5</w:t>
      </w:r>
      <w:r>
        <w:rPr>
          <w:rFonts w:hint="eastAsia" w:ascii="仿宋" w:hAnsi="仿宋" w:eastAsia="仿宋" w:cs="宋体"/>
          <w:kern w:val="0"/>
          <w:sz w:val="32"/>
          <w:szCs w:val="32"/>
        </w:rPr>
        <w:t>日内不能恢复交易的，该项交易自动终止。竞买人交纳的竞买保证金全额</w:t>
      </w:r>
      <w:r>
        <w:rPr>
          <w:rFonts w:hint="eastAsia" w:ascii="仿宋" w:hAnsi="仿宋" w:eastAsia="仿宋" w:cs="宋体"/>
          <w:color w:val="FF0000"/>
          <w:kern w:val="0"/>
          <w:sz w:val="32"/>
          <w:szCs w:val="32"/>
        </w:rPr>
        <w:t>无息</w:t>
      </w:r>
      <w:r>
        <w:rPr>
          <w:rFonts w:hint="eastAsia" w:ascii="仿宋" w:hAnsi="仿宋" w:eastAsia="仿宋" w:cs="宋体"/>
          <w:kern w:val="0"/>
          <w:sz w:val="32"/>
          <w:szCs w:val="32"/>
        </w:rPr>
        <w:t>退还。网上交易中止事项消除后，我局将及时在网上交易系统发布恢复网上交易公告，重新明确交易时间，恢复网上交易。交易中止前已取得竞买资格的，其竞买资格在本次交易期内（含中止交易期及恢复交易后）有效。</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color w:val="FF0000"/>
          <w:kern w:val="0"/>
          <w:sz w:val="32"/>
          <w:szCs w:val="32"/>
        </w:rPr>
        <w:t>十二、</w:t>
      </w:r>
      <w:r>
        <w:rPr>
          <w:rFonts w:hint="eastAsia" w:ascii="仿宋" w:hAnsi="仿宋" w:eastAsia="仿宋" w:cs="宋体"/>
          <w:b/>
          <w:bCs/>
          <w:kern w:val="0"/>
          <w:sz w:val="32"/>
          <w:szCs w:val="32"/>
        </w:rPr>
        <w:t>注意事项</w:t>
      </w:r>
    </w:p>
    <w:p>
      <w:pPr>
        <w:widowControl/>
        <w:spacing w:line="560" w:lineRule="exact"/>
        <w:ind w:firstLine="640" w:firstLineChars="200"/>
        <w:rPr>
          <w:rFonts w:ascii="仿宋" w:hAnsi="仿宋" w:eastAsia="仿宋" w:cs="宋体"/>
          <w:color w:val="FF0000"/>
          <w:kern w:val="0"/>
          <w:sz w:val="32"/>
          <w:szCs w:val="32"/>
        </w:rPr>
      </w:pPr>
      <w:r>
        <w:rPr>
          <w:rFonts w:hint="eastAsia" w:ascii="仿宋" w:hAnsi="仿宋" w:eastAsia="仿宋" w:cs="宋体"/>
          <w:kern w:val="0"/>
          <w:sz w:val="32"/>
          <w:szCs w:val="32"/>
        </w:rPr>
        <w:t>（一）出让地块未作地下工程勘查，如遇有各类管线、不良地质以及电力、通信设施设备迁移等情况均由竞得人按有关规定处理并支付相关费用，我局和鄢陵县公共资源交易中心、鄢陵金地地产交易中心不承担责任。</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（二）竞买申请人或竞买人网上交易行为所产生的法律后果，由竞买申请人或竞买人自行承担。</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（三）网上交易系统提供的《国有建设用地使用权出让合同》为范本，最终以实际签订的合同为准。</w:t>
      </w:r>
      <w:r>
        <w:rPr>
          <w:rFonts w:ascii="仿宋" w:hAnsi="仿宋" w:eastAsia="仿宋" w:cs="宋体"/>
          <w:kern w:val="0"/>
          <w:sz w:val="32"/>
          <w:szCs w:val="32"/>
        </w:rPr>
        <w:t xml:space="preserve"> </w:t>
      </w:r>
    </w:p>
    <w:p>
      <w:pPr>
        <w:widowControl/>
        <w:spacing w:line="276"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（四）《国有建设用地使用权成交确认书》对出让人和竞得入选人具有同等法律效力，出让人擅自改变竞得结果，或者竞得入选人、竞得人放弃竞得结果的，应当承担相应违规违约及法律责任。</w:t>
      </w:r>
      <w:r>
        <w:rPr>
          <w:rFonts w:ascii="仿宋" w:hAnsi="仿宋" w:eastAsia="仿宋" w:cs="宋体"/>
          <w:kern w:val="0"/>
          <w:sz w:val="32"/>
          <w:szCs w:val="32"/>
        </w:rPr>
        <w:br w:type="textWrapping"/>
      </w:r>
      <w:r>
        <w:rPr>
          <w:rFonts w:ascii="仿宋" w:hAnsi="仿宋" w:eastAsia="仿宋" w:cs="宋体"/>
          <w:kern w:val="0"/>
          <w:sz w:val="32"/>
          <w:szCs w:val="32"/>
        </w:rPr>
        <w:t xml:space="preserve">    </w:t>
      </w:r>
      <w:r>
        <w:rPr>
          <w:rFonts w:hint="eastAsia" w:ascii="仿宋" w:hAnsi="仿宋" w:eastAsia="仿宋" w:cs="宋体"/>
          <w:kern w:val="0"/>
          <w:sz w:val="32"/>
          <w:szCs w:val="32"/>
        </w:rPr>
        <w:t>（五）竞买申请人竞得宗地后，需成立新公司进行开发建设的，应在申请时勾选成立新公司选项。网上交易系统将自动在申请书中列明相关条款。单独申请的，竞买申请人应成立独资公司；联合申请的，按提交申请时确定的联合竞买申请人和各自出资比例成立新公司。</w:t>
      </w:r>
      <w:r>
        <w:rPr>
          <w:rFonts w:ascii="仿宋" w:hAnsi="仿宋" w:eastAsia="仿宋" w:cs="宋体"/>
          <w:kern w:val="0"/>
          <w:sz w:val="32"/>
          <w:szCs w:val="32"/>
        </w:rPr>
        <w:t xml:space="preserve"> </w:t>
      </w:r>
    </w:p>
    <w:p>
      <w:pPr>
        <w:widowControl/>
        <w:spacing w:line="276"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竞买人竞得宗地后，我局将与竞得人签订《国有建设用地使用权出让合同》，在竞得人按约定办理完新公司注册登记手续后，再与新公司签订《国有建设用地使用权出让合同变更协议》。或竞买人在规定时间内，办理完新公司注册登记手续后，我局同意直接与新公司签订《国有建设用地使用权出让合同》。</w:t>
      </w:r>
      <w:r>
        <w:rPr>
          <w:rFonts w:ascii="仿宋" w:hAnsi="仿宋" w:eastAsia="仿宋" w:cs="宋体"/>
          <w:kern w:val="0"/>
          <w:sz w:val="32"/>
          <w:szCs w:val="32"/>
        </w:rPr>
        <w:t xml:space="preserve"> </w:t>
      </w:r>
    </w:p>
    <w:p>
      <w:pPr>
        <w:widowControl/>
        <w:spacing w:line="276"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六）竞得人使用人民币交纳的竞买保证金，在签订《国有建设用地使用权出让合同》后转作受让土地的定金，定金以《国有建设用地使用权出让合同》约定的金额为准。未竞得人交纳的竞买保证金，未竞得人应带相关手续，在拍卖活动结束之后</w:t>
      </w:r>
      <w:r>
        <w:rPr>
          <w:rFonts w:ascii="仿宋" w:hAnsi="仿宋" w:eastAsia="仿宋" w:cs="宋体"/>
          <w:kern w:val="0"/>
          <w:sz w:val="32"/>
          <w:szCs w:val="32"/>
        </w:rPr>
        <w:t>5</w:t>
      </w:r>
      <w:r>
        <w:rPr>
          <w:rFonts w:hint="eastAsia" w:ascii="仿宋" w:hAnsi="仿宋" w:eastAsia="仿宋" w:cs="宋体"/>
          <w:kern w:val="0"/>
          <w:sz w:val="32"/>
          <w:szCs w:val="32"/>
        </w:rPr>
        <w:t>个工作日内向我局提出退款申请，由未竞得人去财政部门办理退款手续，退还的竞买保证金不计利息。</w:t>
      </w:r>
    </w:p>
    <w:p>
      <w:pPr>
        <w:widowControl/>
        <w:spacing w:line="276"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（七）网上交易过程所涉及时间除竞买保证金到账时间以银行系统记录到账时间为准外，其余均以网上交易系统服务器时间为准，数据记录时间以数据信息到达网上交易系统服务器的时间为依据。</w:t>
      </w:r>
      <w:r>
        <w:rPr>
          <w:rFonts w:ascii="仿宋" w:hAnsi="仿宋" w:eastAsia="仿宋" w:cs="宋体"/>
          <w:kern w:val="0"/>
          <w:sz w:val="32"/>
          <w:szCs w:val="32"/>
        </w:rPr>
        <w:t xml:space="preserve"> </w:t>
      </w:r>
    </w:p>
    <w:p>
      <w:pPr>
        <w:widowControl/>
        <w:spacing w:line="276"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（八）竞得人签订《国有建设用地使用权出让合同》，缴清全部土地出让金和相关税费后，应依法申请办理土地登记手续，领取《国有建设用地使用权证》。</w:t>
      </w:r>
    </w:p>
    <w:p>
      <w:pPr>
        <w:widowControl/>
        <w:spacing w:line="276"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（九）存在下列违法违规违约行为，在结案和问题查处整改到位前，竞买人及其控股股东不得参加土地竞买活动。</w:t>
      </w:r>
      <w:r>
        <w:rPr>
          <w:rFonts w:ascii="仿宋" w:hAnsi="仿宋" w:eastAsia="仿宋" w:cs="宋体"/>
          <w:kern w:val="0"/>
          <w:sz w:val="32"/>
          <w:szCs w:val="32"/>
        </w:rPr>
        <w:t xml:space="preserve"> </w:t>
      </w:r>
    </w:p>
    <w:p>
      <w:pPr>
        <w:widowControl/>
        <w:spacing w:line="276" w:lineRule="auto"/>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、伪造公文骗取用地和非法倒卖土地等犯罪行为的；</w:t>
      </w:r>
      <w:r>
        <w:rPr>
          <w:rFonts w:ascii="仿宋" w:hAnsi="仿宋" w:eastAsia="仿宋" w:cs="宋体"/>
          <w:kern w:val="0"/>
          <w:sz w:val="32"/>
          <w:szCs w:val="32"/>
        </w:rPr>
        <w:t xml:space="preserve"> </w:t>
      </w:r>
    </w:p>
    <w:p>
      <w:pPr>
        <w:widowControl/>
        <w:spacing w:line="276" w:lineRule="auto"/>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、非法转让土地使用权等违法行为的；</w:t>
      </w:r>
      <w:r>
        <w:rPr>
          <w:rFonts w:ascii="仿宋" w:hAnsi="仿宋" w:eastAsia="仿宋" w:cs="宋体"/>
          <w:kern w:val="0"/>
          <w:sz w:val="32"/>
          <w:szCs w:val="32"/>
        </w:rPr>
        <w:t xml:space="preserve"> </w:t>
      </w:r>
    </w:p>
    <w:p>
      <w:pPr>
        <w:widowControl/>
        <w:spacing w:line="276" w:lineRule="auto"/>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、因企业原因造成土地闲置一年以上的；</w:t>
      </w:r>
      <w:r>
        <w:rPr>
          <w:rFonts w:ascii="仿宋" w:hAnsi="仿宋" w:eastAsia="仿宋" w:cs="宋体"/>
          <w:kern w:val="0"/>
          <w:sz w:val="32"/>
          <w:szCs w:val="32"/>
        </w:rPr>
        <w:t xml:space="preserve"> </w:t>
      </w:r>
    </w:p>
    <w:p>
      <w:pPr>
        <w:widowControl/>
        <w:spacing w:line="276" w:lineRule="auto"/>
        <w:ind w:firstLine="640" w:firstLineChars="200"/>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、开发建设企业违背出让合同约定条件开发利用土地的。</w:t>
      </w:r>
      <w:r>
        <w:rPr>
          <w:rFonts w:ascii="仿宋" w:hAnsi="仿宋" w:eastAsia="仿宋" w:cs="宋体"/>
          <w:kern w:val="0"/>
          <w:sz w:val="32"/>
          <w:szCs w:val="32"/>
        </w:rPr>
        <w:t xml:space="preserve"> </w:t>
      </w:r>
    </w:p>
    <w:p>
      <w:pPr>
        <w:widowControl/>
        <w:spacing w:line="12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（十）竞得入选人（竞得人）有下列行为之一的，竞得结果无效，竞买保证金不予退还。造成损失的，应当依法承担赔偿责任：</w:t>
      </w:r>
      <w:r>
        <w:rPr>
          <w:rFonts w:ascii="仿宋" w:hAnsi="仿宋" w:eastAsia="仿宋" w:cs="宋体"/>
          <w:kern w:val="0"/>
          <w:sz w:val="32"/>
          <w:szCs w:val="32"/>
        </w:rPr>
        <w:t xml:space="preserve"> </w:t>
      </w:r>
    </w:p>
    <w:p>
      <w:pPr>
        <w:widowControl/>
        <w:spacing w:line="120" w:lineRule="auto"/>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、逾期或拒绝签订《国有建设用地使用权成交确认书》的；</w:t>
      </w:r>
      <w:r>
        <w:rPr>
          <w:rFonts w:ascii="仿宋" w:hAnsi="仿宋" w:eastAsia="仿宋" w:cs="宋体"/>
          <w:kern w:val="0"/>
          <w:sz w:val="32"/>
          <w:szCs w:val="32"/>
        </w:rPr>
        <w:t xml:space="preserve"> </w:t>
      </w:r>
    </w:p>
    <w:p>
      <w:pPr>
        <w:widowControl/>
        <w:spacing w:line="120" w:lineRule="auto"/>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、逾期或拒绝签订《国有建设用地使用权出让合同》的；</w:t>
      </w:r>
    </w:p>
    <w:p>
      <w:pPr>
        <w:widowControl/>
        <w:spacing w:line="120" w:lineRule="auto"/>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、提供虚假信息、隐瞒事实的；</w:t>
      </w:r>
    </w:p>
    <w:p>
      <w:pPr>
        <w:widowControl/>
        <w:spacing w:line="120" w:lineRule="auto"/>
        <w:ind w:firstLine="640" w:firstLineChars="200"/>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、采取行贿、恶意串通等违法违规手段竞得的；</w:t>
      </w:r>
      <w:r>
        <w:rPr>
          <w:rFonts w:ascii="仿宋" w:hAnsi="仿宋" w:eastAsia="仿宋" w:cs="宋体"/>
          <w:kern w:val="0"/>
          <w:sz w:val="32"/>
          <w:szCs w:val="32"/>
        </w:rPr>
        <w:t xml:space="preserve"> </w:t>
      </w:r>
    </w:p>
    <w:p>
      <w:pPr>
        <w:widowControl/>
        <w:spacing w:line="120" w:lineRule="auto"/>
        <w:ind w:firstLine="640" w:firstLineChars="200"/>
        <w:rPr>
          <w:rFonts w:ascii="仿宋" w:hAnsi="仿宋" w:eastAsia="仿宋" w:cs="宋体"/>
          <w:kern w:val="0"/>
          <w:sz w:val="32"/>
          <w:szCs w:val="32"/>
        </w:rPr>
      </w:pPr>
      <w:r>
        <w:rPr>
          <w:rFonts w:ascii="仿宋" w:hAnsi="仿宋" w:eastAsia="仿宋" w:cs="宋体"/>
          <w:kern w:val="0"/>
          <w:sz w:val="32"/>
          <w:szCs w:val="32"/>
        </w:rPr>
        <w:t>5</w:t>
      </w:r>
      <w:r>
        <w:rPr>
          <w:rFonts w:hint="eastAsia" w:ascii="仿宋" w:hAnsi="仿宋" w:eastAsia="仿宋" w:cs="宋体"/>
          <w:kern w:val="0"/>
          <w:sz w:val="32"/>
          <w:szCs w:val="32"/>
        </w:rPr>
        <w:t>、法律法规规定的其他情形。</w:t>
      </w:r>
      <w:r>
        <w:rPr>
          <w:rFonts w:ascii="仿宋" w:hAnsi="仿宋" w:eastAsia="仿宋" w:cs="宋体"/>
          <w:kern w:val="0"/>
          <w:sz w:val="32"/>
          <w:szCs w:val="32"/>
        </w:rPr>
        <w:t xml:space="preserve"> </w:t>
      </w:r>
    </w:p>
    <w:p>
      <w:pPr>
        <w:widowControl/>
        <w:spacing w:line="12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十一）因竞买申请人使用的计算机遭遇网络堵塞、病毒入侵及其软、硬件出现故障和遗失数字证书或遗忘、泄露密码等原因，不能正常登录网上交易系统进行申请、报价、竞价的，后果由竞买申请人自行承担，网上交易活动不中止。</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竞买人因电脑或网络环境等遭遇人为攻击等，导致无法参与正常报价竞价的，可向所在地设区市级以上公安机关报案。</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（十二）系统推荐运行环境。操作系统请使用</w:t>
      </w:r>
      <w:r>
        <w:rPr>
          <w:rFonts w:ascii="仿宋" w:hAnsi="仿宋" w:eastAsia="仿宋" w:cs="宋体"/>
          <w:kern w:val="0"/>
          <w:sz w:val="32"/>
          <w:szCs w:val="32"/>
        </w:rPr>
        <w:t>WinXP</w:t>
      </w:r>
      <w:r>
        <w:rPr>
          <w:rFonts w:hint="eastAsia" w:ascii="仿宋" w:hAnsi="仿宋" w:eastAsia="仿宋" w:cs="宋体"/>
          <w:kern w:val="0"/>
          <w:sz w:val="32"/>
          <w:szCs w:val="32"/>
        </w:rPr>
        <w:t>、</w:t>
      </w:r>
      <w:r>
        <w:rPr>
          <w:rFonts w:ascii="仿宋" w:hAnsi="仿宋" w:eastAsia="仿宋" w:cs="宋体"/>
          <w:kern w:val="0"/>
          <w:sz w:val="32"/>
          <w:szCs w:val="32"/>
        </w:rPr>
        <w:t>Win7</w:t>
      </w:r>
      <w:r>
        <w:rPr>
          <w:rFonts w:hint="eastAsia" w:ascii="仿宋" w:hAnsi="仿宋" w:eastAsia="仿宋" w:cs="宋体"/>
          <w:kern w:val="0"/>
          <w:sz w:val="32"/>
          <w:szCs w:val="32"/>
        </w:rPr>
        <w:t>；浏览器请使用</w:t>
      </w:r>
      <w:r>
        <w:rPr>
          <w:rFonts w:ascii="仿宋" w:hAnsi="仿宋" w:eastAsia="仿宋" w:cs="宋体"/>
          <w:kern w:val="0"/>
          <w:sz w:val="32"/>
          <w:szCs w:val="32"/>
        </w:rPr>
        <w:t>IE10</w:t>
      </w:r>
      <w:r>
        <w:rPr>
          <w:rFonts w:hint="eastAsia" w:ascii="仿宋" w:hAnsi="仿宋" w:eastAsia="仿宋" w:cs="宋体"/>
          <w:kern w:val="0"/>
          <w:sz w:val="32"/>
          <w:szCs w:val="32"/>
        </w:rPr>
        <w:t>，其它操作系统与浏览器可能会影响您正常参与网上交易活动。数字证书驱动请到河南</w:t>
      </w:r>
      <w:r>
        <w:rPr>
          <w:rFonts w:ascii="仿宋" w:hAnsi="仿宋" w:eastAsia="仿宋" w:cs="宋体"/>
          <w:kern w:val="0"/>
          <w:sz w:val="32"/>
          <w:szCs w:val="32"/>
        </w:rPr>
        <w:t>CA</w:t>
      </w:r>
      <w:r>
        <w:rPr>
          <w:rFonts w:hint="eastAsia" w:ascii="仿宋" w:hAnsi="仿宋" w:eastAsia="仿宋" w:cs="宋体"/>
          <w:kern w:val="0"/>
          <w:sz w:val="32"/>
          <w:szCs w:val="32"/>
        </w:rPr>
        <w:t>官方网站下载，并正确安装。请竞买人在竞买前仔细检查好自己电脑的运行环境，并先到网上交易模拟系统练习，以免影响您的报价、竞价。</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（十三）我局与竞得入选人或竞得人因网上交易产生纠纷的，双方应协商解决，协商不成的，可依法向当地人民政府或上一级自然资源管理部门申请行政复议，或向人民法院提起行政诉讼。</w:t>
      </w:r>
      <w:r>
        <w:rPr>
          <w:rFonts w:ascii="仿宋" w:hAnsi="仿宋" w:eastAsia="仿宋" w:cs="宋体"/>
          <w:kern w:val="0"/>
          <w:sz w:val="32"/>
          <w:szCs w:val="32"/>
        </w:rPr>
        <w:t xml:space="preserve"> </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（十四）竞买人应做好个人信息和竞买地点等相关信息的保密工作。</w:t>
      </w:r>
      <w:r>
        <w:rPr>
          <w:rFonts w:ascii="仿宋" w:hAnsi="仿宋" w:eastAsia="仿宋" w:cs="宋体"/>
          <w:kern w:val="0"/>
          <w:sz w:val="32"/>
          <w:szCs w:val="32"/>
        </w:rPr>
        <w:t xml:space="preserve"> </w:t>
      </w:r>
    </w:p>
    <w:p>
      <w:pPr>
        <w:widowControl/>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（十五）我局对本《须知》具有解释权。未尽事宜依照《招标拍卖出让国有土地使用权规范》办理。</w:t>
      </w:r>
    </w:p>
    <w:p>
      <w:pPr>
        <w:widowControl/>
        <w:spacing w:line="560" w:lineRule="exact"/>
        <w:ind w:firstLine="11200" w:firstLineChars="3500"/>
        <w:rPr>
          <w:rFonts w:ascii="仿宋" w:hAnsi="仿宋" w:eastAsia="仿宋" w:cs="宋体"/>
          <w:kern w:val="0"/>
          <w:sz w:val="32"/>
          <w:szCs w:val="32"/>
        </w:rPr>
      </w:pPr>
      <w:r>
        <w:rPr>
          <w:rFonts w:hint="eastAsia" w:ascii="仿宋" w:hAnsi="仿宋" w:eastAsia="仿宋" w:cs="宋体"/>
          <w:kern w:val="0"/>
          <w:sz w:val="32"/>
          <w:szCs w:val="32"/>
        </w:rPr>
        <w:t>鄢陵县自然资源局</w:t>
      </w:r>
    </w:p>
    <w:p>
      <w:pPr>
        <w:widowControl/>
        <w:spacing w:line="560" w:lineRule="exact"/>
        <w:ind w:firstLine="10240" w:firstLineChars="3200"/>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鄢陵县公共资源交易中心</w:t>
      </w:r>
    </w:p>
    <w:p>
      <w:pPr>
        <w:widowControl/>
        <w:spacing w:line="560" w:lineRule="exact"/>
        <w:ind w:firstLine="11200" w:firstLineChars="3500"/>
        <w:rPr>
          <w:rFonts w:ascii="仿宋" w:hAnsi="仿宋" w:eastAsia="仿宋" w:cs="宋体"/>
          <w:sz w:val="32"/>
          <w:szCs w:val="32"/>
        </w:rPr>
      </w:pPr>
      <w:r>
        <w:rPr>
          <w:rFonts w:ascii="仿宋" w:hAnsi="仿宋" w:eastAsia="仿宋" w:cs="宋体"/>
          <w:sz w:val="32"/>
          <w:szCs w:val="32"/>
        </w:rPr>
        <w:t>2021</w:t>
      </w:r>
      <w:r>
        <w:rPr>
          <w:rFonts w:hint="eastAsia" w:ascii="仿宋" w:hAnsi="仿宋" w:eastAsia="仿宋" w:cs="宋体"/>
          <w:sz w:val="32"/>
          <w:szCs w:val="32"/>
        </w:rPr>
        <w:t>年</w:t>
      </w:r>
      <w:r>
        <w:rPr>
          <w:rFonts w:hint="eastAsia" w:ascii="仿宋" w:hAnsi="仿宋" w:eastAsia="仿宋" w:cs="宋体"/>
          <w:sz w:val="32"/>
          <w:szCs w:val="32"/>
          <w:lang w:val="en-US" w:eastAsia="zh-CN"/>
        </w:rPr>
        <w:t>9</w:t>
      </w:r>
      <w:r>
        <w:rPr>
          <w:rFonts w:hint="eastAsia" w:ascii="仿宋" w:hAnsi="仿宋" w:eastAsia="仿宋" w:cs="宋体"/>
          <w:sz w:val="32"/>
          <w:szCs w:val="32"/>
        </w:rPr>
        <w:t>月</w:t>
      </w:r>
      <w:r>
        <w:rPr>
          <w:rFonts w:hint="eastAsia" w:ascii="仿宋" w:hAnsi="仿宋" w:eastAsia="仿宋" w:cs="宋体"/>
          <w:sz w:val="32"/>
          <w:szCs w:val="32"/>
          <w:lang w:val="en-US" w:eastAsia="zh-CN"/>
        </w:rPr>
        <w:t>22</w:t>
      </w:r>
      <w:r>
        <w:rPr>
          <w:rFonts w:hint="eastAsia" w:ascii="仿宋" w:hAnsi="仿宋" w:eastAsia="仿宋" w:cs="宋体"/>
          <w:sz w:val="32"/>
          <w:szCs w:val="32"/>
        </w:rPr>
        <w:t>日</w:t>
      </w:r>
    </w:p>
    <w:sectPr>
      <w:headerReference r:id="rId3" w:type="default"/>
      <w:footerReference r:id="rId4" w:type="default"/>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9A3ED"/>
    <w:multiLevelType w:val="singleLevel"/>
    <w:tmpl w:val="3E59A3ED"/>
    <w:lvl w:ilvl="0" w:tentative="0">
      <w:start w:val="3"/>
      <w:numFmt w:val="decimal"/>
      <w:suff w:val="nothing"/>
      <w:lvlText w:val="%1、"/>
      <w:lvlJc w:val="left"/>
      <w:rPr>
        <w:rFonts w:cs="Times New Roman"/>
      </w:rPr>
    </w:lvl>
  </w:abstractNum>
  <w:abstractNum w:abstractNumId="1">
    <w:nsid w:val="577E1D49"/>
    <w:multiLevelType w:val="singleLevel"/>
    <w:tmpl w:val="577E1D49"/>
    <w:lvl w:ilvl="0" w:tentative="0">
      <w:start w:val="2"/>
      <w:numFmt w:val="chineseCounting"/>
      <w:suff w:val="nothing"/>
      <w:lvlText w:val="%1、"/>
      <w:lvlJc w:val="left"/>
      <w:rPr>
        <w:rFonts w:cs="Times New Roman"/>
      </w:r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05"/>
  <w:displayHorizontalDrawingGridEvery w:val="2"/>
  <w:displayVerticalDrawingGridEvery w:val="2"/>
  <w:characterSpacingControl w:val="doNotCompress"/>
  <w:noLineBreaksAfter w:lang="zh-CN" w:val="$([{£¥·‘“〈《「『【〔〖〝﹙﹛﹝＄（．［｛￡￥"/>
  <w:noLineBreaksBefore w:lang="zh-CN" w:val="!%),.:;&gt;?]}¢¨°·ˇˉ―‖’”…‰′″›℃∶、。〃〉》」』】〕〗〞︶︺︾﹀﹄﹚﹜﹞！＂％＇），．：；？］｀｜｝～￠"/>
  <w:hdrShapeDefaults>
    <o:shapelayout v:ext="edit">
      <o:idmap v:ext="edit" data="3,4"/>
    </o:shapelayout>
  </w:hdrShapeDefault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E3D"/>
    <w:rsid w:val="00001CF3"/>
    <w:rsid w:val="00003466"/>
    <w:rsid w:val="00005055"/>
    <w:rsid w:val="00007DDA"/>
    <w:rsid w:val="000276C5"/>
    <w:rsid w:val="00041224"/>
    <w:rsid w:val="00046CC7"/>
    <w:rsid w:val="00080803"/>
    <w:rsid w:val="00080FE0"/>
    <w:rsid w:val="00081ADC"/>
    <w:rsid w:val="00091030"/>
    <w:rsid w:val="000A3F35"/>
    <w:rsid w:val="000A790A"/>
    <w:rsid w:val="000B39C8"/>
    <w:rsid w:val="000B4A0D"/>
    <w:rsid w:val="000C2205"/>
    <w:rsid w:val="000D3183"/>
    <w:rsid w:val="000D3CD5"/>
    <w:rsid w:val="000E375C"/>
    <w:rsid w:val="000E612F"/>
    <w:rsid w:val="000E79BF"/>
    <w:rsid w:val="000F15C9"/>
    <w:rsid w:val="00146C89"/>
    <w:rsid w:val="00147A01"/>
    <w:rsid w:val="0015047F"/>
    <w:rsid w:val="00154CCE"/>
    <w:rsid w:val="00171308"/>
    <w:rsid w:val="00173927"/>
    <w:rsid w:val="001761E8"/>
    <w:rsid w:val="00181331"/>
    <w:rsid w:val="00182601"/>
    <w:rsid w:val="00195336"/>
    <w:rsid w:val="001A48B0"/>
    <w:rsid w:val="001D1A84"/>
    <w:rsid w:val="001D5B15"/>
    <w:rsid w:val="001F0D87"/>
    <w:rsid w:val="00200088"/>
    <w:rsid w:val="00207EE2"/>
    <w:rsid w:val="00255FFA"/>
    <w:rsid w:val="002842C9"/>
    <w:rsid w:val="00292349"/>
    <w:rsid w:val="002933C4"/>
    <w:rsid w:val="002A70F2"/>
    <w:rsid w:val="002B6275"/>
    <w:rsid w:val="002C1C9C"/>
    <w:rsid w:val="002D7264"/>
    <w:rsid w:val="002E5614"/>
    <w:rsid w:val="00301D7F"/>
    <w:rsid w:val="00305A25"/>
    <w:rsid w:val="003107CC"/>
    <w:rsid w:val="0031430E"/>
    <w:rsid w:val="00314EF6"/>
    <w:rsid w:val="00321FB7"/>
    <w:rsid w:val="00323B43"/>
    <w:rsid w:val="00337B04"/>
    <w:rsid w:val="00356C92"/>
    <w:rsid w:val="003B1B18"/>
    <w:rsid w:val="003B6D7A"/>
    <w:rsid w:val="003C5334"/>
    <w:rsid w:val="003D0FC9"/>
    <w:rsid w:val="003D37D8"/>
    <w:rsid w:val="003F23CE"/>
    <w:rsid w:val="003F3F61"/>
    <w:rsid w:val="00411A24"/>
    <w:rsid w:val="0042018C"/>
    <w:rsid w:val="00421BE7"/>
    <w:rsid w:val="004358AB"/>
    <w:rsid w:val="00443495"/>
    <w:rsid w:val="00485314"/>
    <w:rsid w:val="00486D8D"/>
    <w:rsid w:val="00490C1D"/>
    <w:rsid w:val="00491DE2"/>
    <w:rsid w:val="004B3F79"/>
    <w:rsid w:val="004C5A18"/>
    <w:rsid w:val="004D41ED"/>
    <w:rsid w:val="00511D03"/>
    <w:rsid w:val="00532BFA"/>
    <w:rsid w:val="005345AB"/>
    <w:rsid w:val="00535227"/>
    <w:rsid w:val="00562463"/>
    <w:rsid w:val="005805A8"/>
    <w:rsid w:val="005837F5"/>
    <w:rsid w:val="00585FD6"/>
    <w:rsid w:val="00593A70"/>
    <w:rsid w:val="005A21B8"/>
    <w:rsid w:val="005B3381"/>
    <w:rsid w:val="005C2221"/>
    <w:rsid w:val="005C3FFE"/>
    <w:rsid w:val="005C4463"/>
    <w:rsid w:val="005E7DFB"/>
    <w:rsid w:val="005F4804"/>
    <w:rsid w:val="006312AD"/>
    <w:rsid w:val="0063131C"/>
    <w:rsid w:val="00647286"/>
    <w:rsid w:val="00656C9F"/>
    <w:rsid w:val="006614F9"/>
    <w:rsid w:val="006634F0"/>
    <w:rsid w:val="006742FF"/>
    <w:rsid w:val="00676776"/>
    <w:rsid w:val="00685B56"/>
    <w:rsid w:val="00690D58"/>
    <w:rsid w:val="006A3A3E"/>
    <w:rsid w:val="006A5BBD"/>
    <w:rsid w:val="006B781D"/>
    <w:rsid w:val="006C2524"/>
    <w:rsid w:val="006C56A2"/>
    <w:rsid w:val="006D1CB8"/>
    <w:rsid w:val="006D3379"/>
    <w:rsid w:val="006E261B"/>
    <w:rsid w:val="006F54B5"/>
    <w:rsid w:val="007054B9"/>
    <w:rsid w:val="00710022"/>
    <w:rsid w:val="00711E68"/>
    <w:rsid w:val="00715CFD"/>
    <w:rsid w:val="00727D11"/>
    <w:rsid w:val="00742714"/>
    <w:rsid w:val="0075168D"/>
    <w:rsid w:val="00763EA9"/>
    <w:rsid w:val="00791916"/>
    <w:rsid w:val="007A3085"/>
    <w:rsid w:val="007B2B16"/>
    <w:rsid w:val="007C1180"/>
    <w:rsid w:val="007C121A"/>
    <w:rsid w:val="007E323C"/>
    <w:rsid w:val="007F3D53"/>
    <w:rsid w:val="007F5932"/>
    <w:rsid w:val="00802E6F"/>
    <w:rsid w:val="00810EAB"/>
    <w:rsid w:val="00823B98"/>
    <w:rsid w:val="008325A2"/>
    <w:rsid w:val="00845DDC"/>
    <w:rsid w:val="00846143"/>
    <w:rsid w:val="00846707"/>
    <w:rsid w:val="00850F9D"/>
    <w:rsid w:val="008515F6"/>
    <w:rsid w:val="00887C8D"/>
    <w:rsid w:val="008A0BB5"/>
    <w:rsid w:val="008B7726"/>
    <w:rsid w:val="008D6239"/>
    <w:rsid w:val="00900B80"/>
    <w:rsid w:val="00904D2A"/>
    <w:rsid w:val="0090539D"/>
    <w:rsid w:val="00911EF3"/>
    <w:rsid w:val="00923D9C"/>
    <w:rsid w:val="009303BB"/>
    <w:rsid w:val="009359DD"/>
    <w:rsid w:val="00943E47"/>
    <w:rsid w:val="00951CDE"/>
    <w:rsid w:val="00953016"/>
    <w:rsid w:val="00954B3B"/>
    <w:rsid w:val="00970126"/>
    <w:rsid w:val="009703D3"/>
    <w:rsid w:val="00971276"/>
    <w:rsid w:val="00973640"/>
    <w:rsid w:val="009A44B1"/>
    <w:rsid w:val="009B64AF"/>
    <w:rsid w:val="009C161E"/>
    <w:rsid w:val="009C3E3D"/>
    <w:rsid w:val="009D6A49"/>
    <w:rsid w:val="009E1C99"/>
    <w:rsid w:val="00A02CB1"/>
    <w:rsid w:val="00A06862"/>
    <w:rsid w:val="00A07A77"/>
    <w:rsid w:val="00A21DF7"/>
    <w:rsid w:val="00A21FC4"/>
    <w:rsid w:val="00A26C7A"/>
    <w:rsid w:val="00A35A5D"/>
    <w:rsid w:val="00A4042F"/>
    <w:rsid w:val="00A46500"/>
    <w:rsid w:val="00A47F08"/>
    <w:rsid w:val="00A60FAF"/>
    <w:rsid w:val="00A641FD"/>
    <w:rsid w:val="00A77A63"/>
    <w:rsid w:val="00A81535"/>
    <w:rsid w:val="00A9636D"/>
    <w:rsid w:val="00AB56DF"/>
    <w:rsid w:val="00AB6DF8"/>
    <w:rsid w:val="00AC3BD4"/>
    <w:rsid w:val="00AD4A89"/>
    <w:rsid w:val="00AE54A8"/>
    <w:rsid w:val="00AF3510"/>
    <w:rsid w:val="00AF3B6B"/>
    <w:rsid w:val="00B00B3E"/>
    <w:rsid w:val="00B00D5D"/>
    <w:rsid w:val="00B04AE7"/>
    <w:rsid w:val="00B13CDF"/>
    <w:rsid w:val="00B15985"/>
    <w:rsid w:val="00B16C3D"/>
    <w:rsid w:val="00B23FA2"/>
    <w:rsid w:val="00B35FC9"/>
    <w:rsid w:val="00B43F10"/>
    <w:rsid w:val="00B46371"/>
    <w:rsid w:val="00B6447C"/>
    <w:rsid w:val="00B64B96"/>
    <w:rsid w:val="00B66175"/>
    <w:rsid w:val="00B74458"/>
    <w:rsid w:val="00BB482F"/>
    <w:rsid w:val="00BB6BA2"/>
    <w:rsid w:val="00BB6D3F"/>
    <w:rsid w:val="00BC2C06"/>
    <w:rsid w:val="00BE44B0"/>
    <w:rsid w:val="00C11982"/>
    <w:rsid w:val="00C12D9C"/>
    <w:rsid w:val="00C21BBB"/>
    <w:rsid w:val="00C41BF2"/>
    <w:rsid w:val="00C4563C"/>
    <w:rsid w:val="00C5734B"/>
    <w:rsid w:val="00C573B9"/>
    <w:rsid w:val="00C771CA"/>
    <w:rsid w:val="00C77B69"/>
    <w:rsid w:val="00D1422F"/>
    <w:rsid w:val="00D3376C"/>
    <w:rsid w:val="00D435F2"/>
    <w:rsid w:val="00D530BC"/>
    <w:rsid w:val="00D71F5E"/>
    <w:rsid w:val="00D85D38"/>
    <w:rsid w:val="00D87AE9"/>
    <w:rsid w:val="00D952F2"/>
    <w:rsid w:val="00DB189C"/>
    <w:rsid w:val="00DC4F7C"/>
    <w:rsid w:val="00DE3469"/>
    <w:rsid w:val="00DF610D"/>
    <w:rsid w:val="00E00500"/>
    <w:rsid w:val="00E01D74"/>
    <w:rsid w:val="00E12645"/>
    <w:rsid w:val="00E21C59"/>
    <w:rsid w:val="00E27C93"/>
    <w:rsid w:val="00E31573"/>
    <w:rsid w:val="00E437FD"/>
    <w:rsid w:val="00E465EF"/>
    <w:rsid w:val="00E6549E"/>
    <w:rsid w:val="00E73F9F"/>
    <w:rsid w:val="00E74C54"/>
    <w:rsid w:val="00E8494A"/>
    <w:rsid w:val="00E8770B"/>
    <w:rsid w:val="00E92C8A"/>
    <w:rsid w:val="00E96C9D"/>
    <w:rsid w:val="00EA1457"/>
    <w:rsid w:val="00EC01EA"/>
    <w:rsid w:val="00ED7DC3"/>
    <w:rsid w:val="00EE0222"/>
    <w:rsid w:val="00EF348E"/>
    <w:rsid w:val="00EF5590"/>
    <w:rsid w:val="00EF6932"/>
    <w:rsid w:val="00F03179"/>
    <w:rsid w:val="00F03EE9"/>
    <w:rsid w:val="00F5351A"/>
    <w:rsid w:val="00F63085"/>
    <w:rsid w:val="00F76B10"/>
    <w:rsid w:val="00FB1055"/>
    <w:rsid w:val="00FB141F"/>
    <w:rsid w:val="00FE6035"/>
    <w:rsid w:val="01AC541E"/>
    <w:rsid w:val="026A707B"/>
    <w:rsid w:val="02B841DC"/>
    <w:rsid w:val="02FE7C7F"/>
    <w:rsid w:val="03FE4F99"/>
    <w:rsid w:val="045D1B8F"/>
    <w:rsid w:val="0489118A"/>
    <w:rsid w:val="052464EF"/>
    <w:rsid w:val="052E3CE6"/>
    <w:rsid w:val="0650516B"/>
    <w:rsid w:val="066246FD"/>
    <w:rsid w:val="069D414B"/>
    <w:rsid w:val="06AE46FA"/>
    <w:rsid w:val="07320C82"/>
    <w:rsid w:val="07DA176C"/>
    <w:rsid w:val="085E1B76"/>
    <w:rsid w:val="09715781"/>
    <w:rsid w:val="09961795"/>
    <w:rsid w:val="09D7200E"/>
    <w:rsid w:val="0A0D6822"/>
    <w:rsid w:val="0A764B60"/>
    <w:rsid w:val="0A9C40DA"/>
    <w:rsid w:val="0AAF42D1"/>
    <w:rsid w:val="0B56099E"/>
    <w:rsid w:val="0B6B06FC"/>
    <w:rsid w:val="0C54157B"/>
    <w:rsid w:val="0CC42338"/>
    <w:rsid w:val="0DB302FD"/>
    <w:rsid w:val="0E2008F4"/>
    <w:rsid w:val="0F1C7DCF"/>
    <w:rsid w:val="0FE823F8"/>
    <w:rsid w:val="110045AB"/>
    <w:rsid w:val="117773EE"/>
    <w:rsid w:val="11EE6651"/>
    <w:rsid w:val="124B63C8"/>
    <w:rsid w:val="12737800"/>
    <w:rsid w:val="139D79D0"/>
    <w:rsid w:val="13EF0680"/>
    <w:rsid w:val="141605D0"/>
    <w:rsid w:val="145F1F67"/>
    <w:rsid w:val="14A93EC0"/>
    <w:rsid w:val="14C14CCB"/>
    <w:rsid w:val="15182A38"/>
    <w:rsid w:val="15447206"/>
    <w:rsid w:val="16437713"/>
    <w:rsid w:val="16710337"/>
    <w:rsid w:val="1740625D"/>
    <w:rsid w:val="17580374"/>
    <w:rsid w:val="17D51152"/>
    <w:rsid w:val="17F073BC"/>
    <w:rsid w:val="199226CB"/>
    <w:rsid w:val="19C708A1"/>
    <w:rsid w:val="1A4562C3"/>
    <w:rsid w:val="1B122A3B"/>
    <w:rsid w:val="1B700303"/>
    <w:rsid w:val="1B8D5E73"/>
    <w:rsid w:val="1BD244E6"/>
    <w:rsid w:val="1BF051CF"/>
    <w:rsid w:val="1C3D6190"/>
    <w:rsid w:val="1D615EF3"/>
    <w:rsid w:val="1D677D0E"/>
    <w:rsid w:val="1DB73452"/>
    <w:rsid w:val="1E927B9D"/>
    <w:rsid w:val="1FCB7BB5"/>
    <w:rsid w:val="210F35EC"/>
    <w:rsid w:val="214475B8"/>
    <w:rsid w:val="217C156B"/>
    <w:rsid w:val="21DE2611"/>
    <w:rsid w:val="21F92AD1"/>
    <w:rsid w:val="222D7DC9"/>
    <w:rsid w:val="225877E3"/>
    <w:rsid w:val="226E2B27"/>
    <w:rsid w:val="227643B0"/>
    <w:rsid w:val="23561A7E"/>
    <w:rsid w:val="23AD6592"/>
    <w:rsid w:val="25CC4877"/>
    <w:rsid w:val="28295198"/>
    <w:rsid w:val="289B1FC3"/>
    <w:rsid w:val="28B9445F"/>
    <w:rsid w:val="2B356596"/>
    <w:rsid w:val="2CFF223F"/>
    <w:rsid w:val="2D1F0641"/>
    <w:rsid w:val="2E0459F9"/>
    <w:rsid w:val="2E984C58"/>
    <w:rsid w:val="2EAA22A9"/>
    <w:rsid w:val="2F1D4EE4"/>
    <w:rsid w:val="2FF1641D"/>
    <w:rsid w:val="2FFF5DC4"/>
    <w:rsid w:val="3229285D"/>
    <w:rsid w:val="32C91AA1"/>
    <w:rsid w:val="33401A56"/>
    <w:rsid w:val="33D45F28"/>
    <w:rsid w:val="352F74D6"/>
    <w:rsid w:val="35D42ECA"/>
    <w:rsid w:val="37095A6F"/>
    <w:rsid w:val="371F0F82"/>
    <w:rsid w:val="37677051"/>
    <w:rsid w:val="376D1BC8"/>
    <w:rsid w:val="37B00FBE"/>
    <w:rsid w:val="37B134A6"/>
    <w:rsid w:val="38271134"/>
    <w:rsid w:val="38C94493"/>
    <w:rsid w:val="39911997"/>
    <w:rsid w:val="3A54194A"/>
    <w:rsid w:val="3A9B1E53"/>
    <w:rsid w:val="3B335562"/>
    <w:rsid w:val="3BA15DC5"/>
    <w:rsid w:val="3C424E6B"/>
    <w:rsid w:val="3D576C81"/>
    <w:rsid w:val="3EC475C9"/>
    <w:rsid w:val="3ECB5AAE"/>
    <w:rsid w:val="3EF11CB6"/>
    <w:rsid w:val="3F871230"/>
    <w:rsid w:val="3FD314E5"/>
    <w:rsid w:val="413E5496"/>
    <w:rsid w:val="41AC4A7E"/>
    <w:rsid w:val="41FF331D"/>
    <w:rsid w:val="42512A7B"/>
    <w:rsid w:val="42565ADD"/>
    <w:rsid w:val="43F416C4"/>
    <w:rsid w:val="43FF5343"/>
    <w:rsid w:val="44BD3C11"/>
    <w:rsid w:val="44DB1F6F"/>
    <w:rsid w:val="45754D3F"/>
    <w:rsid w:val="458E2B49"/>
    <w:rsid w:val="45BF3FE6"/>
    <w:rsid w:val="45D40335"/>
    <w:rsid w:val="45DB7484"/>
    <w:rsid w:val="45EB1A44"/>
    <w:rsid w:val="46117A79"/>
    <w:rsid w:val="46605A5C"/>
    <w:rsid w:val="471E6A3C"/>
    <w:rsid w:val="47684A1D"/>
    <w:rsid w:val="479A2774"/>
    <w:rsid w:val="47DD29EF"/>
    <w:rsid w:val="4A362A2F"/>
    <w:rsid w:val="4A64730A"/>
    <w:rsid w:val="4AC61C2B"/>
    <w:rsid w:val="4B190C78"/>
    <w:rsid w:val="4B701C28"/>
    <w:rsid w:val="4B9B0F72"/>
    <w:rsid w:val="4C2E584B"/>
    <w:rsid w:val="4CB85211"/>
    <w:rsid w:val="4D7F477E"/>
    <w:rsid w:val="4E692689"/>
    <w:rsid w:val="4FFB3E48"/>
    <w:rsid w:val="501A0A01"/>
    <w:rsid w:val="50C712B6"/>
    <w:rsid w:val="51715160"/>
    <w:rsid w:val="53146488"/>
    <w:rsid w:val="5327561D"/>
    <w:rsid w:val="54D61142"/>
    <w:rsid w:val="54F763A8"/>
    <w:rsid w:val="55444F48"/>
    <w:rsid w:val="5567102C"/>
    <w:rsid w:val="55A40335"/>
    <w:rsid w:val="57CE1CCF"/>
    <w:rsid w:val="58191414"/>
    <w:rsid w:val="59E52E1F"/>
    <w:rsid w:val="59E86FDA"/>
    <w:rsid w:val="59FD2F65"/>
    <w:rsid w:val="5A357C95"/>
    <w:rsid w:val="5A3F14E7"/>
    <w:rsid w:val="5AC826AC"/>
    <w:rsid w:val="5B341530"/>
    <w:rsid w:val="5B51142F"/>
    <w:rsid w:val="5B540994"/>
    <w:rsid w:val="5BCD72F5"/>
    <w:rsid w:val="5C9D3DC6"/>
    <w:rsid w:val="5CE551B1"/>
    <w:rsid w:val="5DB746E7"/>
    <w:rsid w:val="5E4D0850"/>
    <w:rsid w:val="5F173F0C"/>
    <w:rsid w:val="5FB91698"/>
    <w:rsid w:val="5FE12B1B"/>
    <w:rsid w:val="60F25246"/>
    <w:rsid w:val="615D4E81"/>
    <w:rsid w:val="622A78B0"/>
    <w:rsid w:val="62387CEC"/>
    <w:rsid w:val="624D715B"/>
    <w:rsid w:val="62ED6E30"/>
    <w:rsid w:val="635B0A20"/>
    <w:rsid w:val="63E246F8"/>
    <w:rsid w:val="6419313C"/>
    <w:rsid w:val="658426E0"/>
    <w:rsid w:val="6596038A"/>
    <w:rsid w:val="65F765C1"/>
    <w:rsid w:val="674B071F"/>
    <w:rsid w:val="67726432"/>
    <w:rsid w:val="68C8213D"/>
    <w:rsid w:val="696857B4"/>
    <w:rsid w:val="69EA2DE6"/>
    <w:rsid w:val="6AB74460"/>
    <w:rsid w:val="6AD52807"/>
    <w:rsid w:val="6B57730D"/>
    <w:rsid w:val="6CE47088"/>
    <w:rsid w:val="6DE86BC6"/>
    <w:rsid w:val="6E2C555C"/>
    <w:rsid w:val="6E452144"/>
    <w:rsid w:val="6E652DF7"/>
    <w:rsid w:val="6EB80FC6"/>
    <w:rsid w:val="6F7B3287"/>
    <w:rsid w:val="70055BFB"/>
    <w:rsid w:val="706C73D0"/>
    <w:rsid w:val="71016669"/>
    <w:rsid w:val="711B7020"/>
    <w:rsid w:val="71240197"/>
    <w:rsid w:val="71DA257A"/>
    <w:rsid w:val="71DC30EB"/>
    <w:rsid w:val="72116A91"/>
    <w:rsid w:val="724A2932"/>
    <w:rsid w:val="729974F6"/>
    <w:rsid w:val="7302492C"/>
    <w:rsid w:val="73B24FF4"/>
    <w:rsid w:val="74E7012D"/>
    <w:rsid w:val="74EC24D9"/>
    <w:rsid w:val="754076E6"/>
    <w:rsid w:val="758741D6"/>
    <w:rsid w:val="75C01A2C"/>
    <w:rsid w:val="775E11FB"/>
    <w:rsid w:val="77681065"/>
    <w:rsid w:val="792569E1"/>
    <w:rsid w:val="7980089C"/>
    <w:rsid w:val="7A5C201A"/>
    <w:rsid w:val="7A915292"/>
    <w:rsid w:val="7A9D3F1E"/>
    <w:rsid w:val="7AA2345D"/>
    <w:rsid w:val="7B0330E2"/>
    <w:rsid w:val="7B390E07"/>
    <w:rsid w:val="7B696006"/>
    <w:rsid w:val="7B913C16"/>
    <w:rsid w:val="7BCE6833"/>
    <w:rsid w:val="7BDC25C8"/>
    <w:rsid w:val="7BED5EFF"/>
    <w:rsid w:val="7C0E6A7A"/>
    <w:rsid w:val="7CD323E4"/>
    <w:rsid w:val="7CFF6397"/>
    <w:rsid w:val="7D3B53FA"/>
    <w:rsid w:val="7DB11217"/>
    <w:rsid w:val="7E3C4206"/>
    <w:rsid w:val="7E4D09BD"/>
    <w:rsid w:val="7F98717E"/>
    <w:rsid w:val="7FC326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000FF"/>
      <w:u w:val="single"/>
    </w:rPr>
  </w:style>
  <w:style w:type="character" w:customStyle="1" w:styleId="7">
    <w:name w:val="Footer Char"/>
    <w:basedOn w:val="5"/>
    <w:link w:val="2"/>
    <w:semiHidden/>
    <w:qFormat/>
    <w:locked/>
    <w:uiPriority w:val="99"/>
    <w:rPr>
      <w:rFonts w:eastAsia="宋体" w:cs="黑体"/>
      <w:sz w:val="18"/>
      <w:szCs w:val="18"/>
    </w:rPr>
  </w:style>
  <w:style w:type="character" w:customStyle="1" w:styleId="8">
    <w:name w:val="Header Char"/>
    <w:basedOn w:val="5"/>
    <w:link w:val="3"/>
    <w:semiHidden/>
    <w:qFormat/>
    <w:locked/>
    <w:uiPriority w:val="99"/>
    <w:rPr>
      <w:rFonts w:eastAsia="宋体"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1084</Words>
  <Characters>6185</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2017-06-14T01:53:00Z</dcterms:created>
  <dc:creator>xbany</dc:creator>
  <cp:lastModifiedBy>良人</cp:lastModifiedBy>
  <cp:lastPrinted>2021-08-23T02:25:00Z</cp:lastPrinted>
  <dcterms:modified xsi:type="dcterms:W3CDTF">2021-09-22T07:48:46Z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F5C84C8B4F8749EC87CC38575E18FC1C</vt:lpwstr>
  </property>
</Properties>
</file>